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24</w:t>
      </w:r>
      <w:r>
        <w:br/>
        <w:t>Tobacco and Manufactured Tobacco Substitutes</w:t>
      </w:r>
    </w:p>
    <w:p>
      <w:pPr>
        <w:pStyle w:val="Heading3"/>
      </w:pPr>
      <w:r>
        <w:t>Chapter Notes</w:t>
      </w:r>
    </w:p>
    <w:p>
      <w:r>
        <w:t>1. This chapter does not cover medicinal cigarettes (Chapter 30).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TOBACCO AND MANUFACTURED TOBACCO SUBSTITUTES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Unmanufactured tobacco; tobacco refuse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not stemmed/stripped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2401 10 60 00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partly or wholly stemmed/stripped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2401 20 60 00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 refuse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Cigars, cheroots, cigarillos and cigarettes, of tobacco or of tobacco substitutes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Cigars, cheroots and cigarillos, containing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Cigarettes containing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cloves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manufactured tobacco and manufactured tobacco substitutes; 'homogenised' or 'reconstituted' tobacco; tobacco extracts and essences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Smoking tobacco, whether or not containing tobacco substitutes in any proportion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Water-pipe tobacco specified in subheading note 1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500 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'Homogenised' or 'reconstituted'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Chewing tobacco and snuff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