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r>
        <w:t>(a) sublimed sulphur, precipitated sulphur or colloidal sulphur (heading 2802);</w:t>
      </w:r>
    </w:p>
    <w:p>
      <w:r>
        <w:t>(b) earth colours containing 70% or more by weight of combined iron evaluated as Fe2O3 (heading 2821);</w:t>
      </w:r>
    </w:p>
    <w:p>
      <w:r>
        <w:t>(c) medicaments or other products of Chapter 30;</w:t>
      </w:r>
    </w:p>
    <w:p>
      <w:r>
        <w:t>(d) perfumery, cosmetic or toilet preparations (Chapter 33);</w:t>
      </w:r>
    </w:p>
    <w:p>
      <w:r>
        <w:t>(e) setts, curbstones or flagstones (heading 6801); mosaic cubes or the like (heading 6802); roofing, facing or damp course slates (heading 6803);</w:t>
      </w:r>
    </w:p>
    <w:p>
      <w:r>
        <w:t>(f) precious or semi-precious stones (heading 7102 or 7103);</w:t>
      </w:r>
    </w:p>
    <w:p>
      <w:r>
        <w:t>(g) cultured crystals (other than optical elements) weighing not less than 2.5g each, of sodium chloride or of magnesium oxide, of heading 3824; optical elements of sodium chloride or of magnesium oxide (heading 9001);</w:t>
      </w:r>
    </w:p>
    <w:p>
      <w:r>
        <w:t>(h) billiard chalks (heading 9504); or</w:t>
      </w:r>
    </w:p>
    <w:p>
      <w:r>
        <w:t>(ij)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c>
          <w:p>
            <w:pPr>
              <w:pStyle w:val="NormalinTable"/>
              <w:jc w:val="center"/>
            </w:pPr>
            <w:r>
              <w:t>{SUPPUNIT}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c>
          <w:p>
            <w:pPr>
              <w:pStyle w:val="NormalinTable"/>
              <w:jc w:val="center"/>
            </w:pPr>
            <w:r>
              <w:t>{SUPPUNIT}</w:t>
            </w:r>
          </w:p>
        </w:tc>//-->
      </w:tr>
      <w:tr>
        <w:trPr>
          <w:cantSplit/>
        </w:trPr>
        <w:tc>
          <w:p>
            <w:pPr>
              <w:pStyle w:val="NormalinTable"/>
            </w:pPr>
            <w:r>
              <w:rPr>
                <w:b/>
              </w:rPr>
              <w:t>2529 22 00 00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c>
          <w:p>
            <w:pPr>
              <w:pStyle w:val="NormalinTable"/>
              <w:jc w:val="center"/>
            </w:pPr>
            <w:r>
              <w:t>{SUPPUNIT}</w:t>
            </w:r>
          </w:p>
        </w:tc>//-->
      </w:tr>
      <w:tr>
        <w:trPr>
          <w:cantSplit/>
        </w:trPr>
        <w:tc>
          <w:p>
            <w:pPr>
              <w:pStyle w:val="NormalinTable"/>
            </w:pPr>
            <w:r>
              <w:rPr>
                <w:b/>
              </w:rPr>
              <w:t>2529 30 00 00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