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26</w:t>
      </w:r>
      <w:r>
        <w:br/>
        <w:t>Ores, Slag and Ash</w:t>
      </w:r>
    </w:p>
    <w:p>
      <w:pPr>
        <w:pStyle w:val="Heading3"/>
      </w:pPr>
      <w:r>
        <w:t>Chapter Notes</w:t>
      </w:r>
    </w:p>
    <w:p>
      <w:r>
        <w:t>1. This chapter does not cover:</w:t>
      </w:r>
    </w:p>
    <w:p>
      <w:pPr>
        <w:pStyle w:val="ListBullet"/>
      </w:pPr>
      <w:r>
        <w:t xml:space="preserve">slag or similar industrial waste prepared as macadam (heading 2517);</w:t>
      </w:r>
    </w:p>
    <w:p>
      <w:pPr>
        <w:pStyle w:val="ListBullet"/>
      </w:pPr>
      <w:r>
        <w:t xml:space="preserve">natural magnesium carbonate (magnesite), whether or not calcined (heading 2519);</w:t>
      </w:r>
    </w:p>
    <w:p>
      <w:pPr>
        <w:pStyle w:val="ListBullet"/>
      </w:pPr>
      <w:r>
        <w:t xml:space="preserve">sludges from the storage tanks of petroleum oils, consisting mainly of such oils (heading 2710);</w:t>
      </w:r>
    </w:p>
    <w:p>
      <w:pPr>
        <w:pStyle w:val="ListBullet"/>
      </w:pPr>
      <w:r>
        <w:t xml:space="preserve">basic slag of Chapter 31;</w:t>
      </w:r>
    </w:p>
    <w:p>
      <w:pPr>
        <w:pStyle w:val="ListBullet"/>
      </w:pPr>
      <w:r>
        <w:t xml:space="preserve">slag wool, rock wool or similar mineral wools (heading 6806);</w:t>
      </w:r>
    </w:p>
    <w:p>
      <w:pPr>
        <w:pStyle w:val="ListBullet"/>
      </w:pPr>
      <w:r>
        <w:t xml:space="preserve">waste or scrap of precious metal or of metal clad with precious metal; other waste or scrap containing precious metal or precious metal compounds, of a kind used principally for the recovery of precious metal (heading 7112); or</w:t>
      </w:r>
    </w:p>
    <w:p>
      <w:pPr>
        <w:pStyle w:val="ListBullet"/>
      </w:pPr>
      <w:r>
        <w:t xml:space="preserve">copper, nickel or cobalt mattes produced by any process of smelting (Section XV).</w:t>
      </w:r>
    </w:p>
    <w:p>
      <w:r>
        <w:t>2. 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r>
        <w:t>3. Heading 26.20 applies only to:</w:t>
      </w:r>
    </w:p>
    <w:p>
      <w:pPr>
        <w:pStyle w:val="ListBullet"/>
      </w:pPr>
      <w:r>
        <w:t xml:space="preserve">slag, ash and residues of a kind used in industry either for the extraction of metals or as a basis for the manufacture of chemical compounds of metals, excluding ash and residues from the incineration of municipal waste (heading 2621); and</w:t>
      </w:r>
    </w:p>
    <w:p>
      <w:pPr>
        <w:pStyle w:val="ListBullet"/>
      </w:pPr>
      <w:r>
        <w:t xml:space="preserve">slag, ash and residues containing arsenic, whether or not containing metals, of a kind used either for the extraction of arsenic or metals or for the manufacture of their chemical compounds.</w:t>
      </w:r>
    </w:p>
    <w:p>
      <w:r>
        <w:t/>
      </w:r>
    </w:p>
    <w:p>
      <w:pPr>
        <w:pStyle w:val="Heading3"/>
      </w:pPr>
      <w:r>
        <w:t> Subheading notes </w:t>
      </w:r>
    </w:p>
    <w:p>
      <w:r>
        <w:t/>
      </w:r>
    </w:p>
    <w:p>
      <w:r>
        <w:t>1. 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r>
        <w:t>2. 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ORES, SLAG AND ASH</w:t>
              <!--{FOOT}//-->
            </w:r>
          </w:p>
        </w:tc>
        <!--<w:tc>
          <w:p>
            <w:pPr>
              <w:pStyle w:val="NormalinTable"/>
              <w:jc w:val="center"/>
            </w:pPr>
            <w:r>
              <w:t>{SUPPUNIT}</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c>
          <w:p>
            <w:pPr>
              <w:pStyle w:val="NormalinTable"/>
              <w:jc w:val="center"/>
            </w:pPr>
            <w:r>
              <w:t>{SUPPUNIT}</w:t>
            </w:r>
          </w:p>
        </w:tc>//-->
      </w:tr>
      <w:tr>
        <w:trPr>
          <w:cantSplit/>
        </w:trPr>
        <w:tc>
          <w:p>
            <w:pPr>
              <w:pStyle w:val="NormalinTable"/>
            </w:pPr>
            <w:r>
              <w:rPr>
                <w:b/>
              </w:rPr>
              <w:t>2601 11 00 00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c>
          <w:p>
            <w:pPr>
              <w:pStyle w:val="NormalinTable"/>
              <w:jc w:val="center"/>
            </w:pPr>
            <w:r>
              <w:t>{SUPPUNIT}</w:t>
            </w:r>
          </w:p>
        </w:tc>//-->
      </w:tr>
      <w:tr>
        <w:trPr>
          <w:cantSplit/>
        </w:trPr>
        <w:tc>
          <w:p>
            <w:pPr>
              <w:pStyle w:val="NormalinTable"/>
            </w:pPr>
            <w:r>
              <w:rPr>
                <w:b/>
              </w:rPr>
              <w:t>2601 12 00 00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c>
          <w:p>
            <w:pPr>
              <w:pStyle w:val="NormalinTable"/>
              <w:jc w:val="center"/>
            </w:pPr>
            <w:r>
              <w:t>{SUPPUNIT}</w:t>
            </w:r>
          </w:p>
        </w:tc>//-->
      </w:tr>
      <w:tr>
        <w:trPr>
          <w:cantSplit/>
        </w:trPr>
        <w:tc>
          <w:p>
            <w:pPr>
              <w:pStyle w:val="NormalinTable"/>
            </w:pPr>
            <w:r>
              <w:rPr>
                <w:b/>
              </w:rPr>
              <w:t>2601 20 00 00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c>
          <w:p>
            <w:pPr>
              <w:pStyle w:val="NormalinTable"/>
              <w:jc w:val="center"/>
            </w:pPr>
            <w:r>
              <w:t>{SUPPUNIT}</w:t>
            </w:r>
          </w:p>
        </w:tc>//-->
      </w:tr>
      <w:tr>
        <w:trPr>
          <w:cantSplit/>
        </w:trPr>
        <w:tc>
          <w:p>
            <w:pPr>
              <w:pStyle w:val="NormalinTable"/>
            </w:pPr>
            <w:r>
              <w:rPr>
                <w:b/>
              </w:rPr>
              <w:t>2602 00 00 00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FOOT}//-->
            </w:r>
          </w:p>
        </w:tc>
        <!--<w:tc>
          <w:p>
            <w:pPr>
              <w:pStyle w:val="NormalinTable"/>
              <w:jc w:val="center"/>
            </w:pPr>
            <w:r>
              <w:t>{SUPPUNIT}</w:t>
            </w:r>
          </w:p>
        </w:tc>//-->
      </w:tr>
      <w:tr>
        <w:trPr>
          <w:cantSplit/>
        </w:trPr>
        <w:tc>
          <w:p>
            <w:pPr>
              <w:pStyle w:val="NormalinTable"/>
            </w:pPr>
            <w:r>
              <w:rPr>
                <w:b/>
              </w:rPr>
              <w:t>2603 00 00 00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c>
          <w:p>
            <w:pPr>
              <w:pStyle w:val="NormalinTable"/>
              <w:jc w:val="center"/>
            </w:pPr>
            <w:r>
              <w:t>{SUPPUNIT}</w:t>
            </w:r>
          </w:p>
        </w:tc>//-->
      </w:tr>
      <w:tr>
        <w:trPr>
          <w:cantSplit/>
        </w:trPr>
        <w:tc>
          <w:p>
            <w:pPr>
              <w:pStyle w:val="NormalinTable"/>
            </w:pPr>
            <w:r>
              <w:rPr>
                <w:b/>
              </w:rPr>
              <w:t>2604 00 00 00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c>
          <w:p>
            <w:pPr>
              <w:pStyle w:val="NormalinTable"/>
              <w:jc w:val="center"/>
            </w:pPr>
            <w:r>
              <w:t>{SUPPUNIT}</w:t>
            </w:r>
          </w:p>
        </w:tc>//-->
      </w:tr>
      <w:tr>
        <w:trPr>
          <w:cantSplit/>
        </w:trPr>
        <w:tc>
          <w:p>
            <w:pPr>
              <w:pStyle w:val="NormalinTable"/>
            </w:pPr>
            <w:r>
              <w:rPr>
                <w:b/>
              </w:rPr>
              <w:t>2605 00 00 00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c>
          <w:p>
            <w:pPr>
              <w:pStyle w:val="NormalinTable"/>
              <w:jc w:val="center"/>
            </w:pPr>
            <w:r>
              <w:t>{SUPPUNIT}</w:t>
            </w:r>
          </w:p>
        </w:tc>//-->
      </w:tr>
      <w:tr>
        <w:trPr>
          <w:cantSplit/>
        </w:trPr>
        <w:tc>
          <w:p>
            <w:pPr>
              <w:pStyle w:val="NormalinTable"/>
            </w:pPr>
            <w:r>
              <w:rPr>
                <w:b/>
              </w:rPr>
              <w:t>2606 00 00 00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c>
          <w:p>
            <w:pPr>
              <w:pStyle w:val="NormalinTable"/>
              <w:jc w:val="center"/>
            </w:pPr>
            <w:r>
              <w:t>{SUPPUNIT}</w:t>
            </w:r>
          </w:p>
        </w:tc>//-->
      </w:tr>
      <w:tr>
        <w:trPr>
          <w:cantSplit/>
        </w:trPr>
        <w:tc>
          <w:p>
            <w:pPr>
              <w:pStyle w:val="NormalinTable"/>
            </w:pPr>
            <w:r>
              <w:rPr>
                <w:b/>
              </w:rPr>
              <w:t>2607 00 00 00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c>
          <w:p>
            <w:pPr>
              <w:pStyle w:val="NormalinTable"/>
              <w:jc w:val="center"/>
            </w:pPr>
            <w:r>
              <w:t>{SUPPUNIT}</w:t>
            </w:r>
          </w:p>
        </w:tc>//-->
      </w:tr>
      <w:tr>
        <w:trPr>
          <w:cantSplit/>
        </w:trPr>
        <w:tc>
          <w:p>
            <w:pPr>
              <w:pStyle w:val="NormalinTable"/>
            </w:pPr>
            <w:r>
              <w:rPr>
                <w:b/>
              </w:rPr>
              <w:t>2608 00 00 00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c>
          <w:p>
            <w:pPr>
              <w:pStyle w:val="NormalinTable"/>
              <w:jc w:val="center"/>
            </w:pPr>
            <w:r>
              <w:t>{SUPPUNIT}</w:t>
            </w:r>
          </w:p>
        </w:tc>//-->
      </w:tr>
      <w:tr>
        <w:trPr>
          <w:cantSplit/>
        </w:trPr>
        <w:tc>
          <w:p>
            <w:pPr>
              <w:pStyle w:val="NormalinTable"/>
            </w:pPr>
            <w:r>
              <w:rPr>
                <w:b/>
              </w:rPr>
              <w:t>2609 00 00 00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c>
          <w:p>
            <w:pPr>
              <w:pStyle w:val="NormalinTable"/>
              <w:jc w:val="center"/>
            </w:pPr>
            <w:r>
              <w:t>{SUPPUNIT}</w:t>
            </w:r>
          </w:p>
        </w:tc>//-->
      </w:tr>
      <w:tr>
        <w:trPr>
          <w:cantSplit/>
        </w:trPr>
        <w:tc>
          <w:p>
            <w:pPr>
              <w:pStyle w:val="NormalinTable"/>
            </w:pPr>
            <w:r>
              <w:rPr>
                <w:b/>
              </w:rPr>
              <w:t>2610 00 00 00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c>
          <w:p>
            <w:pPr>
              <w:pStyle w:val="NormalinTable"/>
              <w:jc w:val="center"/>
            </w:pPr>
            <w:r>
              <w:t>{SUPPUNIT}</w:t>
            </w:r>
          </w:p>
        </w:tc>//-->
      </w:tr>
      <w:tr>
        <w:trPr>
          <w:cantSplit/>
        </w:trPr>
        <w:tc>
          <w:p>
            <w:pPr>
              <w:pStyle w:val="NormalinTable"/>
            </w:pPr>
            <w:r>
              <w:rPr>
                <w:b/>
              </w:rPr>
              <w:t>2611 00 00 00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c>
          <w:p>
            <w:pPr>
              <w:pStyle w:val="NormalinTable"/>
              <w:jc w:val="center"/>
            </w:pPr>
            <w:r>
              <w:t>{SUPPUNIT}</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c>
          <w:p>
            <w:pPr>
              <w:pStyle w:val="NormalinTable"/>
              <w:jc w:val="center"/>
            </w:pPr>
            <w:r>
              <w:t>{SUPPUNIT}</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c>
          <w:p>
            <w:pPr>
              <w:pStyle w:val="NormalinTable"/>
              <w:jc w:val="center"/>
            </w:pPr>
            <w:r>
              <w:t>{SUPPUNIT}</w:t>
            </w:r>
          </w:p>
        </w:tc>//-->
      </w:tr>
      <w:tr>
        <w:trPr>
          <w:cantSplit/>
        </w:trPr>
        <w:tc>
          <w:p>
            <w:pPr>
              <w:pStyle w:val="NormalinTable"/>
            </w:pPr>
            <w:r>
              <w:rPr>
                <w:b/>
              </w:rPr>
              <w:t>2612 10 10 00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FOOT}//-->
            </w:r>
          </w:p>
        </w:tc>
        <!--<w:tc>
          <w:p>
            <w:pPr>
              <w:pStyle w:val="NormalinTable"/>
              <w:jc w:val="center"/>
            </w:pPr>
            <w:r>
              <w:t>{SUPPUNIT}</w:t>
            </w:r>
          </w:p>
        </w:tc>//-->
      </w:tr>
      <w:tr>
        <w:trPr>
          <w:cantSplit/>
        </w:trPr>
        <w:tc>
          <w:p>
            <w:pPr>
              <w:pStyle w:val="NormalinTable"/>
            </w:pPr>
            <w:r>
              <w:rPr>
                <w:b/>
              </w:rPr>
              <w:t>2612 10 90 00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c>
          <w:p>
            <w:pPr>
              <w:pStyle w:val="NormalinTable"/>
              <w:jc w:val="center"/>
            </w:pPr>
            <w:r>
              <w:t>{SUPPUNIT}</w:t>
            </w:r>
          </w:p>
        </w:tc>//-->
      </w:tr>
      <w:tr>
        <w:trPr>
          <w:cantSplit/>
        </w:trPr>
        <w:tc>
          <w:p>
            <w:pPr>
              <w:pStyle w:val="NormalinTable"/>
            </w:pPr>
            <w:r>
              <w:rPr>
                <w:b/>
              </w:rPr>
              <w:t>2612 20 10 00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FOOT}//-->
            </w:r>
          </w:p>
        </w:tc>
        <!--<w:tc>
          <w:p>
            <w:pPr>
              <w:pStyle w:val="NormalinTable"/>
              <w:jc w:val="center"/>
            </w:pPr>
            <w:r>
              <w:t>{SUPPUNIT}</w:t>
            </w:r>
          </w:p>
        </w:tc>//-->
      </w:tr>
      <w:tr>
        <w:trPr>
          <w:cantSplit/>
        </w:trPr>
        <w:tc>
          <w:p>
            <w:pPr>
              <w:pStyle w:val="NormalinTable"/>
            </w:pPr>
            <w:r>
              <w:rPr>
                <w:b/>
              </w:rPr>
              <w:t>2612 20 90 00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c>
          <w:p>
            <w:pPr>
              <w:pStyle w:val="NormalinTable"/>
              <w:jc w:val="center"/>
            </w:pPr>
            <w:r>
              <w:t>{SUPPUNIT}</w:t>
            </w:r>
          </w:p>
        </w:tc>//-->
      </w:tr>
      <w:tr>
        <w:trPr>
          <w:cantSplit/>
        </w:trPr>
        <w:tc>
          <w:p>
            <w:pPr>
              <w:pStyle w:val="NormalinTable"/>
            </w:pPr>
            <w:r>
              <w:rPr>
                <w:b/>
              </w:rPr>
              <w:t>2613 10 00 00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2613 90 00 00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c>
          <w:p>
            <w:pPr>
              <w:pStyle w:val="NormalinTable"/>
              <w:jc w:val="center"/>
            </w:pPr>
            <w:r>
              <w:t>{SUPPUNIT}</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c>
          <w:p>
            <w:pPr>
              <w:pStyle w:val="NormalinTable"/>
              <w:jc w:val="center"/>
            </w:pPr>
            <w:r>
              <w:t>{SUPPUNIT}</w:t>
            </w:r>
          </w:p>
        </w:tc>//-->
      </w:tr>
      <w:tr>
        <w:trPr>
          <w:cantSplit/>
        </w:trPr>
        <w:tc>
          <w:p>
            <w:pPr>
              <w:pStyle w:val="NormalinTable"/>
            </w:pPr>
            <w:r>
              <w:rPr>
                <w:b/>
              </w:rPr>
              <w:t>2615 10 00 00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c>
          <w:p>
            <w:pPr>
              <w:pStyle w:val="NormalinTable"/>
              <w:jc w:val="center"/>
            </w:pPr>
            <w:r>
              <w:t>{SUPPUNIT}</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FOOT}//-->
            </w:r>
          </w:p>
        </w:tc>
        <!--<w:tc>
          <w:p>
            <w:pPr>
              <w:pStyle w:val="NormalinTable"/>
              <w:jc w:val="center"/>
            </w:pPr>
            <w:r>
              <w:t>{SUPPUNIT}</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c>
          <w:p>
            <w:pPr>
              <w:pStyle w:val="NormalinTable"/>
              <w:jc w:val="center"/>
            </w:pPr>
            <w:r>
              <w:t>{SUPPUNIT}</w:t>
            </w:r>
          </w:p>
        </w:tc>//-->
      </w:tr>
      <w:tr>
        <w:trPr>
          <w:cantSplit/>
        </w:trPr>
        <w:tc>
          <w:p>
            <w:pPr>
              <w:pStyle w:val="NormalinTable"/>
            </w:pPr>
            <w:r>
              <w:rPr>
                <w:b/>
              </w:rPr>
              <w:t>2616 10 00 00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c>
          <w:p>
            <w:pPr>
              <w:pStyle w:val="NormalinTable"/>
              <w:jc w:val="center"/>
            </w:pPr>
            <w:r>
              <w:t>{SUPPUNIT}</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FOOT}//-->
            </w:r>
          </w:p>
        </w:tc>
        <!--<w:tc>
          <w:p>
            <w:pPr>
              <w:pStyle w:val="NormalinTable"/>
              <w:jc w:val="center"/>
            </w:pPr>
            <w:r>
              <w:t>{SUPPUNIT}</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c>
          <w:p>
            <w:pPr>
              <w:pStyle w:val="NormalinTable"/>
              <w:jc w:val="center"/>
            </w:pPr>
            <w:r>
              <w:t>{SUPPUNIT}</w:t>
            </w:r>
          </w:p>
        </w:tc>//-->
      </w:tr>
      <w:tr>
        <w:trPr>
          <w:cantSplit/>
        </w:trPr>
        <w:tc>
          <w:p>
            <w:pPr>
              <w:pStyle w:val="NormalinTable"/>
            </w:pPr>
            <w:r>
              <w:rPr>
                <w:b/>
              </w:rPr>
              <w:t>2617 10 00 00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c>
          <w:p>
            <w:pPr>
              <w:pStyle w:val="NormalinTable"/>
              <w:jc w:val="center"/>
            </w:pPr>
            <w:r>
              <w:t>{SUPPUNIT}</w:t>
            </w:r>
          </w:p>
        </w:tc>//-->
      </w:tr>
      <w:tr>
        <w:trPr>
          <w:cantSplit/>
        </w:trPr>
        <w:tc>
          <w:p>
            <w:pPr>
              <w:pStyle w:val="NormalinTable"/>
            </w:pPr>
            <w:r>
              <w:rPr>
                <w:b/>
              </w:rPr>
              <w:t>2617 90 00 00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c>
          <w:p>
            <w:pPr>
              <w:pStyle w:val="NormalinTable"/>
              <w:jc w:val="center"/>
            </w:pPr>
            <w:r>
              <w:t>{SUPPUNIT}</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c>
          <w:p>
            <w:pPr>
              <w:pStyle w:val="NormalinTable"/>
              <w:jc w:val="center"/>
            </w:pPr>
            <w:r>
              <w:t>{SUPPUNIT}</w:t>
            </w:r>
          </w:p>
        </w:tc>//-->
      </w:tr>
      <w:tr>
        <w:trPr>
          <w:cantSplit/>
        </w:trPr>
        <w:tc>
          <w:p>
            <w:pPr>
              <w:pStyle w:val="NormalinTable"/>
            </w:pPr>
            <w:r>
              <w:rPr>
                <w:b/>
              </w:rPr>
              <w:t>2619 00 20 00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c>
          <w:p>
            <w:pPr>
              <w:pStyle w:val="NormalinTable"/>
              <w:jc w:val="center"/>
            </w:pPr>
            <w:r>
              <w:t>{SUPPUNIT}</w:t>
            </w:r>
          </w:p>
        </w:tc>//-->
      </w:tr>
      <w:tr>
        <w:trPr>
          <w:cantSplit/>
        </w:trPr>
        <w:tc>
          <w:p>
            <w:pPr>
              <w:pStyle w:val="NormalinTable"/>
            </w:pPr>
            <w:r>
              <w:rPr>
                <w:b/>
              </w:rPr>
              <w:t>2619 00 90 00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c>
          <w:p>
            <w:pPr>
              <w:pStyle w:val="NormalinTable"/>
              <w:jc w:val="center"/>
            </w:pPr>
            <w:r>
              <w:t>{SUPPUNIT}</w:t>
            </w:r>
          </w:p>
        </w:tc>//-->
      </w:tr>
      <w:tr>
        <w:trPr>
          <w:cantSplit/>
        </w:trPr>
        <w:tc>
          <w:p>
            <w:pPr>
              <w:pStyle w:val="NormalinTable"/>
            </w:pPr>
            <w:r>
              <w:rPr>
                <w:b/>
              </w:rPr>
              <w:t>2620 11 00 00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c>
          <w:p>
            <w:pPr>
              <w:pStyle w:val="NormalinTable"/>
              <w:jc w:val="center"/>
            </w:pPr>
            <w:r>
              <w:t>{SUPPUNIT}</w:t>
            </w:r>
          </w:p>
        </w:tc>//-->
      </w:tr>
      <w:tr>
        <w:trPr>
          <w:cantSplit/>
        </w:trPr>
        <w:tc>
          <w:p>
            <w:pPr>
              <w:pStyle w:val="NormalinTable"/>
            </w:pPr>
            <w:r>
              <w:rPr>
                <w:b/>
              </w:rPr>
              <w:t>2620 19 00 00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c>
          <w:p>
            <w:pPr>
              <w:pStyle w:val="NormalinTable"/>
              <w:jc w:val="center"/>
            </w:pPr>
            <w:r>
              <w:t>{SUPPUNIT}</w:t>
            </w:r>
          </w:p>
        </w:tc>//-->
      </w:tr>
      <w:tr>
        <w:trPr>
          <w:cantSplit/>
        </w:trPr>
        <w:tc>
          <w:p>
            <w:pPr>
              <w:pStyle w:val="NormalinTable"/>
            </w:pPr>
            <w:r>
              <w:rPr>
                <w:b/>
              </w:rPr>
              <w:t>2620 21 00 00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c>
          <w:p>
            <w:pPr>
              <w:pStyle w:val="NormalinTable"/>
              <w:jc w:val="center"/>
            </w:pPr>
            <w:r>
              <w:t>{SUPPUNIT}</w:t>
            </w:r>
          </w:p>
        </w:tc>//-->
      </w:tr>
      <w:tr>
        <w:trPr>
          <w:cantSplit/>
        </w:trPr>
        <w:tc>
          <w:p>
            <w:pPr>
              <w:pStyle w:val="NormalinTable"/>
            </w:pPr>
            <w:r>
              <w:rPr>
                <w:b/>
              </w:rPr>
              <w:t>2620 29 00 00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c>
          <w:p>
            <w:pPr>
              <w:pStyle w:val="NormalinTable"/>
              <w:jc w:val="center"/>
            </w:pPr>
            <w:r>
              <w:t>{SUPPUNIT}</w:t>
            </w:r>
          </w:p>
        </w:tc>//-->
      </w:tr>
      <w:tr>
        <w:trPr>
          <w:cantSplit/>
        </w:trPr>
        <w:tc>
          <w:p>
            <w:pPr>
              <w:pStyle w:val="NormalinTable"/>
            </w:pPr>
            <w:r>
              <w:rPr>
                <w:b/>
              </w:rPr>
              <w:t>2620 40 00 00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c>
          <w:p>
            <w:pPr>
              <w:pStyle w:val="NormalinTable"/>
              <w:jc w:val="center"/>
            </w:pPr>
            <w:r>
              <w:t>{SUPPUNIT}</w:t>
            </w:r>
          </w:p>
        </w:tc>//-->
      </w:tr>
      <w:tr>
        <w:trPr>
          <w:cantSplit/>
        </w:trPr>
        <w:tc>
          <w:p>
            <w:pPr>
              <w:pStyle w:val="NormalinTable"/>
            </w:pPr>
            <w:r>
              <w:rPr>
                <w:b/>
              </w:rPr>
              <w:t>2620 60 00 00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c>
          <w:p>
            <w:pPr>
              <w:pStyle w:val="NormalinTable"/>
              <w:jc w:val="center"/>
            </w:pPr>
            <w:r>
              <w:t>{SUPPUNIT}</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c>
          <w:p>
            <w:pPr>
              <w:pStyle w:val="NormalinTable"/>
              <w:jc w:val="center"/>
            </w:pPr>
            <w:r>
              <w:t>{SUPPUNIT}</w:t>
            </w:r>
          </w:p>
        </w:tc>//-->
      </w:tr>
      <w:tr>
        <w:trPr>
          <w:cantSplit/>
        </w:trPr>
        <w:tc>
          <w:p>
            <w:pPr>
              <w:pStyle w:val="NormalinTable"/>
            </w:pPr>
            <w:r>
              <w:rPr>
                <w:b/>
              </w:rPr>
              <w:t>2620 99 20 00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c>
          <w:p>
            <w:pPr>
              <w:pStyle w:val="NormalinTable"/>
              <w:jc w:val="center"/>
            </w:pPr>
            <w:r>
              <w:t>{SUPPUNIT}</w:t>
            </w:r>
          </w:p>
        </w:tc>//-->
      </w:tr>
      <w:tr>
        <w:trPr>
          <w:cantSplit/>
        </w:trPr>
        <w:tc>
          <w:p>
            <w:pPr>
              <w:pStyle w:val="NormalinTable"/>
            </w:pPr>
            <w:r>
              <w:rPr>
                <w:b/>
              </w:rPr>
              <w:t>2620 99 40 00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c>
          <w:p>
            <w:pPr>
              <w:pStyle w:val="NormalinTable"/>
              <w:jc w:val="center"/>
            </w:pPr>
            <w:r>
              <w:t>{SUPPUNIT}</w:t>
            </w:r>
          </w:p>
        </w:tc>//-->
      </w:tr>
      <w:tr>
        <w:trPr>
          <w:cantSplit/>
        </w:trPr>
        <w:tc>
          <w:p>
            <w:pPr>
              <w:pStyle w:val="NormalinTable"/>
            </w:pPr>
            <w:r>
              <w:rPr>
                <w:b/>
              </w:rPr>
              <w:t>2620 99 60 00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c>
          <w:p>
            <w:pPr>
              <w:pStyle w:val="NormalinTable"/>
              <w:jc w:val="center"/>
            </w:pPr>
            <w:r>
              <w:t>{SUPPUNIT}</w:t>
            </w:r>
          </w:p>
        </w:tc>//-->
      </w:tr>
      <w:tr>
        <w:trPr>
          <w:cantSplit/>
        </w:trPr>
        <w:tc>
          <w:p>
            <w:pPr>
              <w:pStyle w:val="NormalinTable"/>
            </w:pPr>
            <w:r>
              <w:rPr>
                <w:b/>
              </w:rPr>
              <w:t>2620 99 95 00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c>
          <w:p>
            <w:pPr>
              <w:pStyle w:val="NormalinTable"/>
              <w:jc w:val="center"/>
            </w:pPr>
            <w:r>
              <w:t>{SUPPUNIT}</w:t>
            </w:r>
          </w:p>
        </w:tc>//-->
      </w:tr>
      <w:tr>
        <w:trPr>
          <w:cantSplit/>
        </w:trPr>
        <w:tc>
          <w:p>
            <w:pPr>
              <w:pStyle w:val="NormalinTable"/>
            </w:pPr>
            <w:r>
              <w:rPr>
                <w:b/>
              </w:rPr>
              <w:t>2621 10 00 00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c>
          <w:p>
            <w:pPr>
              <w:pStyle w:val="NormalinTable"/>
              <w:jc w:val="center"/>
            </w:pPr>
            <w:r>
              <w:t>{SUPPUNIT}</w:t>
            </w:r>
          </w:p>
        </w:tc>//-->
      </w:tr>
      <w:tr>
        <w:trPr>
          <w:cantSplit/>
        </w:trPr>
        <w:tc>
          <w:p>
            <w:pPr>
              <w:pStyle w:val="NormalinTable"/>
            </w:pPr>
            <w:r>
              <w:rPr>
                <w:b/>
              </w:rPr>
              <w:t>2621 90 00 00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