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62F7" w14:textId="77777777" w:rsidR="0011071E" w:rsidRDefault="0011071E" w:rsidP="0011071E">
      <w:pPr>
        <w:spacing w:line="240" w:lineRule="auto"/>
        <w:jc w:val="center"/>
      </w:pPr>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26"/>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26"/>
        </w:numPr>
        <w:spacing w:line="240" w:lineRule="auto"/>
        <w:contextualSpacing w:val="0"/>
      </w:pPr>
      <w:r>
        <w:t>medicaments of heading 3003 or 3004; or</w:t>
      </w:r>
    </w:p>
    <w:p w14:paraId="1D7D6645" w14:textId="39843391" w:rsidR="0011071E" w:rsidRDefault="0011071E" w:rsidP="0011071E">
      <w:pPr>
        <w:pStyle w:val="ListBullet"/>
        <w:numPr>
          <w:ilvl w:val="0"/>
          <w:numId w:val="26"/>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27"/>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27"/>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27"/>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 xml:space="preserve">Subheading </w:t>
      </w:r>
      <w:r>
        <w:t>N</w:t>
      </w:r>
      <w:r>
        <w:t>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2. For the purposes of subheading 2701 12, 'bituminous coal' means coal having a volatile matter limit (on a dry, mineral-matter-free basis) exceeding 14% and a colorific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'toluol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 xml:space="preserve">Additional </w:t>
      </w:r>
      <w:r>
        <w:t>C</w:t>
      </w:r>
      <w:r>
        <w:t xml:space="preserve">hapter </w:t>
      </w:r>
      <w:r>
        <w:t>N</w:t>
      </w:r>
      <w:r>
        <w:t>ote</w:t>
      </w:r>
      <w:r w:rsidRPr="00FD3387">
        <w:t>s</w:t>
      </w:r>
    </w:p>
    <w:p w14:paraId="38074C55" w14:textId="77777777" w:rsidR="0011071E" w:rsidRPr="00FD3387" w:rsidRDefault="0011071E" w:rsidP="0011071E">
      <w:pPr>
        <w:spacing w:line="240" w:lineRule="auto"/>
      </w:pPr>
      <w:r w:rsidRPr="00FD3387">
        <w:t xml:space="preserve">1. For the purposes of subheading 2707 99 80 the term phenols </w:t>
      </w:r>
      <w:proofErr w:type="gramStart"/>
      <w:r w:rsidRPr="00FD3387">
        <w:t>applies</w:t>
      </w:r>
      <w:proofErr w:type="gramEnd"/>
      <w:r w:rsidRPr="00FD3387">
        <w:t xml:space="preserve">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28"/>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28"/>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28"/>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28"/>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28"/>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28"/>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29"/>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30"/>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30"/>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31"/>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31"/>
        </w:numPr>
        <w:spacing w:line="240" w:lineRule="auto"/>
        <w:contextualSpacing w:val="0"/>
      </w:pPr>
      <w:r w:rsidRPr="00FD3387">
        <w:t>redistillation by a very thorough fractionation process;</w:t>
      </w:r>
    </w:p>
    <w:p w14:paraId="78BECDE7" w14:textId="77777777" w:rsidR="0011071E" w:rsidRPr="00FD3387" w:rsidRDefault="0011071E" w:rsidP="0011071E">
      <w:pPr>
        <w:pStyle w:val="ListBullet"/>
        <w:numPr>
          <w:ilvl w:val="0"/>
          <w:numId w:val="31"/>
        </w:numPr>
        <w:spacing w:line="240" w:lineRule="auto"/>
        <w:contextualSpacing w:val="0"/>
      </w:pPr>
      <w:r w:rsidRPr="00FD3387">
        <w:t>cracking;</w:t>
      </w:r>
    </w:p>
    <w:p w14:paraId="4AEDFCF8" w14:textId="77777777" w:rsidR="0011071E" w:rsidRPr="00FD3387" w:rsidRDefault="0011071E" w:rsidP="0011071E">
      <w:pPr>
        <w:pStyle w:val="ListBullet"/>
        <w:numPr>
          <w:ilvl w:val="0"/>
          <w:numId w:val="31"/>
        </w:numPr>
        <w:spacing w:line="240" w:lineRule="auto"/>
        <w:contextualSpacing w:val="0"/>
      </w:pPr>
      <w:r w:rsidRPr="00FD3387">
        <w:t>reforming;</w:t>
      </w:r>
    </w:p>
    <w:p w14:paraId="270E9F38" w14:textId="77777777" w:rsidR="0011071E" w:rsidRPr="00FD3387" w:rsidRDefault="0011071E" w:rsidP="0011071E">
      <w:pPr>
        <w:pStyle w:val="ListBullet"/>
        <w:numPr>
          <w:ilvl w:val="0"/>
          <w:numId w:val="31"/>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31"/>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31"/>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31"/>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r w:rsidRPr="00FD3387">
        <w:t>ij</w:t>
      </w:r>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32"/>
        </w:numPr>
        <w:spacing w:line="240" w:lineRule="auto"/>
        <w:contextualSpacing w:val="0"/>
      </w:pPr>
      <w:r w:rsidRPr="00FD3387">
        <w:t>(in respect of products of heading 2710 only) deparaffing by a process other than filtering;</w:t>
      </w:r>
    </w:p>
    <w:p w14:paraId="222B60B2"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w:t>
      </w:r>
      <w:bookmarkStart w:id="0" w:name="_GoBack"/>
      <w:bookmarkEnd w:id="0"/>
      <w:r w:rsidRPr="00FD3387">
        <w:t>031: de-oiling by fractional crystallisation.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FUELS, MINERAL OILS AND PRODUCTS OF THEIR DISTILLATION; BITUMINOUS SUBSTANCES; MINERAL WAXES</w:t>
              <!--{FOOT}//-->
            </w:r>
          </w:p>
        </w:tc>
        <!--<w:tc>
          <w:p>
            <w:pPr>
              <w:pStyle w:val="NormalinTable"/>
              <w:jc w:val="center"/>
            </w:pPr>
            <w:r>
              <w:t>{SUPPUNIT}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c>
          <w:p>
            <w:pPr>
              <w:pStyle w:val="NormalinTable"/>
              <w:jc w:val="center"/>
            </w:pPr>
            <w:r>
              <w:t>{SUPPUNIT}</w:t>
            </w:r>
          </w:p>
        </w:tc>//-->
      </w:tr>
      <w:tr>
        <w:trPr>
          <w:cantSplit/>
        </w:trPr>
        <w:tc>
          <w:p>
            <w:pPr>
              <w:pStyle w:val="NormalinTable"/>
            </w:pPr>
            <w:r>
              <w:rPr>
                <w:b/>
              </w:rPr>
              <w:t>2707 99 19 00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2710 19 64 00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2710 19 68 00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2</w:t>
            </w:r>
            <w:r>
              <w:t xml:space="preserve">/s, or</w:t>
            </w:r>
            <w:r>
              <w:br/>
              <w:t>- a kinematic viscosity at 40 °C of more than 11 mm</w:t>
            </w:r>
            <w:r>
              <w:rPr>
                <w:vertAlign w:val="superscript"/>
              </w:rPr>
              <w:t>2</w:t>
            </w:r>
            <w:r>
              <w:t xml:space="preserve">/s with a viscosity index of 120 or more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by weight but not exceeding 0,05%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by weight but not exceeding 0,1%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c>
          <w:p>
            <w:pPr>
              <w:pStyle w:val="NormalinTable"/>
              <w:jc w:val="center"/>
            </w:pPr>
            <w:r>
              <w:t>{SUPPUNIT}</w:t>
            </w:r>
          </w:p>
        </w:tc>//-->
      </w:tr>
      <w:tr>
        <w:trPr>
          <w:cantSplit/>
        </w:trPr>
        <w:tc>
          <w:p>
            <w:pPr>
              <w:pStyle w:val="NormalinTable"/>
            </w:pPr>
            <w:r>
              <w:rPr>
                <w:b/>
              </w:rPr>
              <w:t>2710 20 90 00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c>
          <w:p>
            <w:pPr>
              <w:pStyle w:val="NormalinTable"/>
              <w:jc w:val="center"/>
            </w:pPr>
            <w:r>
              <w:t>{SUPPUNIT}</w:t>
            </w:r>
          </w:p>
        </w:tc>//-->
      </w:tr>
      <w:tr>
        <w:trPr>
          <w:cantSplit/>
        </w:trPr>
        <w:tc>
          <w:p>
            <w:pPr>
              <w:pStyle w:val="NormalinTable"/>
            </w:pPr>
            <w:r>
              <w:rPr>
                <w:b/>
              </w:rPr>
              <w:t>2711 12 11 00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c>
          <w:p>
            <w:pPr>
              <w:pStyle w:val="NormalinTable"/>
              <w:jc w:val="center"/>
            </w:pPr>
            <w:r>
              <w:t>{SUPPUNIT}</w:t>
            </w:r>
          </w:p>
        </w:tc>//-->
      </w:tr>
      <w:tr>
        <w:trPr>
          <w:cantSplit/>
        </w:trPr>
        <w:tc>
          <w:p>
            <w:pPr>
              <w:pStyle w:val="NormalinTable"/>
            </w:pPr>
            <w:r>
              <w:rPr>
                <w:b/>
              </w:rPr>
              <w:t>2711 12 97 00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c>
          <w:p>
            <w:pPr>
              <w:pStyle w:val="NormalinTable"/>
              <w:jc w:val="center"/>
            </w:pPr>
            <w:r>
              <w:t>{SUPPUNIT}</w:t>
            </w:r>
          </w:p>
        </w:tc>//-->
      </w:tr>
      <w:tr>
        <w:trPr>
          <w:cantSplit/>
        </w:trPr>
        <w:tc>
          <w:p>
            <w:pPr>
              <w:pStyle w:val="NormalinTable"/>
            </w:pPr>
            <w:r>
              <w:rPr>
                <w:b/>
              </w:rPr>
              <w:t>2711 13 97 00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c>
          <w:p>
            <w:pPr>
              <w:pStyle w:val="NormalinTable"/>
              <w:jc w:val="center"/>
            </w:pPr>
            <w:r>
              <w:t>{SUPPUNIT}</w:t>
            </w:r>
          </w:p>
        </w:tc>//-->
      </w:tr>
      <w:tr>
        <w:trPr>
          <w:cantSplit/>
        </w:trPr>
        <w:tc>
          <w:p>
            <w:pPr>
              <w:pStyle w:val="NormalinTable"/>
            </w:pPr>
            <w:r>
              <w:rPr>
                <w:b/>
              </w:rPr>
              <w:t>2712 20 10 00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Slack wax (CAS RN 64742-61-6)</w:t>
              <!--{FOOT}//-->
            </w:r>
          </w:p>
        </w:tc>
        <!--<w:tc>
          <w:p>
            <w:pPr>
              <w:pStyle w:val="NormalinTable"/>
              <w:jc w:val="center"/>
            </w:pPr>
            <w:r>
              <w:t>{SUPPUNIT}</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or more of 1-alkenes of a chain length of 24 carbon atoms or more but not exceeding 64 carbon atoms containing by weight more than 72%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sectPr w:rsidR="00E4554C" w:rsidRPr="0011071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0CC0" w14:textId="77777777" w:rsidR="00EE7E97" w:rsidRDefault="00EE7E97" w:rsidP="00A0507B">
      <w:pPr>
        <w:spacing w:after="0" w:line="240" w:lineRule="auto"/>
      </w:pPr>
      <w:r>
        <w:separator/>
      </w:r>
    </w:p>
  </w:endnote>
  <w:endnote w:type="continuationSeparator" w:id="0">
    <w:p w14:paraId="12FC0842" w14:textId="77777777" w:rsidR="00EE7E97" w:rsidRDefault="00EE7E9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87568" w14:textId="77777777" w:rsidR="00EE7E97" w:rsidRDefault="00EE7E97">
      <w:pPr>
        <w:spacing w:after="0" w:line="240" w:lineRule="auto"/>
      </w:pPr>
      <w:r>
        <w:separator/>
      </w:r>
    </w:p>
  </w:footnote>
  <w:footnote w:type="continuationSeparator" w:id="0">
    <w:p w14:paraId="2B07E5FD" w14:textId="77777777" w:rsidR="00EE7E97" w:rsidRDefault="00EE7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71E"/>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2E00"/>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E97"/>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EB81277-C06D-2B4B-9A76-1572E33C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2019-07-08T08:46:00Z</dcterms:created>
  <dcterms:modified xsi:type="dcterms:W3CDTF">2019-07-09T15:37:00Z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