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pPr>
        <w:pStyle w:val="Heading3"/>
      </w:pPr>
      <w:r>
        <w:t>Chapter Notes</w:t>
      </w:r>
    </w:p>
    <w:p>
      <w:r>
        <w:t>This chapter does not cover:</w:t>
      </w:r>
    </w:p>
    <w:p>
      <w:r>
        <w:t/>
      </w:r>
    </w:p>
    <w:p>
      <w:r>
        <w:t>(a) foods or beverages (such as dietetic, diabetic or fortified foods, food supplements, tonic beverages and mineral waters), other than nutritional preparations for intravenous administration (Section IV);</w:t>
      </w:r>
    </w:p>
    <w:p>
      <w:r>
        <w:t/>
      </w:r>
    </w:p>
    <w:p>
      <w:r>
        <w:t>(b) preparations, such as tablets, chewing gum or patches (transdermal systems), intended to assist smokers to stop smoking (heading 2106 or 3824);</w:t>
      </w:r>
    </w:p>
    <w:p>
      <w:r>
        <w:t/>
      </w:r>
    </w:p>
    <w:p>
      <w:r>
        <w:t>(c) plasters specially calcined or finely ground for use in dentistry (heading 2520);</w:t>
      </w:r>
    </w:p>
    <w:p>
      <w:r>
        <w:t/>
      </w:r>
    </w:p>
    <w:p>
      <w:r>
        <w:t>(d) aqueous distillates or aqueous solutions of essential oils, suitable for medicinal uses (heading 3301);</w:t>
      </w:r>
    </w:p>
    <w:p>
      <w:r>
        <w:t/>
      </w:r>
    </w:p>
    <w:p>
      <w:r>
        <w:t>(e) preparations of headings 3303 to 3307, even if they have therapeutic or prophylactic properties;</w:t>
      </w:r>
    </w:p>
    <w:p>
      <w:r>
        <w:t/>
      </w:r>
    </w:p>
    <w:p>
      <w:r>
        <w:t>(f) soap or other products of heading 3401 containing added medicaments;</w:t>
      </w:r>
    </w:p>
    <w:p>
      <w:r>
        <w:t/>
      </w:r>
    </w:p>
    <w:p>
      <w:r>
        <w:t>(g) preparations with a basis of plaster for use in dentistry (heading 3407); or</w:t>
      </w:r>
    </w:p>
    <w:p>
      <w:r>
        <w:t/>
      </w:r>
    </w:p>
    <w:p>
      <w:r>
        <w:t>(h) blood albumin not prepared for therapeutic or prophylactic uses (heading 3502).</w:t>
      </w:r>
    </w:p>
    <w:p>
      <w:r>
        <w:t/>
      </w:r>
    </w:p>
    <w:p>
      <w:r>
        <w:t>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hematopoietins and colony-stimulating factors (CSF).</w:t>
      </w:r>
    </w:p>
    <w:p>
      <w:r>
        <w:t/>
      </w:r>
    </w:p>
    <w:p>
      <w:r>
        <w:t>3 For the purposes of headings 3003 and 3004 and of note 4(d) to this chapter, the following are to be treated:</w:t>
      </w:r>
    </w:p>
    <w:p>
      <w:r>
        <w:t/>
      </w:r>
    </w:p>
    <w:p>
      <w:r>
        <w:t>(a) as unmixed products:</w:t>
      </w:r>
    </w:p>
    <w:p>
      <w:r>
        <w:t/>
      </w:r>
    </w:p>
    <w:p>
      <w:r>
        <w:t>(1) unmixed products dissolved in water;</w:t>
      </w:r>
    </w:p>
    <w:p>
      <w:r>
        <w:t/>
      </w:r>
    </w:p>
    <w:p>
      <w:r>
        <w:t>(2) all goods of Chapter 28 or 29; and</w:t>
      </w:r>
    </w:p>
    <w:p>
      <w:r>
        <w:t/>
      </w:r>
    </w:p>
    <w:p>
      <w:r>
        <w:t>(3) simple vegetable extracts of heading 1302, merely standardised or dissolved in any solvent;</w:t>
      </w:r>
    </w:p>
    <w:p>
      <w:r>
        <w:t/>
      </w:r>
    </w:p>
    <w:p>
      <w:r>
        <w:t>(b) as products which have been mixed:</w:t>
      </w:r>
    </w:p>
    <w:p>
      <w:r>
        <w:t/>
      </w:r>
    </w:p>
    <w:p>
      <w:r>
        <w:t>(1) colloidal solutions and suspensions (other than colloidal sulphur);</w:t>
      </w:r>
    </w:p>
    <w:p>
      <w:r>
        <w:t/>
      </w:r>
    </w:p>
    <w:p>
      <w:r>
        <w:t>(2) vegetable extracts obtained by the treatment of mixtures of vegetable materials; and</w:t>
      </w:r>
    </w:p>
    <w:p>
      <w:r>
        <w:t/>
      </w:r>
    </w:p>
    <w:p>
      <w:r>
        <w:t>(3) salts and concentrates obtained by evaporating natural mineral waters.</w:t>
      </w:r>
    </w:p>
    <w:p>
      <w:r>
        <w:t/>
      </w:r>
    </w:p>
    <w:p>
      <w:r>
        <w:t>4 Heading 3006 applies only to the following, which are to be classified in that heading and in no other heading of the nomenclature:</w:t>
      </w:r>
    </w:p>
    <w:p>
      <w:r>
        <w:t/>
      </w:r>
    </w:p>
    <w:p>
      <w:r>
        <w:t>(a) sterile surgical catgut, similar sterile suture materials (including sterile absorbable surgical or dental yarns) and sterile tissue adhesives for surgical wound closure;</w:t>
      </w:r>
    </w:p>
    <w:p>
      <w:r>
        <w:t/>
      </w:r>
    </w:p>
    <w:p>
      <w:r>
        <w:t>(b) sterile laminaria and sterile laminaria tents;</w:t>
      </w:r>
    </w:p>
    <w:p>
      <w:r>
        <w:t/>
      </w:r>
    </w:p>
    <w:p>
      <w:r>
        <w:t>(c) sterile absorbable surgical or dental haemostatics; sterile surgical or dental adhesion barriers, whether or not absorbable;</w:t>
      </w:r>
    </w:p>
    <w:p>
      <w:r>
        <w:t/>
      </w:r>
    </w:p>
    <w:p>
      <w:r>
        <w:t>(d) opacifying preparations for X-ray examinations and diagnostic reagents designed to be administered to the patient, being unmixed products put up in measured doses or products consisting of two or more ingredients which have been mixed together for such uses;</w:t>
      </w:r>
    </w:p>
    <w:p>
      <w:r>
        <w:t/>
      </w:r>
    </w:p>
    <w:p>
      <w:r>
        <w:t>(e) blood-grouping reagents;</w:t>
      </w:r>
    </w:p>
    <w:p>
      <w:r>
        <w:t/>
      </w:r>
    </w:p>
    <w:p>
      <w:r>
        <w:t>(f) dental cements and other dental fillings; bone reconstruction cements;</w:t>
      </w:r>
    </w:p>
    <w:p>
      <w:r>
        <w:t/>
      </w:r>
    </w:p>
    <w:p>
      <w:r>
        <w:t>(g) first-aid boxes and kits;</w:t>
      </w:r>
    </w:p>
    <w:p>
      <w:r>
        <w:t/>
      </w:r>
    </w:p>
    <w:p>
      <w:r>
        <w:t>(h) chemical contraceptive preparations based on hormones, on other products of heading 2937 or on spermicides;</w:t>
      </w:r>
    </w:p>
    <w:p>
      <w:r>
        <w:t/>
      </w:r>
    </w:p>
    <w:p>
      <w:r>
        <w:t>(ij) gel preparations designed to be used in human or veterinary medicine as a lubricant for parts of the body for surgical operations or physical examinations or as a coupling agent between the body and medical instruments;</w:t>
      </w:r>
    </w:p>
    <w:p>
      <w:r>
        <w:t/>
      </w:r>
    </w:p>
    <w:p>
      <w:r>
        <w:t>(k) waste pharmaceuticals, that is, pharmaceutical products which are unfit for their original intended purpose due to, for example, expiry of shelf life; and</w:t>
      </w:r>
    </w:p>
    <w:p>
      <w:r>
        <w:t/>
      </w:r>
    </w:p>
    <w:p>
      <w:r>
        <w:t>(l) appliances identifiable for ostomy use, that is, colostomy, ileostomy and urostomy pouches cut to shape and their adhesive wafers</w:t>
      </w:r>
    </w:p>
    <w:p>
      <w:r>
        <w:t>or faceplates.</w:t>
      </w:r>
    </w:p>
    <w:p>
      <w:r>
        <w:t/>
      </w:r>
    </w:p>
    <w:p>
      <w:pPr>
        <w:pStyle w:val="Heading3"/>
      </w:pPr>
      <w:r>
        <w:t> Subheading notes </w:t>
      </w:r>
    </w:p>
    <w:p>
      <w:r>
        <w:t/>
      </w:r>
    </w:p>
    <w:p>
      <w:r>
        <w:t>1 For the purposes of subheadings 3002 13 and 3002 14, the following are to be treated:</w:t>
      </w:r>
    </w:p>
    <w:p>
      <w:r>
        <w:t/>
      </w:r>
    </w:p>
    <w:p>
      <w:r>
        <w:t>(a) as unmixed products, pure products, whether or not containing impurities;</w:t>
      </w:r>
    </w:p>
    <w:p>
      <w:r>
        <w:t/>
      </w:r>
    </w:p>
    <w:p>
      <w:r>
        <w:t>(b) as products which have been mixed:</w:t>
      </w:r>
    </w:p>
    <w:p>
      <w:r>
        <w:t/>
      </w:r>
    </w:p>
    <w:p>
      <w:r>
        <w:t>(1) the products mentioned in (a) above dissolved in water or in other solvents;</w:t>
      </w:r>
    </w:p>
    <w:p>
      <w:r>
        <w:t/>
      </w:r>
    </w:p>
    <w:p>
      <w:r>
        <w:t>(2) the products mentioned in (a) and (b) (1) above with an added stabiliser necessary for their preservation or transport; and</w:t>
      </w:r>
    </w:p>
    <w:p>
      <w:r>
        <w:t/>
      </w:r>
    </w:p>
    <w:p>
      <w:r>
        <w:t>(3) The products mentioned in (a), (b) (1) and (b) (2) above with any other additive.</w:t>
      </w:r>
    </w:p>
    <w:p>
      <w:r>
        <w:t/>
      </w:r>
    </w:p>
    <w:p>
      <w:r>
        <w:t>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artelinic acid or its salts; artenimol (INN); artemotil (INN); artemether (INN); artesunate (INN); chloroquine (INN); dihydroartemisinin (INN); lumefantrine (INN); mefloquine (INN); piperaquine (INN); pyrimethamine (INN) or sulfadoxine (INN).</w:t>
      </w:r>
    </w:p>
    <w:p>
      <w:r>
        <w:t/>
      </w:r>
    </w:p>
    <w:p>
      <w:r>
        <w:t/>
      </w:r>
    </w:p>
    <w:p>
      <w:pPr>
        <w:pStyle w:val="Heading3"/>
      </w:pPr>
      <w:r>
        <w:t> Additional note </w:t>
      </w:r>
    </w:p>
    <w:p>
      <w:r>
        <w:t/>
      </w:r>
    </w:p>
    <w:p>
      <w:r>
        <w:t>1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r>
        <w:t/>
      </w:r>
    </w:p>
    <w:p>
      <w:r>
        <w:t>(a) the specific diseases, ailments or their symptoms for which the product is to be used;</w:t>
      </w:r>
    </w:p>
    <w:p>
      <w:r>
        <w:t/>
      </w:r>
    </w:p>
    <w:p>
      <w:r>
        <w:t>(b) the concentration of active substance or substances contained therein;</w:t>
      </w:r>
    </w:p>
    <w:p>
      <w:r>
        <w:t/>
      </w:r>
    </w:p>
    <w:p>
      <w:r>
        <w:t>(c) dosage; and</w:t>
      </w:r>
    </w:p>
    <w:p>
      <w:r>
        <w:t/>
      </w:r>
    </w:p>
    <w:p>
      <w:r>
        <w:t>(d) mode of application.</w:t>
      </w:r>
    </w:p>
    <w:p>
      <w:r>
        <w:t/>
      </w:r>
    </w:p>
    <w:p>
      <w:r>
        <w:t>This heading includes homeopathic medicinal preparations when they meet the conditions of (a), (c) and (d) mentioned above.</w:t>
      </w:r>
    </w:p>
    <w:p>
      <w:r>
        <w:t/>
      </w:r>
    </w:p>
    <w:p>
      <w:r>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well-being.</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PRODUCTS</w:t>
              <!--{FOOT}//-->
            </w:r>
          </w:p>
        </w:tc>
        <!--<w:tc>
          <w:p>
            <w:pPr>
              <w:pStyle w:val="NormalinTable"/>
              <w:jc w:val="center"/>
            </w:pPr>
            <w:r>
              <w:t>{SUPPUNIT}</w:t>
            </w:r>
          </w:p>
        </w:tc>//-->
      </w:tr>
      <w:tr>
        <w:trPr>
          <w:cantSplit/>
        </w:trPr>
        <w:tc>
          <w:p>
            <w:pPr>
              <w:pStyle w:val="NormalinTable"/>
            </w:pPr>
            <w:r>
              <w:rPr>
                <w:b/>
              </w:rPr>
              <w:t>3001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c>
          <w:p>
            <w:pPr>
              <w:pStyle w:val="NormalinTable"/>
              <w:jc w:val="center"/>
            </w:pPr>
            <w:r>
              <w:t>{SUPPUNIT}</w:t>
            </w:r>
          </w:p>
        </w:tc>//-->
      </w:tr>
      <w:tr>
        <w:trPr>
          <w:cantSplit/>
        </w:trPr>
        <w:tc>
          <w:p>
            <w:pPr>
              <w:pStyle w:val="NormalinTable"/>
            </w:pPr>
            <w:r>
              <w:rPr>
                <w:b/>
              </w:rPr>
              <w:t>3001 20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FOOT}//-->
            </w:r>
          </w:p>
        </w:tc>
        <!--<w:tc>
          <w:p>
            <w:pPr>
              <w:pStyle w:val="NormalinTable"/>
              <w:jc w:val="center"/>
            </w:pPr>
            <w:r>
              <w:t>{SUPPUNIT}</w:t>
            </w:r>
          </w:p>
        </w:tc>//-->
      </w:tr>
      <w:tr>
        <w:trPr>
          <w:cantSplit/>
        </w:trPr>
        <w:tc>
          <w:p>
            <w:pPr>
              <w:pStyle w:val="NormalinTable"/>
            </w:pPr>
            <w:r>
              <w:rPr>
                <w:b/>
              </w:rPr>
              <w:t>3001 20 10 00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c>
          <w:p>
            <w:pPr>
              <w:pStyle w:val="NormalinTable"/>
              <w:jc w:val="center"/>
            </w:pPr>
            <w:r>
              <w:t>{SUPPUNIT}</w:t>
            </w:r>
          </w:p>
        </w:tc>//-->
      </w:tr>
      <w:tr>
        <w:trPr>
          <w:cantSplit/>
        </w:trPr>
        <w:tc>
          <w:p>
            <w:pPr>
              <w:pStyle w:val="NormalinTable"/>
            </w:pPr>
            <w:r>
              <w:rPr>
                <w:b/>
              </w:rPr>
              <w:t>3001 20 90 00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FOOT}//-->
            </w:r>
          </w:p>
        </w:tc>
        <!--<w:tc>
          <w:p>
            <w:pPr>
              <w:pStyle w:val="NormalinTable"/>
              <w:jc w:val="center"/>
            </w:pPr>
            <w:r>
              <w:t>{SUPPUNIT}</w:t>
            </w:r>
          </w:p>
        </w:tc>//-->
      </w:tr>
      <w:tr>
        <w:trPr>
          <w:cantSplit/>
        </w:trPr>
        <w:tc>
          <w:p>
            <w:pPr>
              <w:pStyle w:val="NormalinTable"/>
            </w:pPr>
            <w:r>
              <w:rPr>
                <w:b/>
              </w:rPr>
              <w:t>3001 90 98 00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FOOT}//-->
            </w:r>
          </w:p>
        </w:tc>
        <!--<w:tc>
          <w:p>
            <w:pPr>
              <w:pStyle w:val="NormalinTable"/>
              <w:jc w:val="center"/>
            </w:pPr>
            <w:r>
              <w:t>{SUPPUNIT}</w:t>
            </w:r>
          </w:p>
        </w:tc>//-->
      </w:tr>
      <w:tr>
        <w:trPr>
          <w:cantSplit/>
        </w:trPr>
        <w:tc>
          <w:p>
            <w:pPr>
              <w:pStyle w:val="NormalinTable"/>
            </w:pPr>
            <w:r>
              <w:rPr>
                <w:b/>
              </w:rPr>
              <w:t>3002 11 00 00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FOOT}//-->
            </w:r>
          </w:p>
        </w:tc>
        <!--<w:tc>
          <w:p>
            <w:pPr>
              <w:pStyle w:val="NormalinTable"/>
              <w:jc w:val="center"/>
            </w:pPr>
            <w:r>
              <w:t>{SUPPUNIT}</w:t>
            </w:r>
          </w:p>
        </w:tc>//-->
      </w:tr>
      <w:tr>
        <w:trPr>
          <w:cantSplit/>
        </w:trPr>
        <w:tc>
          <w:p>
            <w:pPr>
              <w:pStyle w:val="NormalinTable"/>
            </w:pPr>
            <w:r>
              <w:rPr>
                <w:b/>
              </w:rPr>
              <w:t>3002 12 00 00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FOOT}//-->
            </w:r>
          </w:p>
        </w:tc>
        <!--<w:tc>
          <w:p>
            <w:pPr>
              <w:pStyle w:val="NormalinTable"/>
              <w:jc w:val="center"/>
            </w:pPr>
            <w:r>
              <w:t>{SUPPUNIT}</w:t>
            </w:r>
          </w:p>
        </w:tc>//-->
      </w:tr>
      <w:tr>
        <w:trPr>
          <w:cantSplit/>
        </w:trPr>
        <w:tc>
          <w:p>
            <w:pPr>
              <w:pStyle w:val="NormalinTable"/>
            </w:pPr>
            <w:r>
              <w:rPr>
                <w:b/>
              </w:rPr>
              <w:t>3002 13 00 00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FOOT}//-->
            </w:r>
          </w:p>
        </w:tc>
        <!--<w:tc>
          <w:p>
            <w:pPr>
              <w:pStyle w:val="NormalinTable"/>
              <w:jc w:val="center"/>
            </w:pPr>
            <w:r>
              <w:t>{SUPPUNIT}</w:t>
            </w:r>
          </w:p>
        </w:tc>//-->
      </w:tr>
      <w:tr>
        <w:trPr>
          <w:cantSplit/>
        </w:trPr>
        <w:tc>
          <w:p>
            <w:pPr>
              <w:pStyle w:val="NormalinTable"/>
            </w:pPr>
            <w:r>
              <w:rPr>
                <w:b/>
              </w:rPr>
              <w:t>3002 14 00 00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FOOT}//-->
            </w:r>
          </w:p>
        </w:tc>
        <!--<w:tc>
          <w:p>
            <w:pPr>
              <w:pStyle w:val="NormalinTable"/>
              <w:jc w:val="center"/>
            </w:pPr>
            <w:r>
              <w:t>{SUPPUNIT}</w:t>
            </w:r>
          </w:p>
        </w:tc>//-->
      </w:tr>
      <w:tr>
        <w:trPr>
          <w:cantSplit/>
        </w:trPr>
        <w:tc>
          <w:p>
            <w:pPr>
              <w:pStyle w:val="NormalinTable"/>
            </w:pPr>
            <w:r>
              <w:rPr>
                <w:b/>
              </w:rPr>
              <w:t>3002 15 00 00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FOOT}//-->
            </w:r>
          </w:p>
        </w:tc>
        <!--<w:tc>
          <w:p>
            <w:pPr>
              <w:pStyle w:val="NormalinTable"/>
              <w:jc w:val="center"/>
            </w:pPr>
            <w:r>
              <w:t>{SUPPUNIT}</w:t>
            </w:r>
          </w:p>
        </w:tc>//-->
      </w:tr>
      <w:tr>
        <w:trPr>
          <w:cantSplit/>
        </w:trPr>
        <w:tc>
          <w:p>
            <w:pPr>
              <w:pStyle w:val="NormalinTable"/>
            </w:pPr>
            <w:r>
              <w:rPr>
                <w:b/>
              </w:rPr>
              <w:t>3002 19 00 00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FOOT}//-->
            </w:r>
          </w:p>
        </w:tc>
        <!--<w:tc>
          <w:p>
            <w:pPr>
              <w:pStyle w:val="NormalinTable"/>
              <w:jc w:val="center"/>
            </w:pPr>
            <w:r>
              <w:t>{SUPPUNIT}</w:t>
            </w:r>
          </w:p>
        </w:tc>//-->
      </w:tr>
      <w:tr>
        <w:trPr>
          <w:cantSplit/>
        </w:trPr>
        <w:tc>
          <w:p>
            <w:pPr>
              <w:pStyle w:val="NormalinTable"/>
            </w:pPr>
            <w:r>
              <w:rPr>
                <w:b/>
              </w:rPr>
              <w:t>3002 30 00 00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FOOT}//-->
            </w:r>
          </w:p>
        </w:tc>
        <!--<w:tc>
          <w:p>
            <w:pPr>
              <w:pStyle w:val="NormalinTable"/>
              <w:jc w:val="center"/>
            </w:pPr>
            <w:r>
              <w:t>{SUPPUNIT}</w:t>
            </w:r>
          </w:p>
        </w:tc>//-->
      </w:tr>
      <w:tr>
        <w:trPr>
          <w:cantSplit/>
        </w:trPr>
        <w:tc>
          <w:p>
            <w:pPr>
              <w:pStyle w:val="NormalinTable"/>
            </w:pPr>
            <w:r>
              <w:rPr>
                <w:b/>
              </w:rPr>
              <w:t>3002 90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FOOT}//-->
            </w:r>
          </w:p>
        </w:tc>
        <!--<w:tc>
          <w:p>
            <w:pPr>
              <w:pStyle w:val="NormalinTable"/>
              <w:jc w:val="center"/>
            </w:pPr>
            <w:r>
              <w:t>{SUPPUNIT}</w:t>
            </w:r>
          </w:p>
        </w:tc>//-->
      </w:tr>
      <w:tr>
        <w:trPr>
          <w:cantSplit/>
        </w:trPr>
        <w:tc>
          <w:p>
            <w:pPr>
              <w:pStyle w:val="NormalinTable"/>
            </w:pPr>
            <w:r>
              <w:rPr>
                <w:b/>
              </w:rPr>
              <w:t>3002 90 30 00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FOOT}//-->
            </w:r>
          </w:p>
        </w:tc>
        <!--<w:tc>
          <w:p>
            <w:pPr>
              <w:pStyle w:val="NormalinTable"/>
              <w:jc w:val="center"/>
            </w:pPr>
            <w:r>
              <w:t>{SUPPUNIT}</w:t>
            </w:r>
          </w:p>
        </w:tc>//-->
      </w:tr>
      <w:tr>
        <w:trPr>
          <w:cantSplit/>
        </w:trPr>
        <w:tc>
          <w:p>
            <w:pPr>
              <w:pStyle w:val="NormalinTable"/>
            </w:pPr>
            <w:r>
              <w:rPr>
                <w:b/>
              </w:rPr>
              <w:t>3002 90 50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FOOT}//-->
            </w:r>
          </w:p>
        </w:tc>
        <!--<w:tc>
          <w:p>
            <w:pPr>
              <w:pStyle w:val="NormalinTable"/>
              <w:jc w:val="center"/>
            </w:pPr>
            <w:r>
              <w:t>{SUPPUNIT}</w:t>
            </w:r>
          </w:p>
        </w:tc>//-->
      </w:tr>
      <w:tr>
        <w:trPr>
          <w:cantSplit/>
        </w:trPr>
        <w:tc>
          <w:p>
            <w:pPr>
              <w:pStyle w:val="NormalinTable"/>
            </w:pPr>
            <w:r>
              <w:rPr>
                <w:b/>
              </w:rPr>
              <w:t>3002 90 50 10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c>
          <w:p>
            <w:pPr>
              <w:pStyle w:val="NormalinTable"/>
              <w:jc w:val="center"/>
            </w:pPr>
            <w:r>
              <w:t>{SUPPUNIT}</w:t>
            </w:r>
          </w:p>
        </w:tc>//-->
      </w:tr>
      <w:tr>
        <w:trPr>
          <w:cantSplit/>
        </w:trPr>
        <w:tc>
          <w:p>
            <w:pPr>
              <w:pStyle w:val="NormalinTable"/>
            </w:pPr>
            <w:r>
              <w:rPr>
                <w:b/>
              </w:rPr>
              <w:t>3002 90 50 90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c>
          <w:p>
            <w:pPr>
              <w:pStyle w:val="NormalinTable"/>
              <w:jc w:val="center"/>
            </w:pPr>
            <w:r>
              <w:t>{SUPPUNIT}</w:t>
            </w:r>
          </w:p>
        </w:tc>//-->
      </w:tr>
      <w:tr>
        <w:trPr>
          <w:cantSplit/>
        </w:trPr>
        <w:tc>
          <w:p>
            <w:pPr>
              <w:pStyle w:val="NormalinTable"/>
            </w:pPr>
            <w:r>
              <w:rPr>
                <w:b/>
              </w:rPr>
              <w:t>3002 90 90 90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FOOT}//-->
            </w:r>
          </w:p>
        </w:tc>
        <!--<w:tc>
          <w:p>
            <w:pPr>
              <w:pStyle w:val="NormalinTable"/>
              <w:jc w:val="center"/>
            </w:pPr>
            <w:r>
              <w:t>{SUPPUNIT}</w:t>
            </w:r>
          </w:p>
        </w:tc>//-->
      </w:tr>
      <w:tr>
        <w:trPr>
          <w:cantSplit/>
        </w:trPr>
        <w:tc>
          <w:p>
            <w:pPr>
              <w:pStyle w:val="NormalinTable"/>
            </w:pPr>
            <w:r>
              <w:rPr>
                <w:b/>
              </w:rPr>
              <w:t>3003 10 00 00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c>
          <w:p>
            <w:pPr>
              <w:pStyle w:val="NormalinTable"/>
              <w:jc w:val="center"/>
            </w:pPr>
            <w:r>
              <w:t>{SUPPUNIT}</w:t>
            </w:r>
          </w:p>
        </w:tc>//-->
      </w:tr>
      <w:tr>
        <w:trPr>
          <w:cantSplit/>
        </w:trPr>
        <w:tc>
          <w:p>
            <w:pPr>
              <w:pStyle w:val="NormalinTable"/>
            </w:pPr>
            <w:r>
              <w:rPr>
                <w:b/>
              </w:rPr>
              <w:t>3003 20 00 00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c>
          <w:p>
            <w:pPr>
              <w:pStyle w:val="NormalinTable"/>
              <w:jc w:val="center"/>
            </w:pPr>
            <w:r>
              <w:t>{SUPPUNIT}</w:t>
            </w:r>
          </w:p>
        </w:tc>//-->
      </w:tr>
      <w:tr>
        <w:trPr>
          <w:cantSplit/>
        </w:trPr>
        <w:tc>
          <w:p>
            <w:pPr>
              <w:pStyle w:val="NormalinTable"/>
            </w:pPr>
            <w:r>
              <w:rPr>
                <w:b/>
              </w:rPr>
              <w:t>3003 31 00 00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c>
          <w:p>
            <w:pPr>
              <w:pStyle w:val="NormalinTable"/>
              <w:jc w:val="center"/>
            </w:pPr>
            <w:r>
              <w:t>{SUPPUNIT}</w:t>
            </w:r>
          </w:p>
        </w:tc>//-->
      </w:tr>
      <w:tr>
        <w:trPr>
          <w:cantSplit/>
        </w:trPr>
        <w:tc>
          <w:p>
            <w:pPr>
              <w:pStyle w:val="NormalinTable"/>
            </w:pPr>
            <w:r>
              <w:rPr>
                <w:b/>
              </w:rPr>
              <w:t>3003 39 00 00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c>
          <w:p>
            <w:pPr>
              <w:pStyle w:val="NormalinTable"/>
              <w:jc w:val="center"/>
            </w:pPr>
            <w:r>
              <w:t>{SUPPUNIT}</w:t>
            </w:r>
          </w:p>
        </w:tc>//-->
      </w:tr>
      <w:tr>
        <w:trPr>
          <w:cantSplit/>
        </w:trPr>
        <w:tc>
          <w:p>
            <w:pPr>
              <w:pStyle w:val="NormalinTable"/>
            </w:pPr>
            <w:r>
              <w:rPr>
                <w:b/>
              </w:rPr>
              <w:t>3003 41 00 00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c>
          <w:p>
            <w:pPr>
              <w:pStyle w:val="NormalinTable"/>
              <w:jc w:val="center"/>
            </w:pPr>
            <w:r>
              <w:t>{SUPPUNIT}</w:t>
            </w:r>
          </w:p>
        </w:tc>//-->
      </w:tr>
      <w:tr>
        <w:trPr>
          <w:cantSplit/>
        </w:trPr>
        <w:tc>
          <w:p>
            <w:pPr>
              <w:pStyle w:val="NormalinTable"/>
            </w:pPr>
            <w:r>
              <w:rPr>
                <w:b/>
              </w:rPr>
              <w:t>3003 42 00 00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c>
          <w:p>
            <w:pPr>
              <w:pStyle w:val="NormalinTable"/>
              <w:jc w:val="center"/>
            </w:pPr>
            <w:r>
              <w:t>{SUPPUNIT}</w:t>
            </w:r>
          </w:p>
        </w:tc>//-->
      </w:tr>
      <w:tr>
        <w:trPr>
          <w:cantSplit/>
        </w:trPr>
        <w:tc>
          <w:p>
            <w:pPr>
              <w:pStyle w:val="NormalinTable"/>
            </w:pPr>
            <w:r>
              <w:rPr>
                <w:b/>
              </w:rPr>
              <w:t>3003 43 00 00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c>
          <w:p>
            <w:pPr>
              <w:pStyle w:val="NormalinTable"/>
              <w:jc w:val="center"/>
            </w:pPr>
            <w:r>
              <w:t>{SUPPUNIT}</w:t>
            </w:r>
          </w:p>
        </w:tc>//-->
      </w:tr>
      <w:tr>
        <w:trPr>
          <w:cantSplit/>
        </w:trPr>
        <w:tc>
          <w:p>
            <w:pPr>
              <w:pStyle w:val="NormalinTable"/>
            </w:pPr>
            <w:r>
              <w:rPr>
                <w:b/>
              </w:rPr>
              <w:t>3003 49 00 00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c>
          <w:p>
            <w:pPr>
              <w:pStyle w:val="NormalinTable"/>
              <w:jc w:val="center"/>
            </w:pPr>
            <w:r>
              <w:t>{SUPPUNIT}</w:t>
            </w:r>
          </w:p>
        </w:tc>//-->
      </w:tr>
      <w:tr>
        <w:trPr>
          <w:cantSplit/>
        </w:trPr>
        <w:tc>
          <w:p>
            <w:pPr>
              <w:pStyle w:val="NormalinTable"/>
            </w:pPr>
            <w:r>
              <w:rPr>
                <w:b/>
              </w:rPr>
              <w:t>3003 90 00 00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c>
          <w:p>
            <w:pPr>
              <w:pStyle w:val="NormalinTable"/>
              <w:jc w:val="center"/>
            </w:pPr>
            <w:r>
              <w:t>{SUPPUNIT}</w:t>
            </w:r>
          </w:p>
        </w:tc>//-->
      </w:tr>
      <w:tr>
        <w:trPr>
          <w:cantSplit/>
        </w:trPr>
        <w:tc>
          <w:p>
            <w:pPr>
              <w:pStyle w:val="NormalinTable"/>
            </w:pPr>
            <w:r>
              <w:rPr>
                <w:b/>
              </w:rPr>
              <w:t>3004 10 00 00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c>
          <w:p>
            <w:pPr>
              <w:pStyle w:val="NormalinTable"/>
              <w:jc w:val="center"/>
            </w:pPr>
            <w:r>
              <w:t>{SUPPUNIT}</w:t>
            </w:r>
          </w:p>
        </w:tc>//-->
      </w:tr>
      <w:tr>
        <w:trPr>
          <w:cantSplit/>
        </w:trPr>
        <w:tc>
          <w:p>
            <w:pPr>
              <w:pStyle w:val="NormalinTable"/>
            </w:pPr>
            <w:r>
              <w:rPr>
                <w:b/>
              </w:rPr>
              <w:t>3004 20 00 00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c>
          <w:p>
            <w:pPr>
              <w:pStyle w:val="NormalinTable"/>
              <w:jc w:val="center"/>
            </w:pPr>
            <w:r>
              <w:t>{SUPPUNIT}</w:t>
            </w:r>
          </w:p>
        </w:tc>//-->
      </w:tr>
      <w:tr>
        <w:trPr>
          <w:cantSplit/>
        </w:trPr>
        <w:tc>
          <w:p>
            <w:pPr>
              <w:pStyle w:val="NormalinTable"/>
            </w:pPr>
            <w:r>
              <w:rPr>
                <w:b/>
              </w:rPr>
              <w:t>3004 31 00 00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c>
          <w:p>
            <w:pPr>
              <w:pStyle w:val="NormalinTable"/>
              <w:jc w:val="center"/>
            </w:pPr>
            <w:r>
              <w:t>{SUPPUNIT}</w:t>
            </w:r>
          </w:p>
        </w:tc>//-->
      </w:tr>
      <w:tr>
        <w:trPr>
          <w:cantSplit/>
        </w:trPr>
        <w:tc>
          <w:p>
            <w:pPr>
              <w:pStyle w:val="NormalinTable"/>
            </w:pPr>
            <w:r>
              <w:rPr>
                <w:b/>
              </w:rPr>
              <w:t>3004 32 00 00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FOOT}//-->
            </w:r>
          </w:p>
        </w:tc>
        <!--<w:tc>
          <w:p>
            <w:pPr>
              <w:pStyle w:val="NormalinTable"/>
              <w:jc w:val="center"/>
            </w:pPr>
            <w:r>
              <w:t>{SUPPUNIT}</w:t>
            </w:r>
          </w:p>
        </w:tc>//-->
      </w:tr>
      <w:tr>
        <w:trPr>
          <w:cantSplit/>
        </w:trPr>
        <w:tc>
          <w:p>
            <w:pPr>
              <w:pStyle w:val="NormalinTable"/>
            </w:pPr>
            <w:r>
              <w:rPr>
                <w:b/>
              </w:rPr>
              <w:t>3004 39 00 00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c>
          <w:p>
            <w:pPr>
              <w:pStyle w:val="NormalinTable"/>
              <w:jc w:val="center"/>
            </w:pPr>
            <w:r>
              <w:t>{SUPPUNIT}</w:t>
            </w:r>
          </w:p>
        </w:tc>//-->
      </w:tr>
      <w:tr>
        <w:trPr>
          <w:cantSplit/>
        </w:trPr>
        <w:tc>
          <w:p>
            <w:pPr>
              <w:pStyle w:val="NormalinTable"/>
            </w:pPr>
            <w:r>
              <w:rPr>
                <w:b/>
              </w:rPr>
              <w:t>3004 41 00 00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c>
          <w:p>
            <w:pPr>
              <w:pStyle w:val="NormalinTable"/>
              <w:jc w:val="center"/>
            </w:pPr>
            <w:r>
              <w:t>{SUPPUNIT}</w:t>
            </w:r>
          </w:p>
        </w:tc>//-->
      </w:tr>
      <w:tr>
        <w:trPr>
          <w:cantSplit/>
        </w:trPr>
        <w:tc>
          <w:p>
            <w:pPr>
              <w:pStyle w:val="NormalinTable"/>
            </w:pPr>
            <w:r>
              <w:rPr>
                <w:b/>
              </w:rPr>
              <w:t>3004 42 00 00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c>
          <w:p>
            <w:pPr>
              <w:pStyle w:val="NormalinTable"/>
              <w:jc w:val="center"/>
            </w:pPr>
            <w:r>
              <w:t>{SUPPUNIT}</w:t>
            </w:r>
          </w:p>
        </w:tc>//-->
      </w:tr>
      <w:tr>
        <w:trPr>
          <w:cantSplit/>
        </w:trPr>
        <w:tc>
          <w:p>
            <w:pPr>
              <w:pStyle w:val="NormalinTable"/>
            </w:pPr>
            <w:r>
              <w:rPr>
                <w:b/>
              </w:rPr>
              <w:t>3004 43 00 00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c>
          <w:p>
            <w:pPr>
              <w:pStyle w:val="NormalinTable"/>
              <w:jc w:val="center"/>
            </w:pPr>
            <w:r>
              <w:t>{SUPPUNIT}</w:t>
            </w:r>
          </w:p>
        </w:tc>//-->
      </w:tr>
      <w:tr>
        <w:trPr>
          <w:cantSplit/>
        </w:trPr>
        <w:tc>
          <w:p>
            <w:pPr>
              <w:pStyle w:val="NormalinTable"/>
            </w:pPr>
            <w:r>
              <w:rPr>
                <w:b/>
              </w:rPr>
              <w:t>3004 49 00 00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FOOT}//-->
            </w:r>
          </w:p>
        </w:tc>
        <!--<w:tc>
          <w:p>
            <w:pPr>
              <w:pStyle w:val="NormalinTable"/>
              <w:jc w:val="center"/>
            </w:pPr>
            <w:r>
              <w:t>{SUPPUNIT}</w:t>
            </w:r>
          </w:p>
        </w:tc>//-->
      </w:tr>
      <w:tr>
        <w:trPr>
          <w:cantSplit/>
        </w:trPr>
        <w:tc>
          <w:p>
            <w:pPr>
              <w:pStyle w:val="NormalinTable"/>
            </w:pPr>
            <w:r>
              <w:rPr>
                <w:b/>
              </w:rPr>
              <w:t>3004 60 00 00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c>
          <w:p>
            <w:pPr>
              <w:pStyle w:val="NormalinTable"/>
              <w:jc w:val="center"/>
            </w:pPr>
            <w:r>
              <w:t>{SUPPUNIT}</w:t>
            </w:r>
          </w:p>
        </w:tc>//-->
      </w:tr>
      <w:tr>
        <w:trPr>
          <w:cantSplit/>
        </w:trPr>
        <w:tc>
          <w:p>
            <w:pPr>
              <w:pStyle w:val="NormalinTable"/>
            </w:pPr>
            <w:r>
              <w:rPr>
                <w:b/>
              </w:rPr>
              <w:t>3004 90 00 00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c>
          <w:p>
            <w:pPr>
              <w:pStyle w:val="NormalinTable"/>
              <w:jc w:val="center"/>
            </w:pPr>
            <w:r>
              <w:t>{SUPPUNIT}</w:t>
            </w:r>
          </w:p>
        </w:tc>//-->
      </w:tr>
      <w:tr>
        <w:trPr>
          <w:cantSplit/>
        </w:trPr>
        <w:tc>
          <w:p>
            <w:pPr>
              <w:pStyle w:val="NormalinTable"/>
            </w:pPr>
            <w:r>
              <w:rPr>
                <w:b/>
              </w:rPr>
              <w:t>3005 10 00 00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FOOT}//-->
            </w:r>
          </w:p>
        </w:tc>
        <!--<w:tc>
          <w:p>
            <w:pPr>
              <w:pStyle w:val="NormalinTable"/>
              <w:jc w:val="center"/>
            </w:pPr>
            <w:r>
              <w:t>{SUPPUNIT}</w:t>
            </w:r>
          </w:p>
        </w:tc>//-->
      </w:tr>
      <w:tr>
        <w:trPr>
          <w:cantSplit/>
        </w:trPr>
        <w:tc>
          <w:p>
            <w:pPr>
              <w:pStyle w:val="NormalinTable"/>
            </w:pPr>
            <w:r>
              <w:rPr>
                <w:b/>
              </w:rPr>
              <w:t>3005 90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3005 90 31 00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FOOT}//-->
            </w:r>
          </w:p>
        </w:tc>
        <!--<w:tc>
          <w:p>
            <w:pPr>
              <w:pStyle w:val="NormalinTable"/>
              <w:jc w:val="center"/>
            </w:pPr>
            <w:r>
              <w:t>{SUPPUNIT}</w:t>
            </w:r>
          </w:p>
        </w:tc>//-->
      </w:tr>
      <w:tr>
        <w:trPr>
          <w:cantSplit/>
        </w:trPr>
        <w:tc>
          <w:p>
            <w:pPr>
              <w:pStyle w:val="NormalinTable"/>
            </w:pPr>
            <w:r>
              <w:rPr>
                <w:b/>
              </w:rPr>
              <w:t>3005 90 50 00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3005 90 99 00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FOOT}//-->
            </w:r>
          </w:p>
        </w:tc>
        <!--<w:tc>
          <w:p>
            <w:pPr>
              <w:pStyle w:val="NormalinTable"/>
              <w:jc w:val="center"/>
            </w:pPr>
            <w:r>
              <w:t>{SUPPUNIT}</w:t>
            </w:r>
          </w:p>
        </w:tc>//-->
      </w:tr>
      <w:tr>
        <w:trPr>
          <w:cantSplit/>
        </w:trPr>
        <w:tc>
          <w:p>
            <w:pPr>
              <w:pStyle w:val="NormalinTable"/>
            </w:pPr>
            <w:r>
              <w:rPr>
                <w:b/>
              </w:rPr>
              <w:t>3006 10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c>
          <w:p>
            <w:pPr>
              <w:pStyle w:val="NormalinTable"/>
              <w:jc w:val="center"/>
            </w:pPr>
            <w:r>
              <w:t>{SUPPUNIT}</w:t>
            </w:r>
          </w:p>
        </w:tc>//-->
      </w:tr>
      <w:tr>
        <w:trPr>
          <w:cantSplit/>
        </w:trPr>
        <w:tc>
          <w:p>
            <w:pPr>
              <w:pStyle w:val="NormalinTable"/>
            </w:pPr>
            <w:r>
              <w:rPr>
                <w:b/>
              </w:rPr>
              <w:t>3006 10 10 00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FOOT}//-->
            </w:r>
          </w:p>
        </w:tc>
        <!--<w:tc>
          <w:p>
            <w:pPr>
              <w:pStyle w:val="NormalinTable"/>
              <w:jc w:val="center"/>
            </w:pPr>
            <w:r>
              <w:t>{SUPPUNIT}</w:t>
            </w:r>
          </w:p>
        </w:tc>//-->
      </w:tr>
      <w:tr>
        <w:trPr>
          <w:cantSplit/>
        </w:trPr>
        <w:tc>
          <w:p>
            <w:pPr>
              <w:pStyle w:val="NormalinTable"/>
            </w:pPr>
            <w:r>
              <w:rPr>
                <w:b/>
              </w:rPr>
              <w:t>3006 10 30 00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FOOT}//-->
            </w:r>
          </w:p>
        </w:tc>
        <!--<w:tc>
          <w:p>
            <w:pPr>
              <w:pStyle w:val="NormalinTable"/>
              <w:jc w:val="center"/>
            </w:pPr>
            <w:r>
              <w:t>{SUPPUNIT}</w:t>
            </w:r>
          </w:p>
        </w:tc>//-->
      </w:tr>
      <w:tr>
        <w:trPr>
          <w:cantSplit/>
        </w:trPr>
        <w:tc>
          <w:p>
            <w:pPr>
              <w:pStyle w:val="NormalinTable"/>
            </w:pPr>
            <w:r>
              <w:rPr>
                <w:b/>
              </w:rPr>
              <w:t>3006 10 90 00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FOOT}//-->
            </w:r>
          </w:p>
        </w:tc>
        <!--<w:tc>
          <w:p>
            <w:pPr>
              <w:pStyle w:val="NormalinTable"/>
              <w:jc w:val="center"/>
            </w:pPr>
            <w:r>
              <w:t>{SUPPUNIT}</w:t>
            </w:r>
          </w:p>
        </w:tc>//-->
      </w:tr>
      <w:tr>
        <w:trPr>
          <w:cantSplit/>
        </w:trPr>
        <w:tc>
          <w:p>
            <w:pPr>
              <w:pStyle w:val="NormalinTable"/>
            </w:pPr>
            <w:r>
              <w:rPr>
                <w:b/>
              </w:rPr>
              <w:t>3006 30 00 00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FOOT}//-->
            </w:r>
          </w:p>
        </w:tc>
        <!--<w:tc>
          <w:p>
            <w:pPr>
              <w:pStyle w:val="NormalinTable"/>
              <w:jc w:val="center"/>
            </w:pPr>
            <w:r>
              <w:t>{SUPPUNIT}</w:t>
            </w:r>
          </w:p>
        </w:tc>//-->
      </w:tr>
      <w:tr>
        <w:trPr>
          <w:cantSplit/>
        </w:trPr>
        <w:tc>
          <w:p>
            <w:pPr>
              <w:pStyle w:val="NormalinTable"/>
            </w:pPr>
            <w:r>
              <w:rPr>
                <w:b/>
              </w:rPr>
              <w:t>3006 40 00 00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FOOT}//-->
            </w:r>
          </w:p>
        </w:tc>
        <!--<w:tc>
          <w:p>
            <w:pPr>
              <w:pStyle w:val="NormalinTable"/>
              <w:jc w:val="center"/>
            </w:pPr>
            <w:r>
              <w:t>{SUPPUNIT}</w:t>
            </w:r>
          </w:p>
        </w:tc>//-->
      </w:tr>
      <w:tr>
        <w:trPr>
          <w:cantSplit/>
        </w:trPr>
        <w:tc>
          <w:p>
            <w:pPr>
              <w:pStyle w:val="NormalinTable"/>
            </w:pPr>
            <w:r>
              <w:rPr>
                <w:b/>
              </w:rPr>
              <w:t>3006 50 00 00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FOOT}//-->
            </w:r>
          </w:p>
        </w:tc>
        <!--<w:tc>
          <w:p>
            <w:pPr>
              <w:pStyle w:val="NormalinTable"/>
              <w:jc w:val="center"/>
            </w:pPr>
            <w:r>
              <w:t>{SUPPUNIT}</w:t>
            </w:r>
          </w:p>
        </w:tc>//-->
      </w:tr>
      <w:tr>
        <w:trPr>
          <w:cantSplit/>
        </w:trPr>
        <w:tc>
          <w:p>
            <w:pPr>
              <w:pStyle w:val="NormalinTable"/>
            </w:pPr>
            <w:r>
              <w:rPr>
                <w:b/>
              </w:rPr>
              <w:t>3006 60 00 00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FOOT}//-->
            </w:r>
          </w:p>
        </w:tc>
        <!--<w:tc>
          <w:p>
            <w:pPr>
              <w:pStyle w:val="NormalinTable"/>
              <w:jc w:val="center"/>
            </w:pPr>
            <w:r>
              <w:t>{SUPPUNIT}</w:t>
            </w:r>
          </w:p>
        </w:tc>//-->
      </w:tr>
      <w:tr>
        <w:trPr>
          <w:cantSplit/>
        </w:trPr>
        <w:tc>
          <w:p>
            <w:pPr>
              <w:pStyle w:val="NormalinTable"/>
            </w:pPr>
            <w:r>
              <w:rPr>
                <w:b/>
              </w:rPr>
              <w:t>3006 70 00 00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FOOT}//-->
            </w:r>
          </w:p>
        </w:tc>
        <!--<w:tc>
          <w:p>
            <w:pPr>
              <w:pStyle w:val="NormalinTable"/>
              <w:jc w:val="center"/>
            </w:pPr>
            <w:r>
              <w:t>{SUPPUNIT}</w:t>
            </w:r>
          </w:p>
        </w:tc>//-->
      </w:tr>
      <w:tr>
        <w:trPr>
          <w:cantSplit/>
        </w:trPr>
        <w:tc>
          <w:p>
            <w:pPr>
              <w:pStyle w:val="NormalinTable"/>
            </w:pPr>
            <w:r>
              <w:rPr>
                <w:b/>
              </w:rPr>
              <w:t>3006 92 00 00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