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footwear or parts of footwear of Chapter 64;</w:t>
      </w:r>
    </w:p>
    <w:p>
      <w:r>
        <w:t>(b) headgear or parts of headgear of Chapter 65; or</w:t>
      </w:r>
    </w:p>
    <w:p>
      <w:r>
        <w:t>(c) articles of Chapter 95 (for example, toys, games, sports requisites).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CORK AND ARTICLES OF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