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pPr>
        <w:pStyle w:val="Heading3"/>
      </w:pPr>
      <w:r>
        <w:t>Chapter Notes</w:t>
      </w:r>
    </w:p>
    <w:p>
      <w:r>
        <w:t>1. This chapter does not cover:</w:t>
      </w:r>
    </w:p>
    <w:p>
      <w:r>
        <w:t>(a) 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r>
        <w:t>(b) textile products of heading 5811;</w:t>
      </w:r>
    </w:p>
    <w:p>
      <w:r>
        <w:t>(c) natural or artificial abrasive powder or grain, on a backing of felt or nonwovens (heading 6805);</w:t>
      </w:r>
    </w:p>
    <w:p>
      <w:r>
        <w:t>(d) agglomerated or reconstituted mica, on a backing of felt or nonwovens (heading 6814);</w:t>
      </w:r>
    </w:p>
    <w:p>
      <w:r>
        <w:t>(e) metal foil on a backing of felt or nonwovens (generally Section XIV or Section XV); or</w:t>
      </w:r>
    </w:p>
    <w:p>
      <w:r>
        <w:t>(f) 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r>
        <w:t>(a) felt impregnated, coated, covered or laminated with plastics or rubber, containing 50% or less by weight of textile material or felt completely embedded in plastics or rubber (Chapter 39 or 40);</w:t>
      </w:r>
    </w:p>
    <w:p>
      <w:r>
        <w:t>(b) 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r>
        <w:t>(c) 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c>
          <w:p>
            <w:pPr>
              <w:pStyle w:val="NormalinTable"/>
              <w:jc w:val="center"/>
            </w:pPr>
            <w:r>
              <w:t>{SUPPUNIT}</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c>
          <w:p>
            <w:pPr>
              <w:pStyle w:val="NormalinTable"/>
              <w:jc w:val="center"/>
            </w:pPr>
            <w:r>
              <w:t>{SUPPUNIT}</w:t>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5601 21 10 00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c>
          <w:p>
            <w:pPr>
              <w:pStyle w:val="NormalinTable"/>
              <w:jc w:val="center"/>
            </w:pPr>
            <w:r>
              <w:t>{SUPPUNIT}</w:t>
            </w:r>
          </w:p>
        </w:tc>//-->
      </w:tr>
      <w:tr>
        <w:trPr>
          <w:cantSplit/>
        </w:trPr>
        <w:tc>
          <w:p>
            <w:pPr>
              <w:pStyle w:val="NormalinTable"/>
            </w:pPr>
            <w:r>
              <w:rPr>
                <w:b/>
              </w:rPr>
              <w:t>5601 21 90 00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5601 22 10 00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c>
          <w:p>
            <w:pPr>
              <w:pStyle w:val="NormalinTable"/>
              <w:jc w:val="center"/>
            </w:pPr>
            <w:r>
              <w:t>{SUPPUNIT}</w:t>
            </w:r>
          </w:p>
        </w:tc>//-->
      </w:tr>
      <w:tr>
        <w:trPr>
          <w:cantSplit/>
        </w:trPr>
        <w:tc>
          <w:p>
            <w:pPr>
              <w:pStyle w:val="NormalinTable"/>
            </w:pPr>
            <w:r>
              <w:rPr>
                <w:b/>
              </w:rPr>
              <w:t>5601 22 90 00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c>
          <w:p>
            <w:pPr>
              <w:pStyle w:val="NormalinTable"/>
              <w:jc w:val="center"/>
            </w:pPr>
            <w:r>
              <w:t>{SUPPUNIT}</w:t>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c>
          <w:p>
            <w:pPr>
              <w:pStyle w:val="NormalinTable"/>
              <w:jc w:val="center"/>
            </w:pPr>
            <w:r>
              <w:t>{SUPPUNIT}</w:t>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c>
          <w:p>
            <w:pPr>
              <w:pStyle w:val="NormalinTable"/>
              <w:jc w:val="center"/>
            </w:pPr>
            <w:r>
              <w:t>{SUPPUNIT}</w:t>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c>
          <w:p>
            <w:pPr>
              <w:pStyle w:val="NormalinTable"/>
              <w:jc w:val="center"/>
            </w:pPr>
            <w:r>
              <w:t>{SUPPUNIT}</w:t>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c>
          <w:p>
            <w:pPr>
              <w:pStyle w:val="NormalinTable"/>
              <w:jc w:val="center"/>
            </w:pPr>
            <w:r>
              <w:t>{SUPPUNIT}</w:t>
            </w:r>
          </w:p>
        </w:tc>//-->
      </w:tr>
      <w:tr>
        <w:trPr>
          <w:cantSplit/>
        </w:trPr>
        <w:tc>
          <w:p>
            <w:pPr>
              <w:pStyle w:val="NormalinTable"/>
            </w:pPr>
            <w:r>
              <w:rPr>
                <w:b/>
              </w:rPr>
              <w:t>5602 10 11 00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c>
          <w:p>
            <w:pPr>
              <w:pStyle w:val="NormalinTable"/>
              <w:jc w:val="center"/>
            </w:pPr>
            <w:r>
              <w:t>{SUPPUNIT}</w:t>
            </w:r>
          </w:p>
        </w:tc>//-->
      </w:tr>
      <w:tr>
        <w:trPr>
          <w:cantSplit/>
        </w:trPr>
        <w:tc>
          <w:p>
            <w:pPr>
              <w:pStyle w:val="NormalinTable"/>
            </w:pPr>
            <w:r>
              <w:rPr>
                <w:b/>
              </w:rPr>
              <w:t>5602 10 31 00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c>
          <w:p>
            <w:pPr>
              <w:pStyle w:val="NormalinTable"/>
              <w:jc w:val="center"/>
            </w:pPr>
            <w:r>
              <w:t>{SUPPUNIT}</w:t>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c>
          <w:p>
            <w:pPr>
              <w:pStyle w:val="NormalinTable"/>
              <w:jc w:val="center"/>
            </w:pPr>
            <w:r>
              <w:t>{SUPPUNIT}</w:t>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c>
          <w:p>
            <w:pPr>
              <w:pStyle w:val="NormalinTable"/>
              <w:jc w:val="center"/>
            </w:pPr>
            <w:r>
              <w:t>{SUPPUNIT}</w:t>
            </w:r>
          </w:p>
        </w:tc>//-->
      </w:tr>
      <w:tr>
        <w:trPr>
          <w:cantSplit/>
        </w:trPr>
        <w:tc>
          <w:p>
            <w:pPr>
              <w:pStyle w:val="NormalinTable"/>
            </w:pPr>
            <w:r>
              <w:rPr>
                <w:b/>
              </w:rPr>
              <w:t>5602 21 00 00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c>
          <w:p>
            <w:pPr>
              <w:pStyle w:val="NormalinTable"/>
              <w:jc w:val="center"/>
            </w:pPr>
            <w:r>
              <w:t>{SUPPUNIT}</w:t>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c>
          <w:p>
            <w:pPr>
              <w:pStyle w:val="NormalinTable"/>
              <w:jc w:val="center"/>
            </w:pPr>
            <w:r>
              <w:t>{SUPPUNIT}</w:t>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c>
          <w:p>
            <w:pPr>
              <w:pStyle w:val="NormalinTable"/>
              <w:jc w:val="center"/>
            </w:pPr>
            <w:r>
              <w:t>{SUPPUNIT}</w:t>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c>
          <w:p>
            <w:pPr>
              <w:pStyle w:val="NormalinTable"/>
              <w:jc w:val="center"/>
            </w:pPr>
            <w:r>
              <w:t>{SUPPUNIT}</w:t>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c>
          <w:p>
            <w:pPr>
              <w:pStyle w:val="NormalinTable"/>
              <w:jc w:val="center"/>
            </w:pPr>
            <w:r>
              <w:t>{SUPPUNIT}</w:t>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c>
          <w:p>
            <w:pPr>
              <w:pStyle w:val="NormalinTable"/>
              <w:jc w:val="center"/>
            </w:pPr>
            <w:r>
              <w:t>{SUPPUNIT}</w:t>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c>
          <w:p>
            <w:pPr>
              <w:pStyle w:val="NormalinTable"/>
              <w:jc w:val="center"/>
            </w:pPr>
            <w:r>
              <w:t>{SUPPUNIT}</w:t>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c>
          <w:p>
            <w:pPr>
              <w:pStyle w:val="NormalinTable"/>
              <w:jc w:val="center"/>
            </w:pPr>
            <w:r>
              <w:t>{SUPPUNIT}</w:t>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c>
          <w:p>
            <w:pPr>
              <w:pStyle w:val="NormalinTable"/>
              <w:jc w:val="center"/>
            </w:pPr>
            <w:r>
              <w:t>{SUPPUNIT}</w:t>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c>
          <w:p>
            <w:pPr>
              <w:pStyle w:val="NormalinTable"/>
              <w:jc w:val="center"/>
            </w:pPr>
            <w:r>
              <w:t>{SUPPUNIT}</w:t>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c>
          <w:p>
            <w:pPr>
              <w:pStyle w:val="NormalinTable"/>
              <w:jc w:val="center"/>
            </w:pPr>
            <w:r>
              <w:t>{SUPPUNIT}</w:t>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c>
          <w:p>
            <w:pPr>
              <w:pStyle w:val="NormalinTable"/>
              <w:jc w:val="center"/>
            </w:pPr>
            <w:r>
              <w:t>{SUPPUNIT}</w:t>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5603 94 10 00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c>
          <w:p>
            <w:pPr>
              <w:pStyle w:val="NormalinTable"/>
              <w:jc w:val="center"/>
            </w:pPr>
            <w:r>
              <w:t>{SUPPUNIT}</w:t>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c>
          <w:p>
            <w:pPr>
              <w:pStyle w:val="NormalinTable"/>
              <w:jc w:val="center"/>
            </w:pPr>
            <w:r>
              <w:t>{SUPPUNIT}</w:t>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c>
          <w:p>
            <w:pPr>
              <w:pStyle w:val="NormalinTable"/>
              <w:jc w:val="center"/>
            </w:pPr>
            <w:r>
              <w:t>{SUPPUNIT}</w:t>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c>
          <w:p>
            <w:pPr>
              <w:pStyle w:val="NormalinTable"/>
              <w:jc w:val="center"/>
            </w:pPr>
            <w:r>
              <w:t>{SUPPUNIT}</w:t>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c>
          <w:p>
            <w:pPr>
              <w:pStyle w:val="NormalinTable"/>
              <w:jc w:val="center"/>
            </w:pPr>
            <w:r>
              <w:t>{SUPPUNIT}</w:t>
            </w:r>
          </w:p>
        </w:tc>//-->
      </w:tr>
      <w:tr>
        <w:trPr>
          <w:cantSplit/>
        </w:trPr>
        <w:tc>
          <w:p>
            <w:pPr>
              <w:pStyle w:val="NormalinTable"/>
            </w:pPr>
            <w:r>
              <w:rPr>
                <w:b/>
              </w:rPr>
              <w:t>5604 10 00 00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c>
          <w:p>
            <w:pPr>
              <w:pStyle w:val="NormalinTable"/>
              <w:jc w:val="center"/>
            </w:pPr>
            <w:r>
              <w:t>{SUPPUNIT}</w:t>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c>
          <w:p>
            <w:pPr>
              <w:pStyle w:val="NormalinTable"/>
              <w:jc w:val="center"/>
            </w:pPr>
            <w:r>
              <w:t>{SUPPUNIT}</w:t>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c>
          <w:p>
            <w:pPr>
              <w:pStyle w:val="NormalinTable"/>
              <w:jc w:val="center"/>
            </w:pPr>
            <w:r>
              <w:t>{SUPPUNIT}</w:t>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c>
          <w:p>
            <w:pPr>
              <w:pStyle w:val="NormalinTable"/>
              <w:jc w:val="center"/>
            </w:pPr>
            <w:r>
              <w:t>{SUPPUNIT}</w:t>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c>
          <w:p>
            <w:pPr>
              <w:pStyle w:val="NormalinTable"/>
              <w:jc w:val="center"/>
            </w:pPr>
            <w:r>
              <w:t>{SUPPUNIT}</w:t>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c>
          <w:p>
            <w:pPr>
              <w:pStyle w:val="NormalinTable"/>
              <w:jc w:val="center"/>
            </w:pPr>
            <w:r>
              <w:t>{SUPPUNIT}</w:t>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c>
          <w:p>
            <w:pPr>
              <w:pStyle w:val="NormalinTable"/>
              <w:jc w:val="center"/>
            </w:pPr>
            <w:r>
              <w:t>{SUPPUNIT}</w:t>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c>
          <w:p>
            <w:pPr>
              <w:pStyle w:val="NormalinTable"/>
              <w:jc w:val="center"/>
            </w:pPr>
            <w:r>
              <w:t>{SUPPUNIT}</w:t>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c>
          <w:p>
            <w:pPr>
              <w:pStyle w:val="NormalinTable"/>
              <w:jc w:val="center"/>
            </w:pPr>
            <w:r>
              <w:t>{SUPPUNIT}</w:t>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c>
          <w:p>
            <w:pPr>
              <w:pStyle w:val="NormalinTable"/>
              <w:jc w:val="center"/>
            </w:pPr>
            <w:r>
              <w:t>{SUPPUNIT}</w:t>
            </w:r>
          </w:p>
        </w:tc>//-->
      </w:tr>
      <w:tr>
        <w:trPr>
          <w:cantSplit/>
        </w:trPr>
        <w:tc>
          <w:p>
            <w:pPr>
              <w:pStyle w:val="NormalinTable"/>
            </w:pPr>
            <w:r>
              <w:rPr>
                <w:b/>
              </w:rPr>
              <w:t>5606 00 10 00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c>
          <w:p>
            <w:pPr>
              <w:pStyle w:val="NormalinTable"/>
              <w:jc w:val="center"/>
            </w:pPr>
            <w:r>
              <w:t>{SUPPUNIT}</w:t>
            </w:r>
          </w:p>
        </w:tc>//-->
      </w:tr>
      <w:tr>
        <w:trPr>
          <w:cantSplit/>
        </w:trPr>
        <w:tc>
          <w:p>
            <w:pPr>
              <w:pStyle w:val="NormalinTable"/>
            </w:pPr>
            <w:r>
              <w:rPr>
                <w:b/>
              </w:rPr>
              <w:t>5606 00 99 00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c>
          <w:p>
            <w:pPr>
              <w:pStyle w:val="NormalinTable"/>
              <w:jc w:val="center"/>
            </w:pPr>
            <w:r>
              <w:t>{SUPPUNIT}</w:t>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c>
          <w:p>
            <w:pPr>
              <w:pStyle w:val="NormalinTable"/>
              <w:jc w:val="center"/>
            </w:pPr>
            <w:r>
              <w:t>{SUPPUNIT}</w:t>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c>
          <w:p>
            <w:pPr>
              <w:pStyle w:val="NormalinTable"/>
              <w:jc w:val="center"/>
            </w:pPr>
            <w:r>
              <w:t>{SUPPUNIT}</w:t>
            </w:r>
          </w:p>
        </w:tc>//-->
      </w:tr>
      <w:tr>
        <w:trPr>
          <w:cantSplit/>
        </w:trPr>
        <w:tc>
          <w:p>
            <w:pPr>
              <w:pStyle w:val="NormalinTable"/>
            </w:pPr>
            <w:r>
              <w:rPr>
                <w:b/>
              </w:rPr>
              <w:t>5607 41 00 00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c>
          <w:p>
            <w:pPr>
              <w:pStyle w:val="NormalinTable"/>
              <w:jc w:val="center"/>
            </w:pPr>
            <w:r>
              <w:t>{SUPPUNIT}</w:t>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c>
          <w:p>
            <w:pPr>
              <w:pStyle w:val="NormalinTable"/>
              <w:jc w:val="center"/>
            </w:pPr>
            <w:r>
              <w:t>{SUPPUNIT}</w:t>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c>
          <w:p>
            <w:pPr>
              <w:pStyle w:val="NormalinTable"/>
              <w:jc w:val="center"/>
            </w:pPr>
            <w:r>
              <w:t>{SUPPUNIT}</w:t>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c>
          <w:p>
            <w:pPr>
              <w:pStyle w:val="NormalinTable"/>
              <w:jc w:val="center"/>
            </w:pPr>
            <w:r>
              <w:t>{SUPPUNIT}</w:t>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c>
          <w:p>
            <w:pPr>
              <w:pStyle w:val="NormalinTable"/>
              <w:jc w:val="center"/>
            </w:pPr>
            <w:r>
              <w:t>{SUPPUNIT}</w:t>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c>
          <w:p>
            <w:pPr>
              <w:pStyle w:val="NormalinTable"/>
              <w:jc w:val="center"/>
            </w:pPr>
            <w:r>
              <w:t>{SUPPUNIT}</w:t>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c>
          <w:p>
            <w:pPr>
              <w:pStyle w:val="NormalinTable"/>
              <w:jc w:val="center"/>
            </w:pPr>
            <w:r>
              <w:t>{SUPPUNIT}</w:t>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c>
          <w:p>
            <w:pPr>
              <w:pStyle w:val="NormalinTable"/>
              <w:jc w:val="center"/>
            </w:pPr>
            <w:r>
              <w:t>{SUPPUNIT}</w:t>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c>
          <w:p>
            <w:pPr>
              <w:pStyle w:val="NormalinTable"/>
              <w:jc w:val="center"/>
            </w:pPr>
            <w:r>
              <w:t>{SUPPUNIT}</w:t>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c>
          <w:p>
            <w:pPr>
              <w:pStyle w:val="NormalinTable"/>
              <w:jc w:val="center"/>
            </w:pPr>
            <w:r>
              <w:t>{SUPPUNIT}</w:t>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c>
          <w:p>
            <w:pPr>
              <w:pStyle w:val="NormalinTable"/>
              <w:jc w:val="center"/>
            </w:pPr>
            <w:r>
              <w:t>{SUPPUNIT}</w:t>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c>
          <w:p>
            <w:pPr>
              <w:pStyle w:val="NormalinTable"/>
              <w:jc w:val="center"/>
            </w:pPr>
            <w:r>
              <w:t>{SUPPUNIT}</w:t>
            </w:r>
          </w:p>
        </w:tc>//-->
      </w:tr>
      <w:tr>
        <w:trPr>
          <w:cantSplit/>
        </w:trPr>
        <w:tc>
          <w:p>
            <w:pPr>
              <w:pStyle w:val="NormalinTable"/>
            </w:pPr>
            <w:r>
              <w:rPr>
                <w:b/>
              </w:rPr>
              <w:t>5608 11 20 00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c>
          <w:p>
            <w:pPr>
              <w:pStyle w:val="NormalinTable"/>
              <w:jc w:val="center"/>
            </w:pPr>
            <w:r>
              <w:t>{SUPPUNIT}</w:t>
            </w:r>
          </w:p>
        </w:tc>//-->
      </w:tr>
      <w:tr>
        <w:trPr>
          <w:cantSplit/>
        </w:trPr>
        <w:tc>
          <w:p>
            <w:pPr>
              <w:pStyle w:val="NormalinTable"/>
            </w:pPr>
            <w:r>
              <w:rPr>
                <w:b/>
              </w:rPr>
              <w:t>5608 11 80 00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c>
          <w:p>
            <w:pPr>
              <w:pStyle w:val="NormalinTable"/>
              <w:jc w:val="center"/>
            </w:pPr>
            <w:r>
              <w:t>{SUPPUNIT}</w:t>
            </w:r>
          </w:p>
        </w:tc>//-->
      </w:tr>
      <w:tr>
        <w:trPr>
          <w:cantSplit/>
        </w:trPr>
        <w:tc>
          <w:p>
            <w:pPr>
              <w:pStyle w:val="NormalinTable"/>
            </w:pPr>
            <w:r>
              <w:rPr>
                <w:b/>
              </w:rPr>
              <w:t>5608 19 11 00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c>
          <w:p>
            <w:pPr>
              <w:pStyle w:val="NormalinTable"/>
              <w:jc w:val="center"/>
            </w:pPr>
            <w:r>
              <w:t>{SUPPUNIT}</w:t>
            </w:r>
          </w:p>
        </w:tc>//-->
      </w:tr>
      <w:tr>
        <w:trPr>
          <w:cantSplit/>
        </w:trPr>
        <w:tc>
          <w:p>
            <w:pPr>
              <w:pStyle w:val="NormalinTable"/>
            </w:pPr>
            <w:r>
              <w:rPr>
                <w:b/>
              </w:rPr>
              <w:t>5608 19 19 00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5608 19 30 00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5608 19 90 00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c>
          <w:p>
            <w:pPr>
              <w:pStyle w:val="NormalinTable"/>
              <w:jc w:val="center"/>
            </w:pPr>
            <w:r>
              <w:t>{SUPPUNIT}</w:t>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5609 00 00 00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