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78</w:t>
      </w:r>
      <w:r>
        <w:br/>
        <w:t>Lead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 7804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expression `refined lead' means:</w:t>
      </w:r>
    </w:p>
    <w:p>
      <w:r>
        <w:t>Metal containing by weight at least 99.9% of lead, provided that the content by weight of any other element does not exceed the limit specified in the following table:</w:t>
      </w:r>
    </w:p>
    <w:p>
      <w:r>
        <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AND ARTICLES THEREOF</w:t>
              <!--{FOOT}//-->
            </w:r>
          </w:p>
        </w:tc>
        <!--<w:tc>
          <w:p>
            <w:pPr>
              <w:pStyle w:val="NormalinTable"/>
              <w:jc w:val="center"/>
            </w:pPr>
            <w:r>
              <w:t>{SUPPUNIT}</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FOOT}//-->
            </w:r>
          </w:p>
        </w:tc>
        <!--<w:tc>
          <w:p>
            <w:pPr>
              <w:pStyle w:val="NormalinTable"/>
              <w:jc w:val="center"/>
            </w:pPr>
            <w:r>
              <w:t>{SUPPUNIT}</w:t>
            </w:r>
          </w:p>
        </w:tc>//-->
      </w:tr>
      <w:tr>
        <w:trPr>
          <w:cantSplit/>
        </w:trPr>
        <w:tc>
          <w:p>
            <w:pPr>
              <w:pStyle w:val="NormalinTable"/>
            </w:pPr>
            <w:r>
              <w:rPr>
                <w:b/>
              </w:rPr>
              <w:t>7801 10 00 00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FOOT}//-->
            </w:r>
          </w:p>
        </w:tc>
        <!--<w:tc>
          <w:p>
            <w:pPr>
              <w:pStyle w:val="NormalinTable"/>
              <w:jc w:val="center"/>
            </w:pPr>
            <w:r>
              <w:t>{SUPPUNIT}</w:t>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FOOT}//-->
            </w:r>
          </w:p>
        </w:tc>
        <!--<w:tc>
          <w:p>
            <w:pPr>
              <w:pStyle w:val="NormalinTable"/>
              <w:jc w:val="center"/>
            </w:pPr>
            <w:r>
              <w:t>{SUPPUNIT}</w:t>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FOOT}//-->
            </w:r>
          </w:p>
        </w:tc>
        <!--<w:tc>
          <w:p>
            <w:pPr>
              <w:pStyle w:val="NormalinTable"/>
              <w:jc w:val="center"/>
            </w:pPr>
            <w:r>
              <w:t>{SUPPUNIT}</w:t>
            </w:r>
          </w:p>
        </w:tc>//-->
      </w:tr>
      <w:tr>
        <w:trPr>
          <w:cantSplit/>
        </w:trPr>
        <w:tc>
          <w:p>
            <w:pPr>
              <w:pStyle w:val="NormalinTable"/>
            </w:pPr>
            <w:r>
              <w:rPr>
                <w:b/>
              </w:rPr>
              <w:t>7804 11 00 00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FOOT}//-->
            </w:r>
          </w:p>
        </w:tc>
        <!--<w:tc>
          <w:p>
            <w:pPr>
              <w:pStyle w:val="NormalinTable"/>
              <w:jc w:val="center"/>
            </w:pPr>
            <w:r>
              <w:t>{SUPPUNIT}</w:t>
            </w:r>
          </w:p>
        </w:tc>//-->
      </w:tr>
      <w:tr>
        <w:trPr>
          <w:cantSplit/>
        </w:trPr>
        <w:tc>
          <w:p>
            <w:pPr>
              <w:pStyle w:val="NormalinTable"/>
            </w:pPr>
            <w:r>
              <w:rPr>
                <w:b/>
              </w:rPr>
              <w:t>7804 19 00 00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FOOT}//-->
            </w:r>
          </w:p>
        </w:tc>
        <!--<w:tc>
          <w:p>
            <w:pPr>
              <w:pStyle w:val="NormalinTable"/>
              <w:jc w:val="center"/>
            </w:pPr>
            <w:r>
              <w:t>{SUPPUNIT}</w:t>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FOOT}//-->
            </w:r>
          </w:p>
        </w:tc>
        <!--<w:tc>
          <w:p>
            <w:pPr>
              <w:pStyle w:val="NormalinTable"/>
              <w:jc w:val="center"/>
            </w:pPr>
            <w:r>
              <w:t>{SUPPUNIT}</w:t>
            </w:r>
          </w:p>
        </w:tc>//-->
      </w:tr>
      <w:tr>
        <w:trPr>
          <w:cantSplit/>
        </w:trPr>
        <w:tc>
          <w:p>
            <w:pPr>
              <w:pStyle w:val="NormalinTable"/>
            </w:pPr>
            <w:r>
              <w:rPr>
                <w:b/>
              </w:rPr>
              <w:t>7806 00 10 00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FOOT}//-->
            </w:r>
          </w:p>
        </w:tc>
        <!--<w:tc>
          <w:p>
            <w:pPr>
              <w:pStyle w:val="NormalinTable"/>
              <w:jc w:val="center"/>
            </w:pPr>
            <w:r>
              <w:t>{SUPPUNIT}</w:t>
            </w:r>
          </w:p>
        </w:tc>//-->
      </w:tr>
      <w:tr>
        <w:trPr>
          <w:cantSplit/>
        </w:trPr>
        <w:tc>
          <w:p>
            <w:pPr>
              <w:pStyle w:val="NormalinTable"/>
            </w:pPr>
            <w:r>
              <w:rPr>
                <w:b/>
              </w:rPr>
              <w:t>7806 00 80 00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