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w:t>
      </w:r>
      <w:r>
        <w:br/>
        <w:t>Vehicles, aircraft, vessels and associated transport equipment</w:t>
      </w:r>
    </w:p>
    <w:p>
      <w:pPr>
        <w:pStyle w:val="Heading3"/>
      </w:pPr>
      <w:r>
        <w:t>There are important section notes for this part of the tariff:</w:t>
      </w:r>
    </w:p>
    <w:p>
      <w:r>
        <w:t>1. This section does not cover articles of heading 9503 or 9508, or bobsleighs, toboggans or the like of heading 9506.</w:t>
      </w:r>
    </w:p>
    <w:p>
      <w:r>
        <w:t>2. The expressions 'parts' and 'parts and accessories' do not apply to the following articles, whether or not they are identifiable as for the goods of this section:</w:t>
      </w:r>
    </w:p>
    <w:p>
      <w:r>
        <w:t>(a) joints, washers and the like of any material (classified according to their constituent material or in heading 8484) or other articles of vulcanised rubber other than hard rubber (heading 4016);</w:t>
      </w:r>
    </w:p>
    <w:p>
      <w:r>
        <w:t>(b) parts of general use, as defined in Note 2 to Section XV, of base metal (Section XV), or similar goods of plastics (Chapter 39);</w:t>
      </w:r>
    </w:p>
    <w:p>
      <w:r>
        <w:t>(c) articles of Chapter 82 (tools);</w:t>
      </w:r>
    </w:p>
    <w:p>
      <w:r>
        <w:t>(d) articles of heading 8306;</w:t>
      </w:r>
    </w:p>
    <w:p>
      <w:r>
        <w:t>(e) machines or apparatus of headings 8401 to 8479, or parts thereof; articles of heading 8481 or 8482 or, provided they constitute integral parts of engines or motors, articles of heading 8483;</w:t>
      </w:r>
    </w:p>
    <w:p>
      <w:r>
        <w:t>(f) electrical machinery or equipment (Chapter 85);</w:t>
      </w:r>
    </w:p>
    <w:p>
      <w:r>
        <w:t>(g) articles of Chapter 90;</w:t>
      </w:r>
    </w:p>
    <w:p>
      <w:r>
        <w:t>(h) articles of Chapter 91;</w:t>
      </w:r>
    </w:p>
    <w:p>
      <w:r>
        <w:t>(ij) arms (Chapter 93);</w:t>
      </w:r>
    </w:p>
    <w:p>
      <w:r>
        <w:t>(k) lamps or lighting fittings of heading 9405;</w:t>
      </w:r>
    </w:p>
    <w:p>
      <w:r>
        <w:t>(l) brushes of a kind used as parts of vehicles (heading 9603).</w:t>
      </w:r>
    </w:p>
    <w:p>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r>
        <w:t>4. For the purposes of this Section:</w:t>
      </w:r>
    </w:p>
    <w:p>
      <w:r>
        <w:t>(a) vehicles specially constructed to travel on both road and rail are classified under the appropriate heading of Chapter 87;</w:t>
      </w:r>
    </w:p>
    <w:p>
      <w:r>
        <w:t>(b) amphibious motor vehicles are classified under the appropriate heading of Chapter 87;</w:t>
      </w:r>
    </w:p>
    <w:p>
      <w:r>
        <w:t>(c) aircraft specially constructed so that they can also be used as road vehicles are classified under the appropriate heading of Chapter 88.</w:t>
      </w:r>
    </w:p>
    <w:p>
      <w:r>
        <w:t>5. Air-cushion vehicles are to be classified in this section with the vehicles to which they are most akin as follows:</w:t>
      </w:r>
    </w:p>
    <w:p>
      <w:r>
        <w:t>(a) in Chapter 86 if designed to travel on a guide-track (hovertrains);</w:t>
      </w:r>
    </w:p>
    <w:p>
      <w:r>
        <w:t>(b) in Chapter 87 if designed to travel over land or over both land and water;</w:t>
      </w:r>
    </w:p>
    <w:p>
      <w:r>
        <w:t>(c) in Chapter 89 if designed to travel over water, whether or not able to land on beaches or landing-stages or also able to travel over ice.</w:t>
      </w:r>
    </w:p>
    <w:p>
      <w:r>
        <w:t>Parts and accessories of air-cushion vehicles are to be classified in the same way as those of vehicles of the heading in which the air-cushion vehicles are classified under the above provisions.</w:t>
      </w:r>
    </w:p>
    <w:p>
      <w:r>
        <w:t>Hovertrain track fixtures and fittings are to be classified as railway track fixtures and fittings, and signalling, safety or traffic control equipment for hovertrain transport systems as signalling, safety or traffic control equipment for railways.</w:t>
      </w:r>
    </w:p>
    <w:p>
      <w:r>
        <w:t/>
      </w:r>
    </w:p>
    <w:p>
      <w:pPr>
        <w:pStyle w:val="Heading3"/>
      </w:pPr>
      <w:r>
        <w:t> Additional notes </w:t>
      </w:r>
    </w:p>
    <w:p>
      <w:r>
        <w:t/>
      </w:r>
    </w:p>
    <w:p>
      <w:r>
        <w:t>1. Subject to the provisions of additional note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r>
        <w:t>2. The provisions of general rule 2(a) are also applicable, at the request of the declarant and subject to conditions stipulated by the competent authorities, to goods of headings 8608, 8805, 8905 and 8907 imported in split consignments.</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pPr>
        <w:pStyle w:val="Heading3"/>
      </w:pPr>
      <w:r>
        <w:t>Chapter Notes</w:t>
      </w:r>
    </w:p>
    <w:p>
      <w:r>
        <w:t>1. This chapter does not cover:</w:t>
      </w:r>
    </w:p>
    <w:p>
      <w:r>
        <w:t>(a) railway or tramway sleepers of wood or of concrete, or concrete guide-track sections for hovertrains (heading 4406 or 6810);</w:t>
      </w:r>
    </w:p>
    <w:p>
      <w:r>
        <w:t>(b) railway or tramway track construction material of iron or steel of heading 7302; or</w:t>
      </w:r>
    </w:p>
    <w:p>
      <w:r>
        <w:t>(c) electrical signalling, safety or traffic control equipment of heading 8530.</w:t>
      </w:r>
    </w:p>
    <w:p>
      <w:r>
        <w:t>2. Heading 8607 applies, inter alia, to:</w:t>
      </w:r>
    </w:p>
    <w:p>
      <w:r>
        <w:t>(a) axles, wheels, wheels sets (running gear), metal tyres, hoops and hubs and other parts of wheels;</w:t>
      </w:r>
    </w:p>
    <w:p>
      <w:r>
        <w:t>(b) frames, underframes, bogies and bissel-bogies;</w:t>
      </w:r>
    </w:p>
    <w:p>
      <w:r>
        <w:t>(c) axle boxes; brake gear;</w:t>
      </w:r>
    </w:p>
    <w:p>
      <w:r>
        <w:t>(d) buffers for rolling-stock; hooks and other coupling gear and corridor connections;</w:t>
      </w:r>
    </w:p>
    <w:p>
      <w:r>
        <w:t>(e) coachwork.</w:t>
      </w:r>
    </w:p>
    <w:p>
      <w:r>
        <w:t>3. Subject to the provisions of note 1 above, heading 8608 applies, inter alia, to:</w:t>
      </w:r>
    </w:p>
    <w:p>
      <w:r>
        <w:t>(a) assembled track, turntables, platform buffers, loading gauges;</w:t>
      </w:r>
    </w:p>
    <w:p>
      <w:r>
        <w:t>(b) 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LOCOMOTIVES, ROLLING STOCK AND PARTS THEREOF; RAILWAY OR TRAMWAY TRACK FIXTURES AND FITTINGS AND PARTS THEREOF; MECHANICAL (INCLUDING ELECTROMECHANICAL) TRAFFIC SIGNALLING EQUIPMENT OF ALL KINDS</w:t>
              <!--{FOOT}//-->
            </w:r>
          </w:p>
        </w:tc>
        <!--<w:tc>
          <w:p>
            <w:pPr>
              <w:pStyle w:val="NormalinTable"/>
              <w:jc w:val="center"/>
            </w:pPr>
            <w:r>
              <w:t>{SUPPUNIT}</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FOOT}//-->
            </w:r>
          </w:p>
        </w:tc>
        <!--<w:tc>
          <w:p>
            <w:pPr>
              <w:pStyle w:val="NormalinTable"/>
              <w:jc w:val="center"/>
            </w:pPr>
            <w:r>
              <w:t>{SUPPUNIT}</w:t>
            </w:r>
          </w:p>
        </w:tc>//-->
      </w:tr>
      <w:tr>
        <w:trPr>
          <w:cantSplit/>
        </w:trPr>
        <w:tc>
          <w:p>
            <w:pPr>
              <w:pStyle w:val="NormalinTable"/>
            </w:pPr>
            <w:r>
              <w:rPr>
                <w:b/>
              </w:rPr>
              <w:t>8601 10 00 00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FOOT}//-->
            </w:r>
          </w:p>
        </w:tc>
        <!--<w:tc>
          <w:p>
            <w:pPr>
              <w:pStyle w:val="NormalinTable"/>
              <w:jc w:val="center"/>
            </w:pPr>
            <w:r>
              <w:t>{SUPPUNIT}</w:t>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FOOT}//-->
            </w:r>
          </w:p>
        </w:tc>
        <!--<w:tc>
          <w:p>
            <w:pPr>
              <w:pStyle w:val="NormalinTable"/>
              <w:jc w:val="center"/>
            </w:pPr>
            <w:r>
              <w:t>{SUPPUNIT}</w:t>
            </w:r>
          </w:p>
        </w:tc>//-->
      </w:tr>
      <w:tr>
        <w:trPr>
          <w:cantSplit/>
        </w:trPr>
        <w:tc>
          <w:p>
            <w:pPr>
              <w:pStyle w:val="NormalinTable"/>
            </w:pPr>
            <w:r>
              <w:rPr>
                <w:b/>
              </w:rPr>
              <w:t>8602 10 00 00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FOOT}//-->
            </w:r>
          </w:p>
        </w:tc>
        <!--<w:tc>
          <w:p>
            <w:pPr>
              <w:pStyle w:val="NormalinTable"/>
              <w:jc w:val="center"/>
            </w:pPr>
            <w:r>
              <w:t>{SUPPUNIT}</w:t>
            </w:r>
          </w:p>
        </w:tc>//-->
      </w:tr>
      <w:tr>
        <w:trPr>
          <w:cantSplit/>
        </w:trPr>
        <w:tc>
          <w:p>
            <w:pPr>
              <w:pStyle w:val="NormalinTable"/>
            </w:pPr>
            <w:r>
              <w:rPr>
                <w:b/>
              </w:rPr>
              <w:t>8602 90 00 00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FOOT}//-->
            </w:r>
          </w:p>
        </w:tc>
        <!--<w:tc>
          <w:p>
            <w:pPr>
              <w:pStyle w:val="NormalinTable"/>
              <w:jc w:val="center"/>
            </w:pPr>
            <w:r>
              <w:t>{SUPPUNIT}</w:t>
            </w:r>
          </w:p>
        </w:tc>//-->
      </w:tr>
      <w:tr>
        <w:trPr>
          <w:cantSplit/>
        </w:trPr>
        <w:tc>
          <w:p>
            <w:pPr>
              <w:pStyle w:val="NormalinTable"/>
            </w:pPr>
            <w:r>
              <w:rPr>
                <w:b/>
              </w:rPr>
              <w:t>8603 10 00 00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FOOT}//-->
            </w:r>
          </w:p>
        </w:tc>
        <!--<w:tc>
          <w:p>
            <w:pPr>
              <w:pStyle w:val="NormalinTable"/>
              <w:jc w:val="center"/>
            </w:pPr>
            <w:r>
              <w:t>{SUPPUNIT}</w:t>
            </w:r>
          </w:p>
        </w:tc>//-->
      </w:tr>
      <w:tr>
        <w:trPr>
          <w:cantSplit/>
        </w:trPr>
        <w:tc>
          <w:p>
            <w:pPr>
              <w:pStyle w:val="NormalinTable"/>
            </w:pPr>
            <w:r>
              <w:rPr>
                <w:b/>
              </w:rPr>
              <w:t>8605 00 00 00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FOOT}//-->
            </w:r>
          </w:p>
        </w:tc>
        <!--<w:tc>
          <w:p>
            <w:pPr>
              <w:pStyle w:val="NormalinTable"/>
              <w:jc w:val="center"/>
            </w:pPr>
            <w:r>
              <w:t>{SUPPUNIT}</w:t>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FOOT}//-->
            </w:r>
          </w:p>
        </w:tc>
        <!--<w:tc>
          <w:p>
            <w:pPr>
              <w:pStyle w:val="NormalinTable"/>
              <w:jc w:val="center"/>
            </w:pPr>
            <w:r>
              <w:t>{SUPPUNIT}</w:t>
            </w:r>
          </w:p>
        </w:tc>//-->
      </w:tr>
      <w:tr>
        <w:trPr>
          <w:cantSplit/>
        </w:trPr>
        <w:tc>
          <w:p>
            <w:pPr>
              <w:pStyle w:val="NormalinTable"/>
            </w:pPr>
            <w:r>
              <w:rPr>
                <w:b/>
              </w:rPr>
              <w:t>8606 10 00 00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FOOT}//-->
            </w:r>
          </w:p>
        </w:tc>
        <!--<w:tc>
          <w:p>
            <w:pPr>
              <w:pStyle w:val="NormalinTable"/>
              <w:jc w:val="center"/>
            </w:pPr>
            <w:r>
              <w:t>{SUPPUNIT}</w:t>
            </w:r>
          </w:p>
        </w:tc>//-->
      </w:tr>
      <w:tr>
        <w:trPr>
          <w:cantSplit/>
        </w:trPr>
        <w:tc>
          <w:p>
            <w:pPr>
              <w:pStyle w:val="NormalinTable"/>
            </w:pPr>
            <w:r>
              <w:rPr>
                <w:b/>
              </w:rPr>
              <w:t>8606 30 00 00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FOOT}//-->
            </w:r>
          </w:p>
        </w:tc>
        <!--<w:tc>
          <w:p>
            <w:pPr>
              <w:pStyle w:val="NormalinTable"/>
              <w:jc w:val="center"/>
            </w:pPr>
            <w:r>
              <w:t>{SUPPUNIT}</w:t>
            </w:r>
          </w:p>
        </w:tc>//-->
      </w:tr>
      <w:tr>
        <w:trPr>
          <w:cantSplit/>
        </w:trPr>
        <w:tc>
          <w:p>
            <w:pPr>
              <w:pStyle w:val="NormalinTable"/>
            </w:pPr>
            <w:r>
              <w:rPr>
                <w:b/>
              </w:rPr>
              <w:t>8606 91 10 00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8606 91 80 00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FOOT}//-->
            </w:r>
          </w:p>
        </w:tc>
        <!--<w:tc>
          <w:p>
            <w:pPr>
              <w:pStyle w:val="NormalinTable"/>
              <w:jc w:val="center"/>
            </w:pPr>
            <w:r>
              <w:t>{SUPPUNIT}</w:t>
            </w:r>
          </w:p>
        </w:tc>//-->
      </w:tr>
      <w:tr>
        <w:trPr>
          <w:cantSplit/>
        </w:trPr>
        <w:tc>
          <w:p>
            <w:pPr>
              <w:pStyle w:val="NormalinTable"/>
            </w:pPr>
            <w:r>
              <w:rPr>
                <w:b/>
              </w:rPr>
              <w:t>8606 99 00 00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FOOT}//-->
            </w:r>
          </w:p>
        </w:tc>
        <!--<w:tc>
          <w:p>
            <w:pPr>
              <w:pStyle w:val="NormalinTable"/>
              <w:jc w:val="center"/>
            </w:pPr>
            <w:r>
              <w:t>{SUPPUNIT}</w:t>
            </w:r>
          </w:p>
        </w:tc>//-->
      </w:tr>
      <w:tr>
        <w:trPr>
          <w:cantSplit/>
        </w:trPr>
        <w:tc>
          <w:p>
            <w:pPr>
              <w:pStyle w:val="NormalinTable"/>
            </w:pPr>
            <w:r>
              <w:rPr>
                <w:b/>
              </w:rPr>
              <w:t>8607 11 00 00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FOOT}//-->
            </w:r>
          </w:p>
        </w:tc>
        <!--<w:tc>
          <w:p>
            <w:pPr>
              <w:pStyle w:val="NormalinTable"/>
              <w:jc w:val="center"/>
            </w:pPr>
            <w:r>
              <w:t>{SUPPUNIT}</w:t>
            </w:r>
          </w:p>
        </w:tc>//-->
      </w:tr>
      <w:tr>
        <w:trPr>
          <w:cantSplit/>
        </w:trPr>
        <w:tc>
          <w:p>
            <w:pPr>
              <w:pStyle w:val="NormalinTable"/>
            </w:pPr>
            <w:r>
              <w:rPr>
                <w:b/>
              </w:rPr>
              <w:t>8607 12 00 00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FOOT}//-->
            </w:r>
          </w:p>
        </w:tc>
        <!--<w:tc>
          <w:p>
            <w:pPr>
              <w:pStyle w:val="NormalinTable"/>
              <w:jc w:val="center"/>
            </w:pPr>
            <w:r>
              <w:t>{SUPPUNIT}</w:t>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8607 19 10 00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FOOT}//-->
            </w:r>
          </w:p>
        </w:tc>
        <!--<w:tc>
          <w:p>
            <w:pPr>
              <w:pStyle w:val="NormalinTable"/>
              <w:jc w:val="center"/>
            </w:pPr>
            <w:r>
              <w:t>{SUPPUNIT}</w:t>
            </w:r>
          </w:p>
        </w:tc>//-->
      </w:tr>
      <w:tr>
        <w:trPr>
          <w:cantSplit/>
        </w:trPr>
        <w:tc>
          <w:p>
            <w:pPr>
              <w:pStyle w:val="NormalinTable"/>
            </w:pPr>
            <w:r>
              <w:rPr>
                <w:b/>
              </w:rPr>
              <w:t>8607 19 90 00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FOOT}//-->
            </w:r>
          </w:p>
        </w:tc>
        <!--<w:tc>
          <w:p>
            <w:pPr>
              <w:pStyle w:val="NormalinTable"/>
              <w:jc w:val="center"/>
            </w:pPr>
            <w:r>
              <w:t>{SUPPUNIT}</w:t>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FOOT}//-->
            </w:r>
          </w:p>
        </w:tc>
        <!--<w:tc>
          <w:p>
            <w:pPr>
              <w:pStyle w:val="NormalinTable"/>
              <w:jc w:val="center"/>
            </w:pPr>
            <w:r>
              <w:t>{SUPPUNIT}</w:t>
            </w:r>
          </w:p>
        </w:tc>//-->
      </w:tr>
      <w:tr>
        <w:trPr>
          <w:cantSplit/>
        </w:trPr>
        <w:tc>
          <w:p>
            <w:pPr>
              <w:pStyle w:val="NormalinTable"/>
            </w:pPr>
            <w:r>
              <w:rPr>
                <w:b/>
              </w:rPr>
              <w:t>8607 21 10 00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8607 21 90 00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FOOT}//-->
            </w:r>
          </w:p>
        </w:tc>
        <!--<w:tc>
          <w:p>
            <w:pPr>
              <w:pStyle w:val="NormalinTable"/>
              <w:jc w:val="center"/>
            </w:pPr>
            <w:r>
              <w:t>{SUPPUNIT}</w:t>
            </w:r>
          </w:p>
        </w:tc>//-->
      </w:tr>
      <w:tr>
        <w:trPr>
          <w:cantSplit/>
        </w:trPr>
        <w:tc>
          <w:p>
            <w:pPr>
              <w:pStyle w:val="NormalinTable"/>
            </w:pPr>
            <w:r>
              <w:rPr>
                <w:b/>
              </w:rPr>
              <w:t>8607 91 10 00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c>
          <w:p>
            <w:pPr>
              <w:pStyle w:val="NormalinTable"/>
              <w:jc w:val="center"/>
            </w:pPr>
            <w:r>
              <w:t>{SUPPUNIT}</w:t>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FOOT}//-->
            </w:r>
          </w:p>
        </w:tc>
        <!--<w:tc>
          <w:p>
            <w:pPr>
              <w:pStyle w:val="NormalinTable"/>
              <w:jc w:val="center"/>
            </w:pPr>
            <w:r>
              <w:t>{SUPPUNIT}</w:t>
            </w:r>
          </w:p>
        </w:tc>//-->
      </w:tr>
      <w:tr>
        <w:trPr>
          <w:cantSplit/>
        </w:trPr>
        <w:tc>
          <w:p>
            <w:pPr>
              <w:pStyle w:val="NormalinTable"/>
            </w:pPr>
            <w:r>
              <w:rPr>
                <w:b/>
              </w:rPr>
              <w:t>8609 00 10 00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FOOT}//-->
            </w:r>
          </w:p>
        </w:tc>
        <!--<w:tc>
          <w:p>
            <w:pPr>
              <w:pStyle w:val="NormalinTable"/>
              <w:jc w:val="center"/>
            </w:pPr>
            <w:r>
              <w:t>{SUPPUNIT}</w:t>
            </w:r>
          </w:p>
        </w:tc>//-->
      </w:tr>
      <w:tr>
        <w:trPr>
          <w:cantSplit/>
        </w:trPr>
        <w:tc>
          <w:p>
            <w:pPr>
              <w:pStyle w:val="NormalinTable"/>
            </w:pPr>
            <w:r>
              <w:rPr>
                <w:b/>
              </w:rPr>
              <w:t>8609 00 90 00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