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87</w:t>
      </w:r>
      <w:r>
        <w:br/>
        <w:t>Vehicles Other Than Railway or Tramway Rolling Stock, and Parts and Accessories Thereof</w:t>
      </w:r>
    </w:p>
    <w:p>
      <w:pPr>
        <w:pStyle w:val="Heading3"/>
      </w:pPr>
      <w:r>
        <w:t>Chapter Notes</w:t>
      </w:r>
    </w:p>
    <w:p>
      <w:r>
        <w:t>1. This chapter does not cover railway or tramway rolling-stock designed solely for running on rails.</w:t>
      </w:r>
    </w:p>
    <w:p>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r>
        <w:t>Machines and working tools designed for fitting to tractors of heading 8701 as interchangeable equipment remain classified in their respective headings even if presented with the tractor, and whether or not mounted on it.</w:t>
      </w:r>
    </w:p>
    <w:p>
      <w:r>
        <w:t>3. Motor chassis fitted with cabs fall in headings 8702 to 8704, and not in heading 8706.</w:t>
      </w:r>
    </w:p>
    <w:p>
      <w:r>
        <w:t>4. Heading 8712 includes all children's bicycles. Other children's cycles fall in heading 9503.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VEHICLES OTHER THAN RAILWAY OR TRAMWAY ROLLING STOCK, AND PARTS AND ACCESSORIES THEREOF</w:t>
              <!--{FOOT}//-->
            </w:r>
          </w:p>
        </w:tc>
        <!--<w:tc>
          <w:p>
            <w:pPr>
              <w:pStyle w:val="NormalinTable"/>
              <w:jc w:val="center"/>
            </w:pPr>
            <w:r>
              <w:t>{SUPPUNIT}</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c>
          <w:p>
            <w:pPr>
              <w:pStyle w:val="NormalinTable"/>
              <w:jc w:val="center"/>
            </w:pPr>
            <w:r>
              <w:t>{SUPPUNIT}</w:t>
            </w:r>
          </w:p>
        </w:tc>//-->
      </w:tr>
      <w:tr>
        <w:trPr>
          <w:cantSplit/>
        </w:trPr>
        <w:tc>
          <w:p>
            <w:pPr>
              <w:pStyle w:val="NormalinTable"/>
            </w:pPr>
            <w:r>
              <w:rPr>
                <w:b/>
              </w:rPr>
              <w:t>8701 10 00 00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c>
          <w:p>
            <w:pPr>
              <w:pStyle w:val="NormalinTable"/>
              <w:jc w:val="center"/>
            </w:pPr>
            <w:r>
              <w:t>{SUPPUNIT}</w:t>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c>
          <w:p>
            <w:pPr>
              <w:pStyle w:val="NormalinTable"/>
              <w:jc w:val="center"/>
            </w:pPr>
            <w:r>
              <w:t>{SUPPUNIT}</w:t>
            </w:r>
          </w:p>
        </w:tc>//-->
      </w:tr>
      <w:tr>
        <w:trPr>
          <w:cantSplit/>
        </w:trPr>
        <w:tc>
          <w:p>
            <w:pPr>
              <w:pStyle w:val="NormalinTable"/>
            </w:pPr>
            <w:r>
              <w:rPr>
                <w:b/>
              </w:rPr>
              <w:t>8701 20 10 00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c>
          <w:p>
            <w:pPr>
              <w:pStyle w:val="NormalinTable"/>
              <w:jc w:val="center"/>
            </w:pPr>
            <w:r>
              <w:t>{SUPPUNIT}</w:t>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c>
          <w:p>
            <w:pPr>
              <w:pStyle w:val="NormalinTable"/>
              <w:jc w:val="center"/>
            </w:pPr>
            <w:r>
              <w:t>{SUPPUNIT}</w:t>
            </w:r>
          </w:p>
        </w:tc>//-->
      </w:tr>
      <w:tr>
        <w:trPr>
          <w:cantSplit/>
        </w:trPr>
        <w:tc>
          <w:p>
            <w:pPr>
              <w:pStyle w:val="NormalinTable"/>
            </w:pPr>
            <w:r>
              <w:rPr>
                <w:b/>
              </w:rPr>
              <w:t>8701 91 10 00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c>
          <w:p>
            <w:pPr>
              <w:pStyle w:val="NormalinTable"/>
              <w:jc w:val="center"/>
            </w:pPr>
            <w:r>
              <w:t>{SUPPUNIT}</w:t>
            </w:r>
          </w:p>
        </w:tc>//-->
      </w:tr>
      <w:tr>
        <w:trPr>
          <w:cantSplit/>
        </w:trPr>
        <w:tc>
          <w:p>
            <w:pPr>
              <w:pStyle w:val="NormalinTable"/>
            </w:pPr>
            <w:r>
              <w:rPr>
                <w:b/>
              </w:rPr>
              <w:t>8701 92 10 00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c>
          <w:p>
            <w:pPr>
              <w:pStyle w:val="NormalinTable"/>
              <w:jc w:val="center"/>
            </w:pPr>
            <w:r>
              <w:t>{SUPPUNIT}</w:t>
            </w:r>
          </w:p>
        </w:tc>//-->
      </w:tr>
      <w:tr>
        <w:trPr>
          <w:cantSplit/>
        </w:trPr>
        <w:tc>
          <w:p>
            <w:pPr>
              <w:pStyle w:val="NormalinTable"/>
            </w:pPr>
            <w:r>
              <w:rPr>
                <w:b/>
              </w:rPr>
              <w:t>8701 93 10 00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c>
          <w:p>
            <w:pPr>
              <w:pStyle w:val="NormalinTable"/>
              <w:jc w:val="center"/>
            </w:pPr>
            <w:r>
              <w:t>{SUPPUNIT}</w:t>
            </w:r>
          </w:p>
        </w:tc>//-->
      </w:tr>
      <w:tr>
        <w:trPr>
          <w:cantSplit/>
        </w:trPr>
        <w:tc>
          <w:p>
            <w:pPr>
              <w:pStyle w:val="NormalinTable"/>
            </w:pPr>
            <w:r>
              <w:rPr>
                <w:b/>
              </w:rPr>
              <w:t>8701 94 10 00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c>
          <w:p>
            <w:pPr>
              <w:pStyle w:val="NormalinTable"/>
              <w:jc w:val="center"/>
            </w:pPr>
            <w:r>
              <w:t>{SUPPUNIT}</w:t>
            </w:r>
          </w:p>
        </w:tc>//-->
      </w:tr>
      <w:tr>
        <w:trPr>
          <w:cantSplit/>
        </w:trPr>
        <w:tc>
          <w:p>
            <w:pPr>
              <w:pStyle w:val="NormalinTable"/>
            </w:pPr>
            <w:r>
              <w:rPr>
                <w:b/>
              </w:rPr>
              <w:t>8701 95 10 00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c>
          <w:p>
            <w:pPr>
              <w:pStyle w:val="NormalinTable"/>
              <w:jc w:val="center"/>
            </w:pPr>
            <w:r>
              <w:t>{SUPPUNIT}</w:t>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c>
          <w:p>
            <w:pPr>
              <w:pStyle w:val="NormalinTable"/>
              <w:jc w:val="center"/>
            </w:pPr>
            <w:r>
              <w:t>{SUPPUNIT}</w:t>
            </w:r>
          </w:p>
        </w:tc>//-->
      </w:tr>
      <w:tr>
        <w:trPr>
          <w:cantSplit/>
        </w:trPr>
        <w:tc>
          <w:p>
            <w:pPr>
              <w:pStyle w:val="NormalinTable"/>
            </w:pPr>
            <w:r>
              <w:rPr>
                <w:b/>
              </w:rPr>
              <w:t>8702 20 10 00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c>
          <w:p>
            <w:pPr>
              <w:pStyle w:val="NormalinTable"/>
              <w:jc w:val="center"/>
            </w:pPr>
            <w:r>
              <w:t>{SUPPUNIT}</w:t>
            </w:r>
          </w:p>
        </w:tc>//-->
      </w:tr>
      <w:tr>
        <w:trPr>
          <w:cantSplit/>
        </w:trPr>
        <w:tc>
          <w:p>
            <w:pPr>
              <w:pStyle w:val="NormalinTable"/>
            </w:pPr>
            <w:r>
              <w:rPr>
                <w:b/>
              </w:rPr>
              <w:t>8702 30 10 00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c>
          <w:p>
            <w:pPr>
              <w:pStyle w:val="NormalinTable"/>
              <w:jc w:val="center"/>
            </w:pPr>
            <w:r>
              <w:t>{SUPPUNIT}</w:t>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c>
          <w:p>
            <w:pPr>
              <w:pStyle w:val="NormalinTable"/>
              <w:jc w:val="center"/>
            </w:pPr>
            <w:r>
              <w:t>{SUPPUNIT}</w:t>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c>
          <w:p>
            <w:pPr>
              <w:pStyle w:val="NormalinTable"/>
              <w:jc w:val="center"/>
            </w:pPr>
            <w:r>
              <w:t>{SUPPUNIT}</w:t>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c>
          <w:p>
            <w:pPr>
              <w:pStyle w:val="NormalinTable"/>
              <w:jc w:val="center"/>
            </w:pPr>
            <w:r>
              <w:t>{SUPPUNIT}</w:t>
            </w:r>
          </w:p>
        </w:tc>//-->
      </w:tr>
      <w:tr>
        <w:trPr>
          <w:cantSplit/>
        </w:trPr>
        <w:tc>
          <w:p>
            <w:pPr>
              <w:pStyle w:val="NormalinTable"/>
            </w:pPr>
            <w:r>
              <w:rPr>
                <w:b/>
              </w:rPr>
              <w:t>8703 10 11 00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8703 10 18 00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c>
          <w:p>
            <w:pPr>
              <w:pStyle w:val="NormalinTable"/>
              <w:jc w:val="center"/>
            </w:pPr>
            <w:r>
              <w:t>{SUPPUNIT}</w:t>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8703 23 19 00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c>
          <w:p>
            <w:pPr>
              <w:pStyle w:val="NormalinTable"/>
              <w:jc w:val="center"/>
            </w:pPr>
            <w:r>
              <w:t>{SUPPUNIT}</w:t>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c>
          <w:p>
            <w:pPr>
              <w:pStyle w:val="NormalinTable"/>
              <w:jc w:val="center"/>
            </w:pPr>
            <w:r>
              <w:t>{SUPPUNIT}</w:t>
            </w:r>
          </w:p>
        </w:tc>//-->
      </w:tr>
      <w:tr>
        <w:trPr>
          <w:cantSplit/>
        </w:trPr>
        <w:tc>
          <w:p>
            <w:pPr>
              <w:pStyle w:val="NormalinTable"/>
            </w:pPr>
            <w:r>
              <w:rPr>
                <w:b/>
              </w:rPr>
              <w:t>8703 80 10 00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c>
          <w:p>
            <w:pPr>
              <w:pStyle w:val="NormalinTable"/>
              <w:jc w:val="center"/>
            </w:pPr>
            <w:r>
              <w:t>{SUPPUNIT}</w:t>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c>
          <w:p>
            <w:pPr>
              <w:pStyle w:val="NormalinTable"/>
              <w:jc w:val="center"/>
            </w:pPr>
            <w:r>
              <w:t>{SUPPUNIT}</w:t>
            </w:r>
          </w:p>
        </w:tc>//-->
      </w:tr>
      <w:tr>
        <w:trPr>
          <w:cantSplit/>
        </w:trPr>
        <w:tc>
          <w:p>
            <w:pPr>
              <w:pStyle w:val="NormalinTable"/>
            </w:pPr>
            <w:r>
              <w:rPr>
                <w:b/>
              </w:rPr>
              <w:t>8704 10 10 00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c>
          <w:p>
            <w:pPr>
              <w:pStyle w:val="NormalinTable"/>
              <w:jc w:val="center"/>
            </w:pPr>
            <w:r>
              <w:t>{SUPPUNIT}</w:t>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c>
          <w:p>
            <w:pPr>
              <w:pStyle w:val="NormalinTable"/>
              <w:jc w:val="center"/>
            </w:pPr>
            <w:r>
              <w:t>{SUPPUNIT}</w:t>
            </w:r>
          </w:p>
        </w:tc>//-->
      </w:tr>
      <w:tr>
        <w:trPr>
          <w:cantSplit/>
        </w:trPr>
        <w:tc>
          <w:p>
            <w:pPr>
              <w:pStyle w:val="NormalinTable"/>
            </w:pPr>
            <w:r>
              <w:rPr>
                <w:b/>
              </w:rPr>
              <w:t>8704 22 10 00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c>
          <w:p>
            <w:pPr>
              <w:pStyle w:val="NormalinTable"/>
              <w:jc w:val="center"/>
            </w:pPr>
            <w:r>
              <w:t>{SUPPUNIT}</w:t>
            </w:r>
          </w:p>
        </w:tc>//-->
      </w:tr>
      <w:tr>
        <w:trPr>
          <w:cantSplit/>
        </w:trPr>
        <w:tc>
          <w:p>
            <w:pPr>
              <w:pStyle w:val="NormalinTable"/>
            </w:pPr>
            <w:r>
              <w:rPr>
                <w:b/>
              </w:rPr>
              <w:t>8704 23 10 00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c>
          <w:p>
            <w:pPr>
              <w:pStyle w:val="NormalinTable"/>
              <w:jc w:val="center"/>
            </w:pPr>
            <w:r>
              <w:t>{SUPPUNIT}</w:t>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c>
          <w:p>
            <w:pPr>
              <w:pStyle w:val="NormalinTable"/>
              <w:jc w:val="center"/>
            </w:pPr>
            <w:r>
              <w:t>{SUPPUNIT}</w:t>
            </w:r>
          </w:p>
        </w:tc>//-->
      </w:tr>
      <w:tr>
        <w:trPr>
          <w:cantSplit/>
        </w:trPr>
        <w:tc>
          <w:p>
            <w:pPr>
              <w:pStyle w:val="NormalinTable"/>
            </w:pPr>
            <w:r>
              <w:rPr>
                <w:b/>
              </w:rPr>
              <w:t>8704 32 10 00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c>
          <w:p>
            <w:pPr>
              <w:pStyle w:val="NormalinTable"/>
              <w:jc w:val="center"/>
            </w:pPr>
            <w:r>
              <w:t>{SUPPUNIT}</w:t>
            </w:r>
          </w:p>
        </w:tc>//-->
      </w:tr>
      <w:tr>
        <w:trPr>
          <w:cantSplit/>
        </w:trPr>
        <w:tc>
          <w:p>
            <w:pPr>
              <w:pStyle w:val="NormalinTable"/>
            </w:pPr>
            <w:r>
              <w:rPr>
                <w:b/>
              </w:rPr>
              <w:t>8705 10 00 00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c>
          <w:p>
            <w:pPr>
              <w:pStyle w:val="NormalinTable"/>
              <w:jc w:val="center"/>
            </w:pPr>
            <w:r>
              <w:t>{SUPPUNIT}</w:t>
            </w:r>
          </w:p>
        </w:tc>//-->
      </w:tr>
      <w:tr>
        <w:trPr>
          <w:cantSplit/>
        </w:trPr>
        <w:tc>
          <w:p>
            <w:pPr>
              <w:pStyle w:val="NormalinTable"/>
            </w:pPr>
            <w:r>
              <w:rPr>
                <w:b/>
              </w:rPr>
              <w:t>8705 20 00 00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c>
          <w:p>
            <w:pPr>
              <w:pStyle w:val="NormalinTable"/>
              <w:jc w:val="center"/>
            </w:pPr>
            <w:r>
              <w:t>{SUPPUNIT}</w:t>
            </w:r>
          </w:p>
        </w:tc>//-->
      </w:tr>
      <w:tr>
        <w:trPr>
          <w:cantSplit/>
        </w:trPr>
        <w:tc>
          <w:p>
            <w:pPr>
              <w:pStyle w:val="NormalinTable"/>
            </w:pPr>
            <w:r>
              <w:rPr>
                <w:b/>
              </w:rPr>
              <w:t>8705 30 00 00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c>
          <w:p>
            <w:pPr>
              <w:pStyle w:val="NormalinTable"/>
              <w:jc w:val="center"/>
            </w:pPr>
            <w:r>
              <w:t>{SUPPUNIT}</w:t>
            </w:r>
          </w:p>
        </w:tc>//-->
      </w:tr>
      <w:tr>
        <w:trPr>
          <w:cantSplit/>
        </w:trPr>
        <w:tc>
          <w:p>
            <w:pPr>
              <w:pStyle w:val="NormalinTable"/>
            </w:pPr>
            <w:r>
              <w:rPr>
                <w:b/>
              </w:rPr>
              <w:t>8705 40 00 00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c>
          <w:p>
            <w:pPr>
              <w:pStyle w:val="NormalinTable"/>
              <w:jc w:val="center"/>
            </w:pPr>
            <w:r>
              <w:t>{SUPPUNIT}</w:t>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c>
          <w:p>
            <w:pPr>
              <w:pStyle w:val="NormalinTable"/>
              <w:jc w:val="center"/>
            </w:pPr>
            <w:r>
              <w:t>{SUPPUNIT}</w:t>
            </w:r>
          </w:p>
        </w:tc>//-->
      </w:tr>
      <w:tr>
        <w:trPr>
          <w:cantSplit/>
        </w:trPr>
        <w:tc>
          <w:p>
            <w:pPr>
              <w:pStyle w:val="NormalinTable"/>
            </w:pPr>
            <w:r>
              <w:rPr>
                <w:b/>
              </w:rPr>
              <w:t>8705 90 80 00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8706 00 11 00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c>
          <w:p>
            <w:pPr>
              <w:pStyle w:val="NormalinTable"/>
              <w:jc w:val="center"/>
            </w:pPr>
            <w:r>
              <w:t>{SUPPUNIT}</w:t>
            </w:r>
          </w:p>
        </w:tc>//-->
      </w:tr>
      <w:tr>
        <w:trPr>
          <w:cantSplit/>
        </w:trPr>
        <w:tc>
          <w:p>
            <w:pPr>
              <w:pStyle w:val="NormalinTable"/>
            </w:pPr>
            <w:r>
              <w:rPr>
                <w:b/>
              </w:rPr>
              <w:t>8706 00 19 00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c>
          <w:p>
            <w:pPr>
              <w:pStyle w:val="NormalinTable"/>
              <w:jc w:val="center"/>
            </w:pPr>
            <w:r>
              <w:t>{SUPPUNIT}</w:t>
            </w:r>
          </w:p>
        </w:tc>//-->
      </w:tr>
      <w:tr>
        <w:trPr>
          <w:cantSplit/>
        </w:trPr>
        <w:tc>
          <w:p>
            <w:pPr>
              <w:pStyle w:val="NormalinTable"/>
            </w:pPr>
            <w:r>
              <w:rPr>
                <w:b/>
              </w:rPr>
              <w:t>8706 00 99 00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c>
          <w:p>
            <w:pPr>
              <w:pStyle w:val="NormalinTable"/>
              <w:jc w:val="center"/>
            </w:pPr>
            <w:r>
              <w:t>{SUPPUNIT}</w:t>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c>
          <w:p>
            <w:pPr>
              <w:pStyle w:val="NormalinTable"/>
              <w:jc w:val="center"/>
            </w:pPr>
            <w:r>
              <w:t>{SUPPUNIT}</w:t>
            </w:r>
          </w:p>
        </w:tc>//-->
      </w:tr>
      <w:tr>
        <w:trPr>
          <w:cantSplit/>
        </w:trPr>
        <w:tc>
          <w:p>
            <w:pPr>
              <w:pStyle w:val="NormalinTable"/>
            </w:pPr>
            <w:r>
              <w:rPr>
                <w:b/>
              </w:rPr>
              <w:t>8707 10 10 00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c>
          <w:p>
            <w:pPr>
              <w:pStyle w:val="NormalinTable"/>
              <w:jc w:val="center"/>
            </w:pPr>
            <w:r>
              <w:t>{SUPPUNIT}</w:t>
            </w:r>
          </w:p>
        </w:tc>//-->
      </w:tr>
      <w:tr>
        <w:trPr>
          <w:cantSplit/>
        </w:trPr>
        <w:tc>
          <w:p>
            <w:pPr>
              <w:pStyle w:val="NormalinTable"/>
            </w:pPr>
            <w:r>
              <w:rPr>
                <w:b/>
              </w:rPr>
              <w:t>8707 10 90 00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c>
          <w:p>
            <w:pPr>
              <w:pStyle w:val="NormalinTable"/>
              <w:jc w:val="center"/>
            </w:pPr>
            <w:r>
              <w:t>{SUPPUNIT}</w:t>
            </w:r>
          </w:p>
        </w:tc>//-->
      </w:tr>
      <w:tr>
        <w:trPr>
          <w:cantSplit/>
        </w:trPr>
        <w:tc>
          <w:p>
            <w:pPr>
              <w:pStyle w:val="NormalinTable"/>
            </w:pPr>
            <w:r>
              <w:rPr>
                <w:b/>
              </w:rPr>
              <w:t>8707 90 90 00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c>
          <w:p>
            <w:pPr>
              <w:pStyle w:val="NormalinTable"/>
              <w:jc w:val="center"/>
            </w:pPr>
            <w:r>
              <w:t>{SUPPUNIT}</w:t>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c>
          <w:p>
            <w:pPr>
              <w:pStyle w:val="NormalinTable"/>
              <w:jc w:val="center"/>
            </w:pPr>
            <w:r>
              <w:t>{SUPPUNIT}</w:t>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c>
          <w:p>
            <w:pPr>
              <w:pStyle w:val="NormalinTable"/>
              <w:jc w:val="center"/>
            </w:pPr>
            <w:r>
              <w:t>{SUPPUNIT}</w:t>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c>
          <w:p>
            <w:pPr>
              <w:pStyle w:val="NormalinTable"/>
              <w:jc w:val="center"/>
            </w:pPr>
            <w:r>
              <w:t>{SUPPUNIT}</w:t>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c>
          <w:p>
            <w:pPr>
              <w:pStyle w:val="NormalinTable"/>
              <w:jc w:val="center"/>
            </w:pPr>
            <w:r>
              <w:t>{SUPPUNIT}</w:t>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c>
          <w:p>
            <w:pPr>
              <w:pStyle w:val="NormalinTable"/>
              <w:jc w:val="center"/>
            </w:pPr>
            <w:r>
              <w:t>{SUPPUNIT}</w:t>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c>
          <w:p>
            <w:pPr>
              <w:pStyle w:val="NormalinTable"/>
              <w:jc w:val="center"/>
            </w:pPr>
            <w:r>
              <w:t>{SUPPUNIT}</w:t>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w:t>
            </w:r>
            <w:r>
              <w:br/>
              <w:t>- at least eight gears,</w:t>
            </w:r>
            <w:r>
              <w:br/>
              <w:t>- an engine torque of 300 Nm or more, and</w:t>
            </w:r>
            <w:r>
              <w:br/>
              <w:t>- transverse or longitudinal installation for use in the manufacture of motor vehicles of heading 8703</w:t>
              <!--{FOOT}//-->
            </w:r>
          </w:p>
        </w:tc>
        <!--<w:tc>
          <w:p>
            <w:pPr>
              <w:pStyle w:val="NormalinTable"/>
              <w:jc w:val="center"/>
            </w:pPr>
            <w:r>
              <w:t>{SUPPUNIT}</w:t>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c>
          <w:p>
            <w:pPr>
              <w:pStyle w:val="NormalinTable"/>
              <w:jc w:val="center"/>
            </w:pPr>
            <w:r>
              <w:t>{SUPPUNIT}</w:t>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8708 50 35 00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c>
          <w:p>
            <w:pPr>
              <w:pStyle w:val="NormalinTable"/>
              <w:jc w:val="center"/>
            </w:pPr>
            <w:r>
              <w:t>{SUPPUNIT}</w:t>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c>
          <w:p>
            <w:pPr>
              <w:pStyle w:val="NormalinTable"/>
              <w:jc w:val="center"/>
            </w:pPr>
            <w:r>
              <w:t>{SUPPUNIT}</w:t>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Road wheels of steel, whether or not with their accessories and whether or not fitted with tyres, for the industrial assembly of</w:t>
            </w:r>
            <w:r>
              <w:br/>
            </w:r>
            <w:r>
              <w:t>vehicles of heading 8703;</w:t>
            </w:r>
            <w:r>
              <w:br/>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w:t>
            </w:r>
            <w:r>
              <w:br/>
            </w:r>
            <w:r>
              <w:t>vehicles of heading 8705</w:t>
              <!--{FOOT}//-->
            </w:r>
          </w:p>
        </w:tc>
        <!--<w:tc>
          <w:p>
            <w:pPr>
              <w:pStyle w:val="NormalinTable"/>
              <w:jc w:val="center"/>
            </w:pPr>
            <w:r>
              <w:t>{SUPPUNIT}</w:t>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c>
          <w:p>
            <w:pPr>
              <w:pStyle w:val="NormalinTable"/>
              <w:jc w:val="center"/>
            </w:pPr>
            <w:r>
              <w:t>{SUPPUNIT}</w:t>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8708 70 99 30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 designed for</w:t>
            </w:r>
            <w:r>
              <w:br/>
            </w:r>
            <w:r>
              <w:t>- road tractors,</w:t>
            </w:r>
            <w:r>
              <w:br/>
            </w:r>
            <w:r>
              <w:t>- motor vehicles for the transport of persons and/or the transport of goods,</w:t>
            </w:r>
            <w:r>
              <w:br/>
            </w:r>
            <w:r>
              <w:t>- special purpose motor vehicles (for example, fire fighting vehicles, spraying lorries);</w:t>
            </w:r>
            <w:r>
              <w:br/>
            </w:r>
            <w:r>
              <w:t>excluding:</w:t>
            </w:r>
            <w:r>
              <w:br/>
            </w:r>
            <w:r>
              <w:t>- wheels for road quad bikes,</w:t>
            </w:r>
            <w:r>
              <w:br/>
            </w:r>
            <w:r>
              <w:t>- wheels for motor vehicles specifically designed for uses other than on public roads (for example, wheels for agricultural tractors or forestry tractors, for forklifts, for pushback tractors, for dumpers designed for off-highway use)</w:t>
              <!--{FOOT}//-->
            </w:r>
          </w:p>
        </w:tc>
        <!--<w:tc>
          <w:p>
            <w:pPr>
              <w:pStyle w:val="NormalinTable"/>
              <w:jc w:val="center"/>
            </w:pPr>
            <w:r>
              <w:t>{SUPPUNIT}</w:t>
            </w:r>
          </w:p>
        </w:tc>//-->
      </w:tr>
      <w:tr>
        <w:trPr>
          <w:cantSplit/>
        </w:trPr>
        <w:tc>
          <w:p>
            <w:pPr>
              <w:pStyle w:val="NormalinTable"/>
            </w:pPr>
            <w:r>
              <w:rPr>
                <w:b/>
              </w:rPr>
              <w:t>8708 70 99 85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c>
          <w:p>
            <w:pPr>
              <w:pStyle w:val="NormalinTable"/>
              <w:jc w:val="center"/>
            </w:pPr>
            <w:r>
              <w:t>{SUPPUNIT}</w:t>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c>
          <w:p>
            <w:pPr>
              <w:pStyle w:val="NormalinTable"/>
              <w:jc w:val="center"/>
            </w:pPr>
            <w:r>
              <w:t>{SUPPUNIT}</w:t>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c>
          <w:p>
            <w:pPr>
              <w:pStyle w:val="NormalinTable"/>
              <w:jc w:val="center"/>
            </w:pPr>
            <w:r>
              <w:t>{SUPPUNIT}</w:t>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c>
          <w:p>
            <w:pPr>
              <w:pStyle w:val="NormalinTable"/>
              <w:jc w:val="center"/>
            </w:pPr>
            <w:r>
              <w:t>{SUPPUNIT}</w:t>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c>
          <w:p>
            <w:pPr>
              <w:pStyle w:val="NormalinTable"/>
              <w:jc w:val="center"/>
            </w:pPr>
            <w:r>
              <w:t>{SUPPUNIT}</w:t>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c>
          <w:p>
            <w:pPr>
              <w:pStyle w:val="NormalinTable"/>
              <w:jc w:val="center"/>
            </w:pPr>
            <w:r>
              <w:t>{SUPPUNIT}</w:t>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w:t>
            </w:r>
            <w:r>
              <w:br/>
              <w:t>- one solid aluminium tube whether or not with mounting bracket,</w:t>
            </w:r>
            <w:r>
              <w:br/>
              <w:t>- one flexible rubber hose, and</w:t>
            </w:r>
            <w:r>
              <w:br/>
              <w:t>- one metal clip for use in the manufacture of goods of Chapter 87</w:t>
              <!--{FOOT}//-->
            </w:r>
          </w:p>
        </w:tc>
        <!--<w:tc>
          <w:p>
            <w:pPr>
              <w:pStyle w:val="NormalinTable"/>
              <w:jc w:val="center"/>
            </w:pPr>
            <w:r>
              <w:t>{SUPPUNIT}</w:t>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c>
          <w:p>
            <w:pPr>
              <w:pStyle w:val="NormalinTable"/>
              <w:jc w:val="center"/>
            </w:pPr>
            <w:r>
              <w:t>{SUPPUNIT}</w:t>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c>
          <w:p>
            <w:pPr>
              <w:pStyle w:val="NormalinTable"/>
              <w:jc w:val="center"/>
            </w:pPr>
            <w:r>
              <w:t>{SUPPUNIT}</w:t>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c>
          <w:p>
            <w:pPr>
              <w:pStyle w:val="NormalinTable"/>
              <w:jc w:val="center"/>
            </w:pPr>
            <w:r>
              <w:t>{SUPPUNIT}</w:t>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8708 99 97 45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for supplying compressed air, whether or not with a resonator, comprising at least:</w:t>
            </w:r>
            <w:r>
              <w:br/>
            </w:r>
            <w:r>
              <w:t> </w:t>
            </w:r>
            <w:r>
              <w:br/>
            </w:r>
            <w:r>
              <w:t>- one solid aluminium tube whether or not with mounting bracket,</w:t>
            </w:r>
            <w:r>
              <w:br/>
            </w:r>
            <w:r>
              <w:t> </w:t>
            </w:r>
            <w:r>
              <w:br/>
            </w:r>
            <w:r>
              <w:t>- one flexible rubber hose, and</w:t>
            </w:r>
            <w:r>
              <w:br/>
            </w:r>
            <w:r>
              <w:t> </w:t>
            </w:r>
            <w:r>
              <w:br/>
            </w:r>
            <w:r>
              <w:t>- one metal clip</w:t>
            </w:r>
            <w:r>
              <w:br/>
            </w:r>
            <w:r>
              <w:t>for use in the manufacture of goods of Chapter 87</w:t>
              <!--{FOOT}//-->
            </w:r>
          </w:p>
        </w:tc>
        <!--<w:tc>
          <w:p>
            <w:pPr>
              <w:pStyle w:val="NormalinTable"/>
              <w:jc w:val="center"/>
            </w:pPr>
            <w:r>
              <w:t>{SUPPUNIT}</w:t>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c>
          <w:p>
            <w:pPr>
              <w:pStyle w:val="NormalinTable"/>
              <w:jc w:val="center"/>
            </w:pPr>
            <w:r>
              <w:t>{SUPPUNIT}</w:t>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c>
          <w:p>
            <w:pPr>
              <w:pStyle w:val="NormalinTable"/>
              <w:jc w:val="center"/>
            </w:pPr>
            <w:r>
              <w:t>{SUPPUNIT}</w:t>
            </w:r>
          </w:p>
        </w:tc>//-->
      </w:tr>
      <w:tr>
        <w:trPr>
          <w:cantSplit/>
        </w:trPr>
        <w:tc>
          <w:p>
            <w:pPr>
              <w:pStyle w:val="NormalinTable"/>
            </w:pPr>
            <w:r>
              <w:rPr>
                <w:b/>
              </w:rPr>
              <w:t>8709 11 10 00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c>
          <w:p>
            <w:pPr>
              <w:pStyle w:val="NormalinTable"/>
              <w:jc w:val="center"/>
            </w:pPr>
            <w:r>
              <w:t>{SUPPUNIT}</w:t>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c>
          <w:p>
            <w:pPr>
              <w:pStyle w:val="NormalinTable"/>
              <w:jc w:val="center"/>
            </w:pPr>
            <w:r>
              <w:t>{SUPPUNIT}</w:t>
            </w:r>
          </w:p>
        </w:tc>//-->
      </w:tr>
      <w:tr>
        <w:trPr>
          <w:cantSplit/>
        </w:trPr>
        <w:tc>
          <w:p>
            <w:pPr>
              <w:pStyle w:val="NormalinTable"/>
            </w:pPr>
            <w:r>
              <w:rPr>
                <w:b/>
              </w:rPr>
              <w:t>8711 10 00 00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c>
          <w:p>
            <w:pPr>
              <w:pStyle w:val="NormalinTable"/>
              <w:jc w:val="center"/>
            </w:pPr>
            <w:r>
              <w:t>{SUPPUNIT}</w:t>
            </w:r>
          </w:p>
        </w:tc>//-->
      </w:tr>
      <w:tr>
        <w:trPr>
          <w:cantSplit/>
        </w:trPr>
        <w:tc>
          <w:p>
            <w:pPr>
              <w:pStyle w:val="NormalinTable"/>
            </w:pPr>
            <w:r>
              <w:rPr>
                <w:b/>
              </w:rPr>
              <w:t>8711 20 92 00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c>
          <w:p>
            <w:pPr>
              <w:pStyle w:val="NormalinTable"/>
              <w:jc w:val="center"/>
            </w:pPr>
            <w:r>
              <w:t>{SUPPUNIT}</w:t>
            </w:r>
          </w:p>
        </w:tc>//-->
      </w:tr>
      <w:tr>
        <w:trPr>
          <w:cantSplit/>
        </w:trPr>
        <w:tc>
          <w:p>
            <w:pPr>
              <w:pStyle w:val="NormalinTable"/>
            </w:pPr>
            <w:r>
              <w:rPr>
                <w:b/>
              </w:rPr>
              <w:t>8711 60 10 00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c>
          <w:p>
            <w:pPr>
              <w:pStyle w:val="NormalinTable"/>
              <w:jc w:val="center"/>
            </w:pPr>
            <w:r>
              <w:t>{SUPPUNIT}</w:t>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c>
          <w:p>
            <w:pPr>
              <w:pStyle w:val="NormalinTable"/>
              <w:jc w:val="center"/>
            </w:pPr>
            <w:r>
              <w:t>{SUPPUNIT}</w:t>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c>
          <w:p>
            <w:pPr>
              <w:pStyle w:val="NormalinTable"/>
              <w:jc w:val="center"/>
            </w:pPr>
            <w:r>
              <w:t>{SUPPUNIT}</w:t>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c>
          <w:p>
            <w:pPr>
              <w:pStyle w:val="NormalinTable"/>
              <w:jc w:val="center"/>
            </w:pPr>
            <w:r>
              <w:t>{SUPPUNIT}</w:t>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c>
          <w:p>
            <w:pPr>
              <w:pStyle w:val="NormalinTable"/>
              <w:jc w:val="center"/>
            </w:pPr>
            <w:r>
              <w:t>{SUPPUNIT}</w:t>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c>
          <w:p>
            <w:pPr>
              <w:pStyle w:val="NormalinTable"/>
              <w:jc w:val="center"/>
            </w:pPr>
            <w:r>
              <w:t>{SUPPUNIT}</w:t>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c>
          <w:p>
            <w:pPr>
              <w:pStyle w:val="NormalinTable"/>
              <w:jc w:val="center"/>
            </w:pPr>
            <w:r>
              <w:t>{SUPPUNIT}</w:t>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c>
          <w:p>
            <w:pPr>
              <w:pStyle w:val="NormalinTable"/>
              <w:jc w:val="center"/>
            </w:pPr>
            <w:r>
              <w:t>{SUPPUNIT}</w:t>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c>
          <w:p>
            <w:pPr>
              <w:pStyle w:val="NormalinTable"/>
              <w:jc w:val="center"/>
            </w:pPr>
            <w:r>
              <w:t>{SUPPUNIT}</w:t>
            </w:r>
          </w:p>
        </w:tc>//-->
      </w:tr>
      <w:tr>
        <w:trPr>
          <w:cantSplit/>
        </w:trPr>
        <w:tc>
          <w:p>
            <w:pPr>
              <w:pStyle w:val="NormalinTable"/>
            </w:pPr>
            <w:r>
              <w:rPr>
                <w:b/>
              </w:rPr>
              <w:t>8713 10 00 00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c>
          <w:p>
            <w:pPr>
              <w:pStyle w:val="NormalinTable"/>
              <w:jc w:val="center"/>
            </w:pPr>
            <w:r>
              <w:t>{SUPPUNIT}</w:t>
            </w:r>
          </w:p>
        </w:tc>//-->
      </w:tr>
      <w:tr>
        <w:trPr>
          <w:cantSplit/>
        </w:trPr>
        <w:tc>
          <w:p>
            <w:pPr>
              <w:pStyle w:val="NormalinTable"/>
            </w:pPr>
            <w:r>
              <w:rPr>
                <w:b/>
              </w:rPr>
              <w:t>8713 90 00 00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c>
          <w:p>
            <w:pPr>
              <w:pStyle w:val="NormalinTable"/>
              <w:jc w:val="center"/>
            </w:pPr>
            <w:r>
              <w:t>{SUPPUNIT}</w:t>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c>
          <w:p>
            <w:pPr>
              <w:pStyle w:val="NormalinTable"/>
              <w:jc w:val="center"/>
            </w:pPr>
            <w:r>
              <w:t>{SUPPUNIT}</w:t>
            </w:r>
          </w:p>
        </w:tc>//-->
      </w:tr>
      <w:tr>
        <w:trPr>
          <w:cantSplit/>
        </w:trPr>
        <w:tc>
          <w:p>
            <w:pPr>
              <w:pStyle w:val="NormalinTable"/>
            </w:pPr>
            <w:r>
              <w:rPr>
                <w:b/>
              </w:rPr>
              <w:t>8714 10 10 00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c>
          <w:p>
            <w:pPr>
              <w:pStyle w:val="NormalinTable"/>
              <w:jc w:val="center"/>
            </w:pPr>
            <w:r>
              <w:t>{SUPPUNIT}</w:t>
            </w:r>
          </w:p>
        </w:tc>//-->
      </w:tr>
      <w:tr>
        <w:trPr>
          <w:cantSplit/>
        </w:trPr>
        <w:tc>
          <w:p>
            <w:pPr>
              <w:pStyle w:val="NormalinTable"/>
            </w:pPr>
            <w:r>
              <w:rPr>
                <w:b/>
              </w:rPr>
              <w:t>8714 10 20 00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c>
          <w:p>
            <w:pPr>
              <w:pStyle w:val="NormalinTable"/>
              <w:jc w:val="center"/>
            </w:pPr>
            <w:r>
              <w:t>{SUPPUNIT}</w:t>
            </w:r>
          </w:p>
        </w:tc>//-->
      </w:tr>
      <w:tr>
        <w:trPr>
          <w:cantSplit/>
        </w:trPr>
        <w:tc>
          <w:p>
            <w:pPr>
              <w:pStyle w:val="NormalinTable"/>
            </w:pPr>
            <w:r>
              <w:rPr>
                <w:b/>
              </w:rPr>
              <w:t>8714 10 30 00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c>
          <w:p>
            <w:pPr>
              <w:pStyle w:val="NormalinTable"/>
              <w:jc w:val="center"/>
            </w:pPr>
            <w:r>
              <w:t>{SUPPUNIT}</w:t>
            </w:r>
          </w:p>
        </w:tc>//-->
      </w:tr>
      <w:tr>
        <w:trPr>
          <w:cantSplit/>
        </w:trPr>
        <w:tc>
          <w:p>
            <w:pPr>
              <w:pStyle w:val="NormalinTable"/>
            </w:pPr>
            <w:r>
              <w:rPr>
                <w:b/>
              </w:rPr>
              <w:t>8714 10 40 00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8714 10 50 00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t>- of SAE1541 carbon steel</w:t>
            </w:r>
            <w:r>
              <w:br/>
              <w:t>- with a hard chromium layer of 20 µm (+15 µm/-5 µm)</w:t>
            </w:r>
            <w:r>
              <w:br/>
              <w:t>- having a wall thickness of 1.45 mm or more, but not more than 1.5 mm</w:t>
            </w:r>
            <w:r>
              <w:br/>
              <w:t>- having an elongation at break of 15%</w:t>
            </w:r>
            <w:r>
              <w:br/>
              <w:t>- perforated of a kind used for the production of motorcycle fork rods</w:t>
              <!--{FOOT}//-->
            </w:r>
          </w:p>
        </w:tc>
        <!--<w:tc>
          <w:p>
            <w:pPr>
              <w:pStyle w:val="NormalinTable"/>
              <w:jc w:val="center"/>
            </w:pPr>
            <w:r>
              <w:t>{SUPPUNIT}</w:t>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c>
          <w:p>
            <w:pPr>
              <w:pStyle w:val="NormalinTable"/>
              <w:jc w:val="center"/>
            </w:pPr>
            <w:r>
              <w:t>{SUPPUNIT}</w:t>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c>
          <w:p>
            <w:pPr>
              <w:pStyle w:val="NormalinTable"/>
              <w:jc w:val="center"/>
            </w:pPr>
            <w:r>
              <w:t>{SUPPUNIT}</w:t>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 </w:t>
              <!--{FOOT}//-->
            </w:r>
          </w:p>
        </w:tc>
        <!--<w:tc>
          <w:p>
            <w:pPr>
              <w:pStyle w:val="NormalinTable"/>
              <w:jc w:val="center"/>
            </w:pPr>
            <w:r>
              <w:t>{SUPPUNIT}</w:t>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c>
          <w:p>
            <w:pPr>
              <w:pStyle w:val="NormalinTable"/>
              <w:jc w:val="center"/>
            </w:pPr>
            <w:r>
              <w:t>{SUPPUNIT}</w:t>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c>
          <w:p>
            <w:pPr>
              <w:pStyle w:val="NormalinTable"/>
              <w:jc w:val="center"/>
            </w:pPr>
            <w:r>
              <w:t>{SUPPUNIT}</w:t>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c>
          <w:p>
            <w:pPr>
              <w:pStyle w:val="NormalinTable"/>
              <w:jc w:val="center"/>
            </w:pPr>
            <w:r>
              <w:t>{SUPPUNIT}</w:t>
            </w:r>
          </w:p>
        </w:tc>//-->
      </w:tr>
      <w:tr>
        <w:trPr>
          <w:cantSplit/>
        </w:trPr>
        <w:tc>
          <w:p>
            <w:pPr>
              <w:pStyle w:val="NormalinTable"/>
            </w:pPr>
            <w:r>
              <w:rPr>
                <w:b/>
              </w:rPr>
              <w:t>8714 92 10 00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c>
          <w:p>
            <w:pPr>
              <w:pStyle w:val="NormalinTable"/>
              <w:jc w:val="center"/>
            </w:pPr>
            <w:r>
              <w:t>{SUPPUNIT}</w:t>
            </w:r>
          </w:p>
        </w:tc>//-->
      </w:tr>
      <w:tr>
        <w:trPr>
          <w:cantSplit/>
        </w:trPr>
        <w:tc>
          <w:p>
            <w:pPr>
              <w:pStyle w:val="NormalinTable"/>
            </w:pPr>
            <w:r>
              <w:rPr>
                <w:b/>
              </w:rPr>
              <w:t>8714 92 90 00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c>
          <w:p>
            <w:pPr>
              <w:pStyle w:val="NormalinTable"/>
              <w:jc w:val="center"/>
            </w:pPr>
            <w:r>
              <w:t>{SUPPUNIT}</w:t>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c>
          <w:p>
            <w:pPr>
              <w:pStyle w:val="NormalinTable"/>
              <w:jc w:val="center"/>
            </w:pPr>
            <w:r>
              <w:t>{SUPPUNIT}</w:t>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c>
          <w:p>
            <w:pPr>
              <w:pStyle w:val="NormalinTable"/>
              <w:jc w:val="center"/>
            </w:pPr>
            <w:r>
              <w:t>{SUPPUNIT}</w:t>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c>
          <w:p>
            <w:pPr>
              <w:pStyle w:val="NormalinTable"/>
              <w:jc w:val="center"/>
            </w:pPr>
            <w:r>
              <w:t>{SUPPUNIT}</w:t>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c>
          <w:p>
            <w:pPr>
              <w:pStyle w:val="NormalinTable"/>
              <w:jc w:val="center"/>
            </w:pPr>
            <w:r>
              <w:t>{SUPPUNIT}</w:t>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c>
          <w:p>
            <w:pPr>
              <w:pStyle w:val="NormalinTable"/>
              <w:jc w:val="center"/>
            </w:pPr>
            <w:r>
              <w:t>{SUPPUNIT}</w:t>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c>
          <w:p>
            <w:pPr>
              <w:pStyle w:val="NormalinTable"/>
              <w:jc w:val="center"/>
            </w:pPr>
            <w:r>
              <w:t>{SUPPUNIT}</w:t>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c>
          <w:p>
            <w:pPr>
              <w:pStyle w:val="NormalinTable"/>
              <w:jc w:val="center"/>
            </w:pPr>
            <w:r>
              <w:t>{SUPPUNIT}</w:t>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c>
          <w:p>
            <w:pPr>
              <w:pStyle w:val="NormalinTable"/>
              <w:jc w:val="center"/>
            </w:pPr>
            <w:r>
              <w:t>{SUPPUNIT}</w:t>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c>
          <w:p>
            <w:pPr>
              <w:pStyle w:val="NormalinTable"/>
              <w:jc w:val="center"/>
            </w:pPr>
            <w:r>
              <w:t>{SUPPUNIT}</w:t>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c>
          <w:p>
            <w:pPr>
              <w:pStyle w:val="NormalinTable"/>
              <w:jc w:val="center"/>
            </w:pPr>
            <w:r>
              <w:t>{SUPPUNIT}</w:t>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c>
          <w:p>
            <w:pPr>
              <w:pStyle w:val="NormalinTable"/>
              <w:jc w:val="center"/>
            </w:pPr>
            <w:r>
              <w:t>{SUPPUNIT}</w:t>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c>
          <w:p>
            <w:pPr>
              <w:pStyle w:val="NormalinTable"/>
              <w:jc w:val="center"/>
            </w:pPr>
            <w:r>
              <w:t>{SUPPUNIT}</w:t>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c>
          <w:p>
            <w:pPr>
              <w:pStyle w:val="NormalinTable"/>
              <w:jc w:val="center"/>
            </w:pPr>
            <w:r>
              <w:t>{SUPPUNIT}</w:t>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c>
          <w:p>
            <w:pPr>
              <w:pStyle w:val="NormalinTable"/>
              <w:jc w:val="center"/>
            </w:pPr>
            <w:r>
              <w:t>{SUPPUNIT}</w:t>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c>
          <w:p>
            <w:pPr>
              <w:pStyle w:val="NormalinTable"/>
              <w:jc w:val="center"/>
            </w:pPr>
            <w:r>
              <w:t>{SUPPUNIT}</w:t>
            </w:r>
          </w:p>
        </w:tc>//-->
      </w:tr>
      <w:tr>
        <w:trPr>
          <w:cantSplit/>
        </w:trPr>
        <w:tc>
          <w:p>
            <w:pPr>
              <w:pStyle w:val="NormalinTable"/>
            </w:pPr>
            <w:r>
              <w:rPr>
                <w:b/>
              </w:rPr>
              <w:t>8715 00 10 00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c>
          <w:p>
            <w:pPr>
              <w:pStyle w:val="NormalinTable"/>
              <w:jc w:val="center"/>
            </w:pPr>
            <w:r>
              <w:t>{SUPPUNIT}</w:t>
            </w:r>
          </w:p>
        </w:tc>//-->
      </w:tr>
      <w:tr>
        <w:trPr>
          <w:cantSplit/>
        </w:trPr>
        <w:tc>
          <w:p>
            <w:pPr>
              <w:pStyle w:val="NormalinTable"/>
            </w:pPr>
            <w:r>
              <w:rPr>
                <w:b/>
              </w:rPr>
              <w:t>8715 00 90 00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c>
          <w:p>
            <w:pPr>
              <w:pStyle w:val="NormalinTable"/>
              <w:jc w:val="center"/>
            </w:pPr>
            <w:r>
              <w:t>{SUPPUNIT}</w:t>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c>
          <w:p>
            <w:pPr>
              <w:pStyle w:val="NormalinTable"/>
              <w:jc w:val="center"/>
            </w:pPr>
            <w:r>
              <w:t>{SUPPUNIT}</w:t>
            </w:r>
          </w:p>
        </w:tc>//-->
      </w:tr>
      <w:tr>
        <w:trPr>
          <w:cantSplit/>
        </w:trPr>
        <w:tc>
          <w:p>
            <w:pPr>
              <w:pStyle w:val="NormalinTable"/>
            </w:pPr>
            <w:r>
              <w:rPr>
                <w:b/>
              </w:rPr>
              <w:t>8716 10 92 00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c>
          <w:p>
            <w:pPr>
              <w:pStyle w:val="NormalinTable"/>
              <w:jc w:val="center"/>
            </w:pPr>
            <w:r>
              <w:t>{SUPPUNIT}</w:t>
            </w:r>
          </w:p>
        </w:tc>//-->
      </w:tr>
      <w:tr>
        <w:trPr>
          <w:cantSplit/>
        </w:trPr>
        <w:tc>
          <w:p>
            <w:pPr>
              <w:pStyle w:val="NormalinTable"/>
            </w:pPr>
            <w:r>
              <w:rPr>
                <w:b/>
              </w:rPr>
              <w:t>8716 10 98 00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c>
          <w:p>
            <w:pPr>
              <w:pStyle w:val="NormalinTable"/>
              <w:jc w:val="center"/>
            </w:pPr>
            <w:r>
              <w:t>{SUPPUNIT}</w:t>
            </w:r>
          </w:p>
        </w:tc>//-->
      </w:tr>
      <w:tr>
        <w:trPr>
          <w:cantSplit/>
        </w:trPr>
        <w:tc>
          <w:p>
            <w:pPr>
              <w:pStyle w:val="NormalinTable"/>
            </w:pPr>
            <w:r>
              <w:rPr>
                <w:b/>
              </w:rPr>
              <w:t>8716 20 00 00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c>
          <w:p>
            <w:pPr>
              <w:pStyle w:val="NormalinTable"/>
              <w:jc w:val="center"/>
            </w:pPr>
            <w:r>
              <w:t>{SUPPUNIT}</w:t>
            </w:r>
          </w:p>
        </w:tc>//-->
      </w:tr>
      <w:tr>
        <w:trPr>
          <w:cantSplit/>
        </w:trPr>
        <w:tc>
          <w:p>
            <w:pPr>
              <w:pStyle w:val="NormalinTable"/>
            </w:pPr>
            <w:r>
              <w:rPr>
                <w:b/>
              </w:rPr>
              <w:t>8716 31 00 00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c>
          <w:p>
            <w:pPr>
              <w:pStyle w:val="NormalinTable"/>
              <w:jc w:val="center"/>
            </w:pPr>
            <w:r>
              <w:t>{SUPPUNIT}</w:t>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8716 39 30 00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c>
          <w:p>
            <w:pPr>
              <w:pStyle w:val="NormalinTable"/>
              <w:jc w:val="center"/>
            </w:pPr>
            <w:r>
              <w:t>{SUPPUNIT}</w:t>
            </w:r>
          </w:p>
        </w:tc>//-->
      </w:tr>
      <w:tr>
        <w:trPr>
          <w:cantSplit/>
        </w:trPr>
        <w:tc>
          <w:p>
            <w:pPr>
              <w:pStyle w:val="NormalinTable"/>
            </w:pPr>
            <w:r>
              <w:rPr>
                <w:b/>
              </w:rPr>
              <w:t>8716 39 50 00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8716 39 80 00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c>
          <w:p>
            <w:pPr>
              <w:pStyle w:val="NormalinTable"/>
              <w:jc w:val="center"/>
            </w:pPr>
            <w:r>
              <w:t>{SUPPUNIT}</w:t>
            </w:r>
          </w:p>
        </w:tc>//-->
      </w:tr>
      <w:tr>
        <w:trPr>
          <w:cantSplit/>
        </w:trPr>
        <w:tc>
          <w:p>
            <w:pPr>
              <w:pStyle w:val="NormalinTable"/>
            </w:pPr>
            <w:r>
              <w:rPr>
                <w:b/>
              </w:rPr>
              <w:t>8716 80 00 00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c>
          <w:p>
            <w:pPr>
              <w:pStyle w:val="NormalinTable"/>
              <w:jc w:val="center"/>
            </w:pPr>
            <w:r>
              <w:t>{SUPPUNIT}</w:t>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c>
          <w:p>
            <w:pPr>
              <w:pStyle w:val="NormalinTable"/>
              <w:jc w:val="center"/>
            </w:pPr>
            <w:r>
              <w:t>{SUPPUNIT}</w:t>
            </w:r>
          </w:p>
        </w:tc>//-->
      </w:tr>
      <w:tr>
        <w:trPr>
          <w:cantSplit/>
        </w:trPr>
        <w:tc>
          <w:p>
            <w:pPr>
              <w:pStyle w:val="NormalinTable"/>
            </w:pPr>
            <w:r>
              <w:rPr>
                <w:b/>
              </w:rPr>
              <w:t>8716 90 30 00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c>
          <w:p>
            <w:pPr>
              <w:pStyle w:val="NormalinTable"/>
              <w:jc w:val="center"/>
            </w:pPr>
            <w:r>
              <w:t>{SUPPUNIT}</w:t>
            </w:r>
          </w:p>
        </w:tc>//-->
      </w:tr>
      <w:tr>
        <w:trPr>
          <w:cantSplit/>
        </w:trPr>
        <w:tc>
          <w:p>
            <w:pPr>
              <w:pStyle w:val="NormalinTable"/>
            </w:pPr>
            <w:r>
              <w:rPr>
                <w:b/>
              </w:rPr>
              <w:t>8716 90 50 00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c>
          <w:p>
            <w:pPr>
              <w:pStyle w:val="NormalinTable"/>
              <w:jc w:val="center"/>
            </w:pPr>
            <w:r>
              <w:t>{SUPPUNIT}</w:t>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8716 90 90 96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8716 90 90 97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