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91</w:t>
      </w:r>
      <w:r>
        <w:br/>
        <w:t>Clocks and Watches and Parts Thereof</w:t>
      </w:r>
    </w:p>
    <w:p>
      <w:pPr>
        <w:pStyle w:val="Heading3"/>
      </w:pPr>
      <w:r>
        <w:t>Chapter Notes</w:t>
      </w:r>
    </w:p>
    <w:p>
      <w:r>
        <w:t>1. This chapter does not cover:</w:t>
      </w:r>
    </w:p>
    <w:p>
      <w:pPr>
        <w:pStyle w:val="ListBullet"/>
      </w:pPr>
      <w:r>
        <w:t xml:space="preserve">clock or watch glasses or weights (classified according to their constituent material);</w:t>
      </w:r>
    </w:p>
    <w:p>
      <w:pPr>
        <w:pStyle w:val="ListBullet"/>
      </w:pPr>
      <w:r>
        <w:t xml:space="preserve">watch chains (heading 7113 or 7117, as the case may be);</w:t>
      </w:r>
    </w:p>
    <w:p>
      <w:pPr>
        <w:pStyle w:val="ListBullet"/>
      </w:pPr>
      <w:r>
        <w:t xml:space="preserve">parts of general use defined in note 2 to Section XV, of base metal (Section XV), or similar goods of plastics (Chapter 39) or of precious metal or metal clad with precious metal (generally heading 7115); clock or watch springs are, however, to be classified as clock or watch parts (heading 9114);</w:t>
      </w:r>
    </w:p>
    <w:p>
      <w:pPr>
        <w:pStyle w:val="ListBullet"/>
      </w:pPr>
      <w:r>
        <w:t xml:space="preserve">bearing balls (heading 7326 or 8482, as the case may be);</w:t>
      </w:r>
    </w:p>
    <w:p>
      <w:pPr>
        <w:pStyle w:val="ListBullet"/>
      </w:pPr>
      <w:r>
        <w:t xml:space="preserve">articles of heading 8412 constructed to work without an escapement;</w:t>
      </w:r>
    </w:p>
    <w:p>
      <w:pPr>
        <w:pStyle w:val="ListBullet"/>
      </w:pPr>
      <w:r>
        <w:t xml:space="preserve">ball bearings (heading 8482); or</w:t>
      </w:r>
    </w:p>
    <w:p>
      <w:pPr>
        <w:pStyle w:val="ListBullet"/>
      </w:pPr>
      <w:r>
        <w:t xml:space="preserve">articles of Chapter 85, not yet assembled together or with other components into watch or clock movements or into articles suitable for use solely or principally as parts of such movements (Chapter 85).</w:t>
      </w:r>
    </w:p>
    <w:p>
      <w:r>
        <w:t>2. Heading 9101 covers only watches with case wholly of precious metal or of metal clad with precious metal, or of the same materials combined with natural or cultured pearls, or precious or semi-precious stones (natural, synthetic or reconstructed) of headings 7101 to 7104. Watches with case of base metal inlaid with precious metal fall in heading 9102.</w:t>
      </w:r>
    </w:p>
    <w:p>
      <w:r>
        <w:t>3. For the purposes of this chapter, the expression 'watch movements' means devices regulated by a balance-wheel and hairspring, quartz crystal or any other system capable of determining intervals of time, with a display or a system to which a mechanical display can be incorporated. Such watch movements shall not exceed 12mm in thickness and 50mm in width, length or diameter.</w:t>
      </w:r>
    </w:p>
    <w:p>
      <w:r>
        <w:t>4. Except as provided in note 1, movements and other parts suitable for use both in clocks or watches and in other articles (for example, precision instruments) are to be classified in this chapter.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CLOCKS AND WATCHES AND PARTS THEREOF</w:t>
              <!--{FOOT}//-->
            </w:r>
          </w:p>
        </w:tc>
        <!--<w:tc>
          <w:p>
            <w:pPr>
              <w:pStyle w:val="NormalinTable"/>
              <w:jc w:val="center"/>
            </w:pPr>
            <w:r>
              <w:t>{SUPPUNIT}</w:t>
            </w:r>
          </w:p>
        </w:tc>//-->
      </w:tr>
      <w:tr>
        <w:trPr>
          <w:cantSplit/>
        </w:trPr>
        <w:tc>
          <w:p>
            <w:pPr>
              <w:pStyle w:val="NormalinTable"/>
            </w:pPr>
            <w:r>
              <w:rPr>
                <w:b/>
              </w:rPr>
              <w:t>9101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with case of precious metal or of metal clad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FOOT}//-->
            </w:r>
          </w:p>
        </w:tc>
        <!--<w:tc>
          <w:p>
            <w:pPr>
              <w:pStyle w:val="NormalinTable"/>
              <w:jc w:val="center"/>
            </w:pPr>
            <w:r>
              <w:t>{SUPPUNIT}</w:t>
            </w:r>
          </w:p>
        </w:tc>//-->
      </w:tr>
      <w:tr>
        <w:trPr>
          <w:cantSplit/>
        </w:trPr>
        <w:tc>
          <w:p>
            <w:pPr>
              <w:pStyle w:val="NormalinTable"/>
            </w:pPr>
            <w:r>
              <w:rPr>
                <w:b/>
              </w:rPr>
              <w:t>9101 11 00 00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FOOT}//-->
            </w:r>
          </w:p>
        </w:tc>
        <!--<w:tc>
          <w:p>
            <w:pPr>
              <w:pStyle w:val="NormalinTable"/>
              <w:jc w:val="center"/>
            </w:pPr>
            <w:r>
              <w:t>{SUPPUNIT}</w:t>
            </w:r>
          </w:p>
        </w:tc>//-->
      </w:tr>
      <w:tr>
        <w:trPr>
          <w:cantSplit/>
        </w:trPr>
        <w:tc>
          <w:p>
            <w:pPr>
              <w:pStyle w:val="NormalinTable"/>
            </w:pPr>
            <w:r>
              <w:rPr>
                <w:b/>
              </w:rPr>
              <w:t>9101 19 00 00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FOOT}//-->
            </w:r>
          </w:p>
        </w:tc>
        <!--<w:tc>
          <w:p>
            <w:pPr>
              <w:pStyle w:val="NormalinTable"/>
              <w:jc w:val="center"/>
            </w:pPr>
            <w:r>
              <w:t>{SUPPUNIT}</w:t>
            </w:r>
          </w:p>
        </w:tc>//-->
      </w:tr>
      <w:tr>
        <w:trPr>
          <w:cantSplit/>
        </w:trPr>
        <w:tc>
          <w:p>
            <w:pPr>
              <w:pStyle w:val="NormalinTable"/>
            </w:pPr>
            <w:r>
              <w:rPr>
                <w:b/>
              </w:rPr>
              <w:t>9101 21 00 00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FOOT}//-->
            </w:r>
          </w:p>
        </w:tc>
        <!--<w:tc>
          <w:p>
            <w:pPr>
              <w:pStyle w:val="NormalinTable"/>
              <w:jc w:val="center"/>
            </w:pPr>
            <w:r>
              <w:t>{SUPPUNIT}</w:t>
            </w:r>
          </w:p>
        </w:tc>//-->
      </w:tr>
      <w:tr>
        <w:trPr>
          <w:cantSplit/>
        </w:trPr>
        <w:tc>
          <w:p>
            <w:pPr>
              <w:pStyle w:val="NormalinTable"/>
            </w:pPr>
            <w:r>
              <w:rPr>
                <w:b/>
              </w:rPr>
              <w:t>9101 29 00 00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9101 99 00 00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other than those of heading 9101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FOOT}//-->
            </w:r>
          </w:p>
        </w:tc>
        <!--<w:tc>
          <w:p>
            <w:pPr>
              <w:pStyle w:val="NormalinTable"/>
              <w:jc w:val="center"/>
            </w:pPr>
            <w:r>
              <w:t>{SUPPUNIT}</w:t>
            </w:r>
          </w:p>
        </w:tc>//-->
      </w:tr>
      <w:tr>
        <w:trPr>
          <w:cantSplit/>
        </w:trPr>
        <w:tc>
          <w:p>
            <w:pPr>
              <w:pStyle w:val="NormalinTable"/>
            </w:pPr>
            <w:r>
              <w:rPr>
                <w:b/>
              </w:rPr>
              <w:t>9102 11 00 00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FOOT}//-->
            </w:r>
          </w:p>
        </w:tc>
        <!--<w:tc>
          <w:p>
            <w:pPr>
              <w:pStyle w:val="NormalinTable"/>
              <w:jc w:val="center"/>
            </w:pPr>
            <w:r>
              <w:t>{SUPPUNIT}</w:t>
            </w:r>
          </w:p>
        </w:tc>//-->
      </w:tr>
      <w:tr>
        <w:trPr>
          <w:cantSplit/>
        </w:trPr>
        <w:tc>
          <w:p>
            <w:pPr>
              <w:pStyle w:val="NormalinTable"/>
            </w:pPr>
            <w:r>
              <w:rPr>
                <w:b/>
              </w:rPr>
              <w:t>9102 12 00 00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FOOT}//-->
            </w:r>
          </w:p>
        </w:tc>
        <!--<w:tc>
          <w:p>
            <w:pPr>
              <w:pStyle w:val="NormalinTable"/>
              <w:jc w:val="center"/>
            </w:pPr>
            <w:r>
              <w:t>{SUPPUNIT}</w:t>
            </w:r>
          </w:p>
        </w:tc>//-->
      </w:tr>
      <w:tr>
        <w:trPr>
          <w:cantSplit/>
        </w:trPr>
        <w:tc>
          <w:p>
            <w:pPr>
              <w:pStyle w:val="NormalinTable"/>
            </w:pPr>
            <w:r>
              <w:rPr>
                <w:b/>
              </w:rPr>
              <w:t>9102 19 00 00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FOOT}//-->
            </w:r>
          </w:p>
        </w:tc>
        <!--<w:tc>
          <w:p>
            <w:pPr>
              <w:pStyle w:val="NormalinTable"/>
              <w:jc w:val="center"/>
            </w:pPr>
            <w:r>
              <w:t>{SUPPUNIT}</w:t>
            </w:r>
          </w:p>
        </w:tc>//-->
      </w:tr>
      <w:tr>
        <w:trPr>
          <w:cantSplit/>
        </w:trPr>
        <w:tc>
          <w:p>
            <w:pPr>
              <w:pStyle w:val="NormalinTable"/>
            </w:pPr>
            <w:r>
              <w:rPr>
                <w:b/>
              </w:rPr>
              <w:t>9102 21 00 00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FOOT}//-->
            </w:r>
          </w:p>
        </w:tc>
        <!--<w:tc>
          <w:p>
            <w:pPr>
              <w:pStyle w:val="NormalinTable"/>
              <w:jc w:val="center"/>
            </w:pPr>
            <w:r>
              <w:t>{SUPPUNIT}</w:t>
            </w:r>
          </w:p>
        </w:tc>//-->
      </w:tr>
      <w:tr>
        <w:trPr>
          <w:cantSplit/>
        </w:trPr>
        <w:tc>
          <w:p>
            <w:pPr>
              <w:pStyle w:val="NormalinTable"/>
            </w:pPr>
            <w:r>
              <w:rPr>
                <w:b/>
              </w:rPr>
              <w:t>9102 29 00 00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9102 99 00 00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Clocks with watch movements, excluding clocks of heading 9104</w:t>
              <!--{FOOT}//-->
            </w:r>
          </w:p>
        </w:tc>
        <!--<w:tc>
          <w:p>
            <w:pPr>
              <w:pStyle w:val="NormalinTable"/>
              <w:jc w:val="center"/>
            </w:pPr>
            <w:r>
              <w:t>{SUPPUNIT}</w:t>
            </w:r>
          </w:p>
        </w:tc>//-->
      </w:tr>
      <w:tr>
        <w:trPr>
          <w:cantSplit/>
        </w:trPr>
        <w:tc>
          <w:p>
            <w:pPr>
              <w:pStyle w:val="NormalinTable"/>
            </w:pPr>
            <w:r>
              <w:rPr>
                <w:b/>
              </w:rPr>
              <w:t>9103 10 00 00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c>
          <w:p>
            <w:pPr>
              <w:pStyle w:val="NormalinTable"/>
              <w:jc w:val="center"/>
            </w:pPr>
            <w:r>
              <w:t>{SUPPUNIT}</w:t>
            </w:r>
          </w:p>
        </w:tc>//-->
      </w:tr>
      <w:tr>
        <w:trPr>
          <w:cantSplit/>
        </w:trPr>
        <w:tc>
          <w:p>
            <w:pPr>
              <w:pStyle w:val="NormalinTable"/>
            </w:pPr>
            <w:r>
              <w:rPr>
                <w:b/>
              </w:rPr>
              <w:t>9103 90 00 00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 panel clocks and clocks of a similar type for vehicles, aircraft, spacecraft or vessels</w:t>
              <!--{FOOT}//-->
            </w:r>
          </w:p>
        </w:tc>
        <!--<w:tc>
          <w:p>
            <w:pPr>
              <w:pStyle w:val="NormalinTable"/>
              <w:jc w:val="center"/>
            </w:pPr>
            <w:r>
              <w:t>{SUPPUNIT}</w:t>
            </w:r>
          </w:p>
        </w:tc>//-->
      </w:tr>
      <w:tr>
        <w:trPr>
          <w:cantSplit/>
        </w:trPr>
        <w:tc>
          <w:p>
            <w:pPr>
              <w:pStyle w:val="NormalinTable"/>
            </w:pPr>
            <w:r>
              <w:rPr>
                <w:b/>
              </w:rPr>
              <w:t>9104 00 00 10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use in civil aircraft</w:t>
              <!--{FOOT}//-->
            </w:r>
          </w:p>
        </w:tc>
        <!--<w:tc>
          <w:p>
            <w:pPr>
              <w:pStyle w:val="NormalinTable"/>
              <w:jc w:val="center"/>
            </w:pPr>
            <w:r>
              <w:t>{SUPPUNIT}</w:t>
            </w:r>
          </w:p>
        </w:tc>//-->
      </w:tr>
      <w:tr>
        <w:trPr>
          <w:cantSplit/>
        </w:trPr>
        <w:tc>
          <w:p>
            <w:pPr>
              <w:pStyle w:val="NormalinTable"/>
            </w:pPr>
            <w:r>
              <w:rPr>
                <w:b/>
              </w:rPr>
              <w:t>9104 00 00 90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Alarm clocks</w:t>
              <!--{FOOT}//-->
            </w:r>
          </w:p>
        </w:tc>
        <!--<w:tc>
          <w:p>
            <w:pPr>
              <w:pStyle w:val="NormalinTable"/>
              <w:jc w:val="center"/>
            </w:pPr>
            <w:r>
              <w:t>{SUPPUNIT}</w:t>
            </w:r>
          </w:p>
        </w:tc>//-->
      </w:tr>
      <w:tr>
        <w:trPr>
          <w:cantSplit/>
        </w:trPr>
        <w:tc>
          <w:p>
            <w:pPr>
              <w:pStyle w:val="NormalinTable"/>
            </w:pPr>
            <w:r>
              <w:rPr>
                <w:b/>
              </w:rPr>
              <w:t>9105 11 00 00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 clocks</w:t>
              <!--{FOOT}//-->
            </w:r>
          </w:p>
        </w:tc>
        <!--<w:tc>
          <w:p>
            <w:pPr>
              <w:pStyle w:val="NormalinTable"/>
              <w:jc w:val="center"/>
            </w:pPr>
            <w:r>
              <w:t>{SUPPUNIT}</w:t>
            </w:r>
          </w:p>
        </w:tc>//-->
      </w:tr>
      <w:tr>
        <w:trPr>
          <w:cantSplit/>
        </w:trPr>
        <w:tc>
          <w:p>
            <w:pPr>
              <w:pStyle w:val="NormalinTable"/>
            </w:pPr>
            <w:r>
              <w:rPr>
                <w:b/>
              </w:rPr>
              <w:t>9105 21 00 00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of day recording apparatus and apparatus for measuring, recording or otherwise indicating intervals of time, with clock or watch movement or with synchronous motor (for example, time-registers, time-recorders)</w:t>
              <!--{FOOT}//-->
            </w:r>
          </w:p>
        </w:tc>
        <!--<w:tc>
          <w:p>
            <w:pPr>
              <w:pStyle w:val="NormalinTable"/>
              <w:jc w:val="center"/>
            </w:pPr>
            <w:r>
              <w:t>{SUPPUNIT}</w:t>
            </w:r>
          </w:p>
        </w:tc>//-->
      </w:tr>
      <w:tr>
        <w:trPr>
          <w:cantSplit/>
        </w:trPr>
        <w:tc>
          <w:p>
            <w:pPr>
              <w:pStyle w:val="NormalinTable"/>
            </w:pPr>
            <w:r>
              <w:rPr>
                <w:b/>
              </w:rPr>
              <w:t>9106 10 00 00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Time-registers; time-recorders</w:t>
              <!--{FOOT}//-->
            </w:r>
          </w:p>
        </w:tc>
        <!--<w:tc>
          <w:p>
            <w:pPr>
              <w:pStyle w:val="NormalinTable"/>
              <w:jc w:val="center"/>
            </w:pPr>
            <w:r>
              <w:t>{SUPPUNIT}</w:t>
            </w:r>
          </w:p>
        </w:tc>//-->
      </w:tr>
      <w:tr>
        <w:trPr>
          <w:cantSplit/>
        </w:trPr>
        <w:tc>
          <w:p>
            <w:pPr>
              <w:pStyle w:val="NormalinTable"/>
            </w:pPr>
            <w:r>
              <w:rPr>
                <w:b/>
              </w:rPr>
              <w:t>9106 90 00 00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switches, with clock or watch movement or with synchronous motor</w:t>
              <!--{FOOT}//-->
            </w:r>
          </w:p>
        </w:tc>
        <!--<w:tc>
          <w:p>
            <w:pPr>
              <w:pStyle w:val="NormalinTable"/>
              <w:jc w:val="center"/>
            </w:pPr>
            <w:r>
              <w:t>{SUPPUNIT}</w:t>
            </w:r>
          </w:p>
        </w:tc>//-->
      </w:tr>
      <w:tr>
        <w:trPr>
          <w:cantSplit/>
        </w:trPr>
        <w:tc>
          <w:p>
            <w:pPr>
              <w:pStyle w:val="NormalinTable"/>
            </w:pPr>
            <w:r>
              <w:rPr>
                <w:b/>
              </w:rPr>
              <w:t>9107 00 00 10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Time switches, with clock or watch movement, used in automatic systems, intended in certain types of aircraft</w:t>
              <!--{FOOT}//-->
            </w:r>
          </w:p>
        </w:tc>
        <!--<w:tc>
          <w:p>
            <w:pPr>
              <w:pStyle w:val="NormalinTable"/>
              <w:jc w:val="center"/>
            </w:pPr>
            <w:r>
              <w:t>{SUPPUNIT}</w:t>
            </w:r>
          </w:p>
        </w:tc>//-->
      </w:tr>
      <w:tr>
        <w:trPr>
          <w:cantSplit/>
        </w:trPr>
        <w:tc>
          <w:p>
            <w:pPr>
              <w:pStyle w:val="NormalinTable"/>
            </w:pPr>
            <w:r>
              <w:rPr>
                <w:b/>
              </w:rPr>
              <w:t>9107 00 00 90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movements, complete and assembled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c>
          <w:p>
            <w:pPr>
              <w:pStyle w:val="NormalinTable"/>
              <w:jc w:val="center"/>
            </w:pPr>
            <w:r>
              <w:t>{SUPPUNIT}</w:t>
            </w:r>
          </w:p>
        </w:tc>//-->
      </w:tr>
      <w:tr>
        <w:trPr>
          <w:cantSplit/>
        </w:trPr>
        <w:tc>
          <w:p>
            <w:pPr>
              <w:pStyle w:val="NormalinTable"/>
            </w:pPr>
            <w:r>
              <w:rPr>
                <w:b/>
              </w:rPr>
              <w:t>9108 11 00 00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 or with a device to which a mechanical display can be incorporated</w:t>
              <!--{FOOT}//-->
            </w:r>
          </w:p>
        </w:tc>
        <!--<w:tc>
          <w:p>
            <w:pPr>
              <w:pStyle w:val="NormalinTable"/>
              <w:jc w:val="center"/>
            </w:pPr>
            <w:r>
              <w:t>{SUPPUNIT}</w:t>
            </w:r>
          </w:p>
        </w:tc>//-->
      </w:tr>
      <w:tr>
        <w:trPr>
          <w:cantSplit/>
        </w:trPr>
        <w:tc>
          <w:p>
            <w:pPr>
              <w:pStyle w:val="NormalinTable"/>
            </w:pPr>
            <w:r>
              <w:rPr>
                <w:b/>
              </w:rPr>
              <w:t>9108 12 00 00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FOOT}//-->
            </w:r>
          </w:p>
        </w:tc>
        <!--<w:tc>
          <w:p>
            <w:pPr>
              <w:pStyle w:val="NormalinTable"/>
              <w:jc w:val="center"/>
            </w:pPr>
            <w:r>
              <w:t>{SUPPUNIT}</w:t>
            </w:r>
          </w:p>
        </w:tc>//-->
      </w:tr>
      <w:tr>
        <w:trPr>
          <w:cantSplit/>
        </w:trPr>
        <w:tc>
          <w:p>
            <w:pPr>
              <w:pStyle w:val="NormalinTable"/>
            </w:pPr>
            <w:r>
              <w:rPr>
                <w:b/>
              </w:rPr>
              <w:t>9108 19 00 00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automatic winding</w:t>
              <!--{FOOT}//-->
            </w:r>
          </w:p>
        </w:tc>
        <!--<w:tc>
          <w:p>
            <w:pPr>
              <w:pStyle w:val="NormalinTable"/>
              <w:jc w:val="center"/>
            </w:pPr>
            <w:r>
              <w:t>{SUPPUNIT}</w:t>
            </w:r>
          </w:p>
        </w:tc>//-->
      </w:tr>
      <w:tr>
        <w:trPr>
          <w:cantSplit/>
        </w:trPr>
        <w:tc>
          <w:p>
            <w:pPr>
              <w:pStyle w:val="NormalinTable"/>
            </w:pPr>
            <w:r>
              <w:rPr>
                <w:b/>
              </w:rPr>
              <w:t>9108 90 00 00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movements, complete and assembled</w:t>
              <!--{FOOT}//-->
            </w:r>
          </w:p>
        </w:tc>
        <!--<w:tc>
          <w:p>
            <w:pPr>
              <w:pStyle w:val="NormalinTable"/>
              <w:jc w:val="center"/>
            </w:pPr>
            <w:r>
              <w:t>{SUPPUNIT}</w:t>
            </w:r>
          </w:p>
        </w:tc>//-->
      </w:tr>
      <w:tr>
        <w:trPr>
          <w:cantSplit/>
        </w:trPr>
        <w:tc>
          <w:p>
            <w:pPr>
              <w:pStyle w:val="NormalinTable"/>
            </w:pPr>
            <w:r>
              <w:rPr>
                <w:b/>
              </w:rPr>
              <w:t>9109 10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c>
          <w:p>
            <w:pPr>
              <w:pStyle w:val="NormalinTable"/>
              <w:jc w:val="center"/>
            </w:pPr>
            <w:r>
              <w:t>{SUPPUNIT}</w:t>
            </w:r>
          </w:p>
        </w:tc>//-->
      </w:tr>
      <w:tr>
        <w:trPr>
          <w:cantSplit/>
        </w:trPr>
        <w:tc>
          <w:p>
            <w:pPr>
              <w:pStyle w:val="NormalinTable"/>
            </w:pPr>
            <w:r>
              <w:rPr>
                <w:b/>
              </w:rPr>
              <w:t>9109 10 00 10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FOOT}//-->
            </w:r>
          </w:p>
        </w:tc>
        <!--<w:tc>
          <w:p>
            <w:pPr>
              <w:pStyle w:val="NormalinTable"/>
              <w:jc w:val="center"/>
            </w:pPr>
            <w:r>
              <w:t>{SUPPUNIT}</w:t>
            </w:r>
          </w:p>
        </w:tc>//-->
      </w:tr>
      <w:tr>
        <w:trPr>
          <w:cantSplit/>
        </w:trPr>
        <w:tc>
          <w:p>
            <w:pPr>
              <w:pStyle w:val="NormalinTable"/>
            </w:pPr>
            <w:r>
              <w:rPr>
                <w:b/>
              </w:rPr>
              <w:t>9109 10 00 90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FOOT}//-->
            </w:r>
          </w:p>
        </w:tc>
        <!--<w:tc>
          <w:p>
            <w:pPr>
              <w:pStyle w:val="NormalinTable"/>
              <w:jc w:val="center"/>
            </w:pPr>
            <w:r>
              <w:t>{SUPPUNIT}</w:t>
            </w:r>
          </w:p>
        </w:tc>//-->
      </w:tr>
      <w:tr>
        <w:trPr>
          <w:cantSplit/>
        </w:trPr>
        <w:tc>
          <w:p>
            <w:pPr>
              <w:pStyle w:val="NormalinTable"/>
            </w:pPr>
            <w:r>
              <w:rPr>
                <w:b/>
              </w:rPr>
              <w:t>9109 90 00 90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Complete watch or clock movements, unassembled or partly assembled (movement sets); incomplete watch or clock movements, assembled; rough watch or clock movements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watches</w:t>
              <!--{FOOT}//-->
            </w:r>
          </w:p>
        </w:tc>
        <!--<w:tc>
          <w:p>
            <w:pPr>
              <w:pStyle w:val="NormalinTable"/>
              <w:jc w:val="center"/>
            </w:pPr>
            <w:r>
              <w:t>{SUPPUNIT}</w:t>
            </w:r>
          </w:p>
        </w:tc>//-->
      </w:tr>
      <w:tr>
        <w:trPr>
          <w:cantSplit/>
        </w:trPr>
        <w:tc>
          <w:p>
            <w:pPr>
              <w:pStyle w:val="NormalinTable"/>
            </w:pPr>
            <w:r>
              <w:rPr>
                <w:b/>
              </w:rPr>
              <w:t>9110 11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movements, unassembled or partly assembled (movement sets)</w:t>
              <!--{FOOT}//-->
            </w:r>
          </w:p>
        </w:tc>
        <!--<w:tc>
          <w:p>
            <w:pPr>
              <w:pStyle w:val="NormalinTable"/>
              <w:jc w:val="center"/>
            </w:pPr>
            <w:r>
              <w:t>{SUPPUNIT}</w:t>
            </w:r>
          </w:p>
        </w:tc>//-->
      </w:tr>
      <w:tr>
        <w:trPr>
          <w:cantSplit/>
        </w:trPr>
        <w:tc>
          <w:p>
            <w:pPr>
              <w:pStyle w:val="NormalinTable"/>
            </w:pPr>
            <w:r>
              <w:rPr>
                <w:b/>
              </w:rPr>
              <w:t>9110 11 10 00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balance wheel and hairspring</w:t>
              <!--{FOOT}//-->
            </w:r>
          </w:p>
        </w:tc>
        <!--<w:tc>
          <w:p>
            <w:pPr>
              <w:pStyle w:val="NormalinTable"/>
              <w:jc w:val="center"/>
            </w:pPr>
            <w:r>
              <w:t>{SUPPUNIT}</w:t>
            </w:r>
          </w:p>
        </w:tc>//-->
      </w:tr>
      <w:tr>
        <w:trPr>
          <w:cantSplit/>
        </w:trPr>
        <w:tc>
          <w:p>
            <w:pPr>
              <w:pStyle w:val="NormalinTable"/>
            </w:pPr>
            <w:r>
              <w:rPr>
                <w:b/>
              </w:rPr>
              <w:t>9110 11 90 00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9110 12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Incomplete movements, assembled</w:t>
              <!--{FOOT}//-->
            </w:r>
          </w:p>
        </w:tc>
        <!--<w:tc>
          <w:p>
            <w:pPr>
              <w:pStyle w:val="NormalinTable"/>
              <w:jc w:val="center"/>
            </w:pPr>
            <w:r>
              <w:t>{SUPPUNIT}</w:t>
            </w:r>
          </w:p>
        </w:tc>//-->
      </w:tr>
      <w:tr>
        <w:trPr>
          <w:cantSplit/>
        </w:trPr>
        <w:tc>
          <w:p>
            <w:pPr>
              <w:pStyle w:val="NormalinTable"/>
            </w:pPr>
            <w:r>
              <w:rPr>
                <w:b/>
              </w:rPr>
              <w:t>9110 12 00 10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 in automatic systems, for use in certain types of aircraft</w:t>
              <!--{FOOT}//-->
            </w:r>
          </w:p>
        </w:tc>
        <!--<w:tc>
          <w:p>
            <w:pPr>
              <w:pStyle w:val="NormalinTable"/>
              <w:jc w:val="center"/>
            </w:pPr>
            <w:r>
              <w:t>{SUPPUNIT}</w:t>
            </w:r>
          </w:p>
        </w:tc>//-->
      </w:tr>
      <w:tr>
        <w:trPr>
          <w:cantSplit/>
        </w:trPr>
        <w:tc>
          <w:p>
            <w:pPr>
              <w:pStyle w:val="NormalinTable"/>
            </w:pPr>
            <w:r>
              <w:rPr>
                <w:b/>
              </w:rPr>
              <w:t>9110 12 00 90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9110 19 00 00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Rough movements</w:t>
              <!--{FOOT}//-->
            </w:r>
          </w:p>
        </w:tc>
        <!--<w:tc>
          <w:p>
            <w:pPr>
              <w:pStyle w:val="NormalinTable"/>
              <w:jc w:val="center"/>
            </w:pPr>
            <w:r>
              <w:t>{SUPPUNIT}</w:t>
            </w:r>
          </w:p>
        </w:tc>//-->
      </w:tr>
      <w:tr>
        <w:trPr>
          <w:cantSplit/>
        </w:trPr>
        <w:tc>
          <w:p>
            <w:pPr>
              <w:pStyle w:val="NormalinTable"/>
            </w:pPr>
            <w:r>
              <w:rPr>
                <w:b/>
              </w:rPr>
              <w:t>9110 90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Incomplete watch or clock movements, assembled, used in automatic systems, intended for certain types of aircraft</w:t>
              <!--{FOOT}//-->
            </w:r>
          </w:p>
        </w:tc>
        <!--<w:tc>
          <w:p>
            <w:pPr>
              <w:pStyle w:val="NormalinTable"/>
              <w:jc w:val="center"/>
            </w:pPr>
            <w:r>
              <w:t>{SUPPUNIT}</w:t>
            </w:r>
          </w:p>
        </w:tc>//-->
      </w:tr>
      <w:tr>
        <w:trPr>
          <w:cantSplit/>
        </w:trPr>
        <w:tc>
          <w:p>
            <w:pPr>
              <w:pStyle w:val="NormalinTable"/>
            </w:pPr>
            <w:r>
              <w:rPr>
                <w:b/>
              </w:rPr>
              <w:t>9110 90 00 90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cases and parts thereof</w:t>
              <!--{FOOT}//-->
            </w:r>
          </w:p>
        </w:tc>
        <!--<w:tc>
          <w:p>
            <w:pPr>
              <w:pStyle w:val="NormalinTable"/>
              <w:jc w:val="center"/>
            </w:pPr>
            <w:r>
              <w:t>{SUPPUNIT}</w:t>
            </w:r>
          </w:p>
        </w:tc>//-->
      </w:tr>
      <w:tr>
        <w:trPr>
          <w:cantSplit/>
        </w:trPr>
        <w:tc>
          <w:p>
            <w:pPr>
              <w:pStyle w:val="NormalinTable"/>
            </w:pPr>
            <w:r>
              <w:rPr>
                <w:b/>
              </w:rPr>
              <w:t>9111 10 00 00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of precious metal or of metal clad with precious metal</w:t>
              <!--{FOOT}//-->
            </w:r>
          </w:p>
        </w:tc>
        <!--<w:tc>
          <w:p>
            <w:pPr>
              <w:pStyle w:val="NormalinTable"/>
              <w:jc w:val="center"/>
            </w:pPr>
            <w:r>
              <w:t>{SUPPUNIT}</w:t>
            </w:r>
          </w:p>
        </w:tc>//-->
      </w:tr>
      <w:tr>
        <w:trPr>
          <w:cantSplit/>
        </w:trPr>
        <w:tc>
          <w:p>
            <w:pPr>
              <w:pStyle w:val="NormalinTable"/>
            </w:pPr>
            <w:r>
              <w:rPr>
                <w:b/>
              </w:rPr>
              <w:t>9111 20 00 00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of base metal, whether or not gold- or silver-plated</w:t>
              <!--{FOOT}//-->
            </w:r>
          </w:p>
        </w:tc>
        <!--<w:tc>
          <w:p>
            <w:pPr>
              <w:pStyle w:val="NormalinTable"/>
              <w:jc w:val="center"/>
            </w:pPr>
            <w:r>
              <w:t>{SUPPUNIT}</w:t>
            </w:r>
          </w:p>
        </w:tc>//-->
      </w:tr>
      <w:tr>
        <w:trPr>
          <w:cantSplit/>
        </w:trPr>
        <w:tc>
          <w:p>
            <w:pPr>
              <w:pStyle w:val="NormalinTable"/>
            </w:pPr>
            <w:r>
              <w:rPr>
                <w:b/>
              </w:rPr>
              <w:t>9111 80 00 00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cases</w:t>
              <!--{FOOT}//-->
            </w:r>
          </w:p>
        </w:tc>
        <!--<w:tc>
          <w:p>
            <w:pPr>
              <w:pStyle w:val="NormalinTable"/>
              <w:jc w:val="center"/>
            </w:pPr>
            <w:r>
              <w:t>{SUPPUNIT}</w:t>
            </w:r>
          </w:p>
        </w:tc>//-->
      </w:tr>
      <w:tr>
        <w:trPr>
          <w:cantSplit/>
        </w:trPr>
        <w:tc>
          <w:p>
            <w:pPr>
              <w:pStyle w:val="NormalinTable"/>
            </w:pPr>
            <w:r>
              <w:rPr>
                <w:b/>
              </w:rPr>
              <w:t>9111 90 00 00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cases and cases of a similar type for other goods of this chapter, and parts thereof</w:t>
              <!--{FOOT}//-->
            </w:r>
          </w:p>
        </w:tc>
        <!--<w:tc>
          <w:p>
            <w:pPr>
              <w:pStyle w:val="NormalinTable"/>
              <w:jc w:val="center"/>
            </w:pPr>
            <w:r>
              <w:t>{SUPPUNIT}</w:t>
            </w:r>
          </w:p>
        </w:tc>//-->
      </w:tr>
      <w:tr>
        <w:trPr>
          <w:cantSplit/>
        </w:trPr>
        <w:tc>
          <w:p>
            <w:pPr>
              <w:pStyle w:val="NormalinTable"/>
            </w:pPr>
            <w:r>
              <w:rPr>
                <w:b/>
              </w:rPr>
              <w:t>9112 20 00 00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w:t>
              <!--{FOOT}//-->
            </w:r>
          </w:p>
        </w:tc>
        <!--<w:tc>
          <w:p>
            <w:pPr>
              <w:pStyle w:val="NormalinTable"/>
              <w:jc w:val="center"/>
            </w:pPr>
            <w:r>
              <w:t>{SUPPUNIT}</w:t>
            </w:r>
          </w:p>
        </w:tc>//-->
      </w:tr>
      <w:tr>
        <w:trPr>
          <w:cantSplit/>
        </w:trPr>
        <w:tc>
          <w:p>
            <w:pPr>
              <w:pStyle w:val="NormalinTable"/>
            </w:pPr>
            <w:r>
              <w:rPr>
                <w:b/>
              </w:rPr>
              <w:t>9112 90 00 00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straps, watch bands and watch bracelets, and parts thereof</w:t>
              <!--{FOOT}//-->
            </w:r>
          </w:p>
        </w:tc>
        <!--<w:tc>
          <w:p>
            <w:pPr>
              <w:pStyle w:val="NormalinTable"/>
              <w:jc w:val="center"/>
            </w:pPr>
            <w:r>
              <w:t>{SUPPUNIT}</w:t>
            </w:r>
          </w:p>
        </w:tc>//-->
      </w:tr>
      <w:tr>
        <w:trPr>
          <w:cantSplit/>
        </w:trPr>
        <w:tc>
          <w:p>
            <w:pPr>
              <w:pStyle w:val="NormalinTable"/>
            </w:pPr>
            <w:r>
              <w:rPr>
                <w:b/>
              </w:rPr>
              <w:t>9113 10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or of metal clad with precious metal</w:t>
              <!--{FOOT}//-->
            </w:r>
          </w:p>
        </w:tc>
        <!--<w:tc>
          <w:p>
            <w:pPr>
              <w:pStyle w:val="NormalinTable"/>
              <w:jc w:val="center"/>
            </w:pPr>
            <w:r>
              <w:t>{SUPPUNIT}</w:t>
            </w:r>
          </w:p>
        </w:tc>//-->
      </w:tr>
      <w:tr>
        <w:trPr>
          <w:cantSplit/>
        </w:trPr>
        <w:tc>
          <w:p>
            <w:pPr>
              <w:pStyle w:val="NormalinTable"/>
            </w:pPr>
            <w:r>
              <w:rPr>
                <w:b/>
              </w:rPr>
              <w:t>9113 10 10 00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precious metal</w:t>
              <!--{FOOT}//-->
            </w:r>
          </w:p>
        </w:tc>
        <!--<w:tc>
          <w:p>
            <w:pPr>
              <w:pStyle w:val="NormalinTable"/>
              <w:jc w:val="center"/>
            </w:pPr>
            <w:r>
              <w:t>{SUPPUNIT}</w:t>
            </w:r>
          </w:p>
        </w:tc>//-->
      </w:tr>
      <w:tr>
        <w:trPr>
          <w:cantSplit/>
        </w:trPr>
        <w:tc>
          <w:p>
            <w:pPr>
              <w:pStyle w:val="NormalinTable"/>
            </w:pPr>
            <w:r>
              <w:rPr>
                <w:b/>
              </w:rPr>
              <w:t>9113 10 90 00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 clad with precious metal</w:t>
              <!--{FOOT}//-->
            </w:r>
          </w:p>
        </w:tc>
        <!--<w:tc>
          <w:p>
            <w:pPr>
              <w:pStyle w:val="NormalinTable"/>
              <w:jc w:val="center"/>
            </w:pPr>
            <w:r>
              <w:t>{SUPPUNIT}</w:t>
            </w:r>
          </w:p>
        </w:tc>//-->
      </w:tr>
      <w:tr>
        <w:trPr>
          <w:cantSplit/>
        </w:trPr>
        <w:tc>
          <w:p>
            <w:pPr>
              <w:pStyle w:val="NormalinTable"/>
            </w:pPr>
            <w:r>
              <w:rPr>
                <w:b/>
              </w:rPr>
              <w:t>9113 20 00 00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whether or not gold- or silver-plated</w:t>
              <!--{FOOT}//-->
            </w:r>
          </w:p>
        </w:tc>
        <!--<w:tc>
          <w:p>
            <w:pPr>
              <w:pStyle w:val="NormalinTable"/>
              <w:jc w:val="center"/>
            </w:pPr>
            <w:r>
              <w:t>{SUPPUNIT}</w:t>
            </w:r>
          </w:p>
        </w:tc>//-->
      </w:tr>
      <w:tr>
        <w:trPr>
          <w:cantSplit/>
        </w:trPr>
        <w:tc>
          <w:p>
            <w:pPr>
              <w:pStyle w:val="NormalinTable"/>
            </w:pPr>
            <w:r>
              <w:rPr>
                <w:b/>
              </w:rPr>
              <w:t>9113 90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 or of composition leather</w:t>
              <!--{FOOT}//-->
            </w:r>
          </w:p>
        </w:tc>
        <!--<w:tc>
          <w:p>
            <w:pPr>
              <w:pStyle w:val="NormalinTable"/>
              <w:jc w:val="center"/>
            </w:pPr>
            <w:r>
              <w:t>{SUPPUNIT}</w:t>
            </w:r>
          </w:p>
        </w:tc>//-->
      </w:tr>
      <w:tr>
        <w:trPr>
          <w:cantSplit/>
        </w:trPr>
        <w:tc>
          <w:p>
            <w:pPr>
              <w:pStyle w:val="NormalinTable"/>
            </w:pPr>
            <w:r>
              <w:rPr>
                <w:b/>
              </w:rPr>
              <w:t>9113 90 00 11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9113 90 00 19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textile materials</w:t>
              <!--{FOOT}//-->
            </w:r>
          </w:p>
        </w:tc>
        <!--<w:tc>
          <w:p>
            <w:pPr>
              <w:pStyle w:val="NormalinTable"/>
              <w:jc w:val="center"/>
            </w:pPr>
            <w:r>
              <w:t>{SUPPUNIT}</w:t>
            </w:r>
          </w:p>
        </w:tc>//-->
      </w:tr>
      <w:tr>
        <w:trPr>
          <w:cantSplit/>
        </w:trPr>
        <w:tc>
          <w:p>
            <w:pPr>
              <w:pStyle w:val="NormalinTable"/>
            </w:pPr>
            <w:r>
              <w:rPr>
                <w:b/>
              </w:rPr>
              <w:t>9113 90 00 91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9113 90 00 95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9113 90 00 99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 or watch parts</w:t>
              <!--{FOOT}//-->
            </w:r>
          </w:p>
        </w:tc>
        <!--<w:tc>
          <w:p>
            <w:pPr>
              <w:pStyle w:val="NormalinTable"/>
              <w:jc w:val="center"/>
            </w:pPr>
            <w:r>
              <w:t>{SUPPUNIT}</w:t>
            </w:r>
          </w:p>
        </w:tc>//-->
      </w:tr>
      <w:tr>
        <w:trPr>
          <w:cantSplit/>
        </w:trPr>
        <w:tc>
          <w:p>
            <w:pPr>
              <w:pStyle w:val="NormalinTable"/>
            </w:pPr>
            <w:r>
              <w:rPr>
                <w:b/>
              </w:rPr>
              <w:t>9114 10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Springs, including hairsprings</w:t>
              <!--{FOOT}//-->
            </w:r>
          </w:p>
        </w:tc>
        <!--<w:tc>
          <w:p>
            <w:pPr>
              <w:pStyle w:val="NormalinTable"/>
              <w:jc w:val="center"/>
            </w:pPr>
            <w:r>
              <w:t>{SUPPUNIT}</w:t>
            </w:r>
          </w:p>
        </w:tc>//-->
      </w:tr>
      <w:tr>
        <w:trPr>
          <w:cantSplit/>
        </w:trPr>
        <w:tc>
          <w:p>
            <w:pPr>
              <w:pStyle w:val="NormalinTable"/>
            </w:pPr>
            <w:r>
              <w:rPr>
                <w:b/>
              </w:rPr>
              <w:t>9114 10 00 10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Dials</w:t>
              <!--{FOOT}//-->
            </w:r>
          </w:p>
        </w:tc>
        <!--<w:tc>
          <w:p>
            <w:pPr>
              <w:pStyle w:val="NormalinTable"/>
              <w:jc w:val="center"/>
            </w:pPr>
            <w:r>
              <w:t>{SUPPUNIT}</w:t>
            </w:r>
          </w:p>
        </w:tc>//-->
      </w:tr>
      <w:tr>
        <w:trPr>
          <w:cantSplit/>
        </w:trPr>
        <w:tc>
          <w:p>
            <w:pPr>
              <w:pStyle w:val="NormalinTable"/>
            </w:pPr>
            <w:r>
              <w:rPr>
                <w:b/>
              </w:rPr>
              <w:t>9114 30 00 10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and bridges</w:t>
              <!--{FOOT}//-->
            </w:r>
          </w:p>
        </w:tc>
        <!--<w:tc>
          <w:p>
            <w:pPr>
              <w:pStyle w:val="NormalinTable"/>
              <w:jc w:val="center"/>
            </w:pPr>
            <w:r>
              <w:t>{SUPPUNIT}</w:t>
            </w:r>
          </w:p>
        </w:tc>//-->
      </w:tr>
      <w:tr>
        <w:trPr>
          <w:cantSplit/>
        </w:trPr>
        <w:tc>
          <w:p>
            <w:pPr>
              <w:pStyle w:val="NormalinTable"/>
            </w:pPr>
            <w:r>
              <w:rPr>
                <w:b/>
              </w:rPr>
              <w:t>9114 40 00 10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