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A7982" w14:textId="77777777" w:rsidR="00CE501A" w:rsidRDefault="00CE501A" w:rsidP="00CE501A">
      <w:pPr>
        <w:jc w:val="center"/>
      </w:pPr>
      <w:r>
        <w:rPr>
          <w:b/>
          <w:bCs/>
          <w:color w:val="000000"/>
        </w:rPr>
        <w:t>SECTION XVIII</w:t>
      </w:r>
    </w:p>
    <w:p w14:paraId="52743F5A" w14:textId="77777777" w:rsidR="00CE501A" w:rsidRDefault="00CE501A" w:rsidP="00CE501A">
      <w:pPr>
        <w:pStyle w:val="Heading2"/>
      </w:pPr>
      <w:r>
        <w:t>Chapter 92</w:t>
      </w:r>
      <w:r>
        <w:br/>
        <w:t>Musical Instruments; Parts and Accessories Of Such Articles</w:t>
      </w:r>
    </w:p>
    <w:p w14:paraId="6C2B1ADB" w14:textId="7AE8832A" w:rsidR="00CE501A" w:rsidRPr="00487123" w:rsidRDefault="00CE501A" w:rsidP="00CE501A">
      <w:pPr>
        <w:pStyle w:val="Heading3"/>
        <w:spacing w:before="240" w:after="120"/>
      </w:pPr>
      <w:r>
        <w:t>Chapter Notes</w:t>
      </w:r>
      <w:bookmarkStart w:id="0" w:name="_GoBack"/>
      <w:bookmarkEnd w:id="0"/>
    </w:p>
    <w:p w14:paraId="4CB228F0" w14:textId="77777777" w:rsidR="00CE501A" w:rsidRDefault="00CE501A" w:rsidP="00CE501A">
      <w:r>
        <w:t>1. This chapter does not cover:</w:t>
      </w:r>
    </w:p>
    <w:p w14:paraId="69D94FE2" w14:textId="77777777" w:rsidR="00CE501A" w:rsidRDefault="00CE501A" w:rsidP="00CE501A">
      <w:pPr>
        <w:pStyle w:val="ListBullet"/>
        <w:numPr>
          <w:ilvl w:val="0"/>
          <w:numId w:val="192"/>
        </w:numPr>
      </w:pPr>
      <w:r>
        <w:t>parts of general use, as defined in note 2 to Section XV, of base metal (Section XV), or similar goods of plastics (Chapter 39);</w:t>
      </w:r>
    </w:p>
    <w:p w14:paraId="50DA82FE" w14:textId="77777777" w:rsidR="00CE501A" w:rsidRDefault="00CE501A" w:rsidP="00CE501A">
      <w:pPr>
        <w:pStyle w:val="ListBullet"/>
        <w:numPr>
          <w:ilvl w:val="0"/>
          <w:numId w:val="192"/>
        </w:numPr>
      </w:pPr>
      <w:r>
        <w:t>microphones, amplifiers, loud speakers, headphones, switches, stroboscopes and other accessory instruments, apparatus or equipment of Chapter 85 or 90, for use with but not incorporated in or housed in the same cabinet as instruments of this chapter;</w:t>
      </w:r>
    </w:p>
    <w:p w14:paraId="69E027B5" w14:textId="77777777" w:rsidR="00CE501A" w:rsidRDefault="00CE501A" w:rsidP="00CE501A">
      <w:pPr>
        <w:pStyle w:val="ListBullet"/>
        <w:numPr>
          <w:ilvl w:val="0"/>
          <w:numId w:val="192"/>
        </w:numPr>
      </w:pPr>
      <w:r>
        <w:t>toy instruments and apparatus (heading 9503);</w:t>
      </w:r>
    </w:p>
    <w:p w14:paraId="57603800" w14:textId="77777777" w:rsidR="00CE501A" w:rsidRDefault="00CE501A" w:rsidP="00CE501A">
      <w:pPr>
        <w:pStyle w:val="ListBullet"/>
        <w:numPr>
          <w:ilvl w:val="0"/>
          <w:numId w:val="192"/>
        </w:numPr>
      </w:pPr>
      <w:r>
        <w:t>brushes for cleaning musical instruments (heading 9603), or monopods, bipods, tripods and similar articles (heading 9620); or</w:t>
      </w:r>
    </w:p>
    <w:p w14:paraId="21512B66" w14:textId="77777777" w:rsidR="00CE501A" w:rsidRDefault="00CE501A" w:rsidP="00CE501A">
      <w:pPr>
        <w:pStyle w:val="ListBullet"/>
        <w:numPr>
          <w:ilvl w:val="0"/>
          <w:numId w:val="192"/>
        </w:numPr>
      </w:pPr>
      <w:r>
        <w:t>collectors' pieces or antiques (heading 9705 or 9706).</w:t>
      </w:r>
    </w:p>
    <w:p w14:paraId="41FAA1E6" w14:textId="77777777" w:rsidR="00CE501A" w:rsidRDefault="00CE501A" w:rsidP="00CE501A">
      <w:r>
        <w:t>2. Bows and sticks and similar devices used in playing the musical instruments of headings 9202 or 9206 presented with such instruments in numbers normal thereto and clearly intended for use therewith, are to be classified in the same heading as the relative instruments.</w:t>
      </w:r>
    </w:p>
    <w:p w14:paraId="466E971D" w14:textId="4721D716" w:rsidR="00E4554C" w:rsidRPr="00CE501A" w:rsidRDefault="00CE501A" w:rsidP="00CE501A">
      <w:r>
        <w:t>Cards, discs and rolls of heading 9209 presented with an instrument are to be treated as separate articles and not as forming a part of such instrument.</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PARTS AND ACCESSORIES OF SUCH ARTICLES</w:t>
              <!--{FOOT}//-->
            </w:r>
          </w:p>
        </w:tc>
        <!--<w:tc>
          <w:p>
            <w:pPr>
              <w:pStyle w:val="NormalinTable"/>
              <w:jc w:val="center"/>
            </w:pPr>
            <w:r>
              <w:t>{SUPPUNIT}</w:t>
            </w:r>
          </w:p>
        </w:tc>//-->
      </w:tr>
      <w:tr>
        <w:trPr>
          <w:cantSplit/>
        </w:trPr>
        <w:tc>
          <w:p>
            <w:pPr>
              <w:pStyle w:val="NormalinTable"/>
            </w:pPr>
            <w:r>
              <w:rPr>
                <w:b/>
              </w:rPr>
              <w:t>9201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Pianos, including automatic pianos; harpsichords and other keyboard stringed instruments</w:t>
              <!--{FOOT}//-->
            </w:r>
          </w:p>
        </w:tc>
        <!--<w:tc>
          <w:p>
            <w:pPr>
              <w:pStyle w:val="NormalinTable"/>
              <w:jc w:val="center"/>
            </w:pPr>
            <w:r>
              <w:t>{SUPPUNIT}</w:t>
            </w:r>
          </w:p>
        </w:tc>//-->
      </w:tr>
      <w:tr>
        <w:trPr>
          <w:cantSplit/>
        </w:trPr>
        <w:tc>
          <w:p>
            <w:pPr>
              <w:pStyle w:val="NormalinTable"/>
            </w:pPr>
            <w:r>
              <w:rPr>
                <w:b/>
              </w:rPr>
              <w:t>9201 10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Upright pianos</w:t>
              <!--{FOOT}//-->
            </w:r>
          </w:p>
        </w:tc>
        <!--<w:tc>
          <w:p>
            <w:pPr>
              <w:pStyle w:val="NormalinTable"/>
              <w:jc w:val="center"/>
            </w:pPr>
            <w:r>
              <w:t>{SUPPUNIT}</w:t>
            </w:r>
          </w:p>
        </w:tc>//-->
      </w:tr>
      <w:tr>
        <w:trPr>
          <w:cantSplit/>
        </w:trPr>
        <w:tc>
          <w:p>
            <w:pPr>
              <w:pStyle w:val="NormalinTable"/>
            </w:pPr>
            <w:r>
              <w:rPr>
                <w:b/>
              </w:rPr>
              <w:t>9201 10 10 00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9201 10 90 00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9201 20 00 00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Grand pianos</w:t>
              <!--{FOOT}//-->
            </w:r>
          </w:p>
        </w:tc>
        <!--<w:tc>
          <w:p>
            <w:pPr>
              <w:pStyle w:val="NormalinTable"/>
              <w:jc w:val="center"/>
            </w:pPr>
            <w:r>
              <w:t>{SUPPUNIT}</w:t>
            </w:r>
          </w:p>
        </w:tc>//-->
      </w:tr>
      <w:tr>
        <w:trPr>
          <w:cantSplit/>
        </w:trPr>
        <w:tc>
          <w:p>
            <w:pPr>
              <w:pStyle w:val="NormalinTable"/>
            </w:pPr>
            <w:r>
              <w:rPr>
                <w:b/>
              </w:rPr>
              <w:t>9201 90 00 00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string musical instruments (for example, guitars, violins, harps)</w:t>
              <!--{FOOT}//-->
            </w:r>
          </w:p>
        </w:tc>
        <!--<w:tc>
          <w:p>
            <w:pPr>
              <w:pStyle w:val="NormalinTable"/>
              <w:jc w:val="center"/>
            </w:pPr>
            <w:r>
              <w:t>{SUPPUNIT}</w:t>
            </w:r>
          </w:p>
        </w:tc>//-->
      </w:tr>
      <w:tr>
        <w:trPr>
          <w:cantSplit/>
        </w:trPr>
        <w:tc>
          <w:p>
            <w:pPr>
              <w:pStyle w:val="NormalinTable"/>
            </w:pPr>
            <w:r>
              <w:rPr>
                <w:b/>
              </w:rPr>
              <w:t>9202 10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Played with a bow</w:t>
              <!--{FOOT}//-->
            </w:r>
          </w:p>
        </w:tc>
        <!--<w:tc>
          <w:p>
            <w:pPr>
              <w:pStyle w:val="NormalinTable"/>
              <w:jc w:val="center"/>
            </w:pPr>
            <w:r>
              <w:t>{SUPPUNIT}</w:t>
            </w:r>
          </w:p>
        </w:tc>//-->
      </w:tr>
      <w:tr>
        <w:trPr>
          <w:cantSplit/>
        </w:trPr>
        <w:tc>
          <w:p>
            <w:pPr>
              <w:pStyle w:val="NormalinTable"/>
            </w:pPr>
            <w:r>
              <w:rPr>
                <w:b/>
              </w:rPr>
              <w:t>9202 10 10 00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Violins</w:t>
              <!--{FOOT}//-->
            </w:r>
          </w:p>
        </w:tc>
        <!--<w:tc>
          <w:p>
            <w:pPr>
              <w:pStyle w:val="NormalinTable"/>
              <w:jc w:val="center"/>
            </w:pPr>
            <w:r>
              <w:t>{SUPPUNIT}</w:t>
            </w:r>
          </w:p>
        </w:tc>//-->
      </w:tr>
      <w:tr>
        <w:trPr>
          <w:cantSplit/>
        </w:trPr>
        <w:tc>
          <w:p>
            <w:pPr>
              <w:pStyle w:val="NormalinTable"/>
            </w:pPr>
            <w:r>
              <w:rPr>
                <w:b/>
              </w:rPr>
              <w:t>9202 10 90 00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c>
          <w:p>
            <w:pPr>
              <w:pStyle w:val="NormalinTable"/>
              <w:jc w:val="center"/>
            </w:pPr>
            <w:r>
              <w:t>{SUPPUNIT}</w:t>
            </w:r>
          </w:p>
        </w:tc>//-->
      </w:tr>
      <w:tr>
        <w:trPr>
          <w:cantSplit/>
        </w:trPr>
        <w:tc>
          <w:p>
            <w:pPr>
              <w:pStyle w:val="NormalinTable"/>
            </w:pPr>
            <w:r>
              <w:rPr>
                <w:b/>
              </w:rPr>
              <w:t>9202 90 80 00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Wind musical instruments (for example, keyboard pipe organs, accordions, clarinets, trumpets, bagpipes), other than fairground organs and mechanical street organs</w:t>
              <!--{FOOT}//-->
            </w:r>
          </w:p>
        </w:tc>
        <!--<w:tc>
          <w:p>
            <w:pPr>
              <w:pStyle w:val="NormalinTable"/>
              <w:jc w:val="center"/>
            </w:pPr>
            <w:r>
              <w:t>{SUPPUNIT}</w:t>
            </w:r>
          </w:p>
        </w:tc>//-->
      </w:tr>
      <w:tr>
        <w:trPr>
          <w:cantSplit/>
        </w:trPr>
        <w:tc>
          <w:p>
            <w:pPr>
              <w:pStyle w:val="NormalinTable"/>
            </w:pPr>
            <w:r>
              <w:rPr>
                <w:b/>
              </w:rPr>
              <w:t>9205 10 00 00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Brass-wind instruments</w:t>
              <!--{FOOT}//-->
            </w:r>
          </w:p>
        </w:tc>
        <!--<w:tc>
          <w:p>
            <w:pPr>
              <w:pStyle w:val="NormalinTable"/>
              <w:jc w:val="center"/>
            </w:pPr>
            <w:r>
              <w:t>{SUPPUNIT}</w:t>
            </w:r>
          </w:p>
        </w:tc>//-->
      </w:tr>
      <w:tr>
        <w:trPr>
          <w:cantSplit/>
        </w:trPr>
        <w:tc>
          <w:p>
            <w:pPr>
              <w:pStyle w:val="NormalinTable"/>
            </w:pPr>
            <w:r>
              <w:rPr>
                <w:b/>
              </w:rPr>
              <w:t>9205 90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Accordions and similar instruments</w:t>
              <!--{FOOT}//-->
            </w:r>
          </w:p>
        </w:tc>
        <!--<w:tc>
          <w:p>
            <w:pPr>
              <w:pStyle w:val="NormalinTable"/>
              <w:jc w:val="center"/>
            </w:pPr>
            <w:r>
              <w:t>{SUPPUNIT}</w:t>
            </w:r>
          </w:p>
        </w:tc>//-->
      </w:tr>
      <w:tr>
        <w:trPr>
          <w:cantSplit/>
        </w:trPr>
        <w:tc>
          <w:p>
            <w:pPr>
              <w:pStyle w:val="NormalinTable"/>
            </w:pPr>
            <w:r>
              <w:rPr>
                <w:b/>
              </w:rPr>
              <w:t>9205 90 30 00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Mouth organs</w:t>
              <!--{FOOT}//-->
            </w:r>
          </w:p>
        </w:tc>
        <!--<w:tc>
          <w:p>
            <w:pPr>
              <w:pStyle w:val="NormalinTable"/>
              <w:jc w:val="center"/>
            </w:pPr>
            <w:r>
              <w:t>{SUPPUNIT}</w:t>
            </w:r>
          </w:p>
        </w:tc>//-->
      </w:tr>
      <w:tr>
        <w:trPr>
          <w:cantSplit/>
        </w:trPr>
        <w:tc>
          <w:p>
            <w:pPr>
              <w:pStyle w:val="NormalinTable"/>
            </w:pPr>
            <w:r>
              <w:rPr>
                <w:b/>
              </w:rPr>
              <w:t>9205 90 50 00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 pipe organs; harmoniums and similar keyboard instruments with free metal reeds</w:t>
              <!--{FOOT}//-->
            </w:r>
          </w:p>
        </w:tc>
        <!--<w:tc>
          <w:p>
            <w:pPr>
              <w:pStyle w:val="NormalinTable"/>
              <w:jc w:val="center"/>
            </w:pPr>
            <w:r>
              <w:t>{SUPPUNIT}</w:t>
            </w:r>
          </w:p>
        </w:tc>//-->
      </w:tr>
      <w:tr>
        <w:trPr>
          <w:cantSplit/>
        </w:trPr>
        <w:tc>
          <w:p>
            <w:pPr>
              <w:pStyle w:val="NormalinTable"/>
            </w:pPr>
            <w:r>
              <w:rPr>
                <w:b/>
              </w:rPr>
              <w:t>9205 90 90 00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Percussion musical instruments (for example, drums, xylophones, cymbals, castanets, maracas)</w:t>
              <!--{FOOT}//-->
            </w:r>
          </w:p>
        </w:tc>
        <!--<w:tc>
          <w:p>
            <w:pPr>
              <w:pStyle w:val="NormalinTable"/>
              <w:jc w:val="center"/>
            </w:pPr>
            <w:r>
              <w:t>{SUPPUNIT}</w:t>
            </w:r>
          </w:p>
        </w:tc>//-->
      </w:tr>
      <w:tr>
        <w:trPr>
          <w:cantSplit/>
        </w:trPr>
        <w:tc>
          <w:p>
            <w:pPr>
              <w:pStyle w:val="NormalinTable"/>
            </w:pPr>
            <w:r>
              <w:rPr>
                <w:b/>
              </w:rPr>
              <w:t>9207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the sound of which is produced, or must be amplified, electrically (for example, organs, guitars, accordions)</w:t>
              <!--{FOOT}//-->
            </w:r>
          </w:p>
        </w:tc>
        <!--<w:tc>
          <w:p>
            <w:pPr>
              <w:pStyle w:val="NormalinTable"/>
              <w:jc w:val="center"/>
            </w:pPr>
            <w:r>
              <w:t>{SUPPUNIT}</w:t>
            </w:r>
          </w:p>
        </w:tc>//-->
      </w:tr>
      <w:tr>
        <w:trPr>
          <w:cantSplit/>
        </w:trPr>
        <w:tc>
          <w:p>
            <w:pPr>
              <w:pStyle w:val="NormalinTable"/>
            </w:pPr>
            <w:r>
              <w:rPr>
                <w:b/>
              </w:rPr>
              <w:t>9207 10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Keyboard instruments, other than accordions</w:t>
              <!--{FOOT}//-->
            </w:r>
          </w:p>
        </w:tc>
        <!--<w:tc>
          <w:p>
            <w:pPr>
              <w:pStyle w:val="NormalinTable"/>
              <w:jc w:val="center"/>
            </w:pPr>
            <w:r>
              <w:t>{SUPPUNIT}</w:t>
            </w:r>
          </w:p>
        </w:tc>//-->
      </w:tr>
      <w:tr>
        <w:trPr>
          <w:cantSplit/>
        </w:trPr>
        <w:tc>
          <w:p>
            <w:pPr>
              <w:pStyle w:val="NormalinTable"/>
            </w:pPr>
            <w:r>
              <w:rPr>
                <w:b/>
              </w:rPr>
              <w:t>9207 10 10 00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Organs</w:t>
              <!--{FOOT}//-->
            </w:r>
          </w:p>
        </w:tc>
        <!--<w:tc>
          <w:p>
            <w:pPr>
              <w:pStyle w:val="NormalinTable"/>
              <w:jc w:val="center"/>
            </w:pPr>
            <w:r>
              <w:t>{SUPPUNIT}</w:t>
            </w:r>
          </w:p>
        </w:tc>//-->
      </w:tr>
      <w:tr>
        <w:trPr>
          <w:cantSplit/>
        </w:trPr>
        <w:tc>
          <w:p>
            <w:pPr>
              <w:pStyle w:val="NormalinTable"/>
            </w:pPr>
            <w:r>
              <w:rPr>
                <w:b/>
              </w:rPr>
              <w:t>9207 10 30 00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pianos</w:t>
              <!--{FOOT}//-->
            </w:r>
          </w:p>
        </w:tc>
        <!--<w:tc>
          <w:p>
            <w:pPr>
              <w:pStyle w:val="NormalinTable"/>
              <w:jc w:val="center"/>
            </w:pPr>
            <w:r>
              <w:t>{SUPPUNIT}</w:t>
            </w:r>
          </w:p>
        </w:tc>//-->
      </w:tr>
      <w:tr>
        <w:trPr>
          <w:cantSplit/>
        </w:trPr>
        <w:tc>
          <w:p>
            <w:pPr>
              <w:pStyle w:val="NormalinTable"/>
            </w:pPr>
            <w:r>
              <w:rPr>
                <w:b/>
              </w:rPr>
              <w:t>9207 10 50 00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Synthesisers</w:t>
              <!--{FOOT}//-->
            </w:r>
          </w:p>
        </w:tc>
        <!--<w:tc>
          <w:p>
            <w:pPr>
              <w:pStyle w:val="NormalinTable"/>
              <w:jc w:val="center"/>
            </w:pPr>
            <w:r>
              <w:t>{SUPPUNIT}</w:t>
            </w:r>
          </w:p>
        </w:tc>//-->
      </w:tr>
      <w:tr>
        <w:trPr>
          <w:cantSplit/>
        </w:trPr>
        <w:tc>
          <w:p>
            <w:pPr>
              <w:pStyle w:val="NormalinTable"/>
            </w:pPr>
            <w:r>
              <w:rPr>
                <w:b/>
              </w:rPr>
              <w:t>9207 10 80 00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c>
          <w:p>
            <w:pPr>
              <w:pStyle w:val="NormalinTable"/>
              <w:jc w:val="center"/>
            </w:pPr>
            <w:r>
              <w:t>{SUPPUNIT}</w:t>
            </w:r>
          </w:p>
        </w:tc>//-->
      </w:tr>
      <w:tr>
        <w:trPr>
          <w:cantSplit/>
        </w:trPr>
        <w:tc>
          <w:p>
            <w:pPr>
              <w:pStyle w:val="NormalinTable"/>
            </w:pPr>
            <w:r>
              <w:rPr>
                <w:b/>
              </w:rPr>
              <w:t>9207 90 90 00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FOOT}//-->
            </w:r>
          </w:p>
        </w:tc>
        <!--<w:tc>
          <w:p>
            <w:pPr>
              <w:pStyle w:val="NormalinTable"/>
              <w:jc w:val="center"/>
            </w:pPr>
            <w:r>
              <w:t>{SUPPUNIT}</w:t>
            </w:r>
          </w:p>
        </w:tc>//-->
      </w:tr>
      <w:tr>
        <w:trPr>
          <w:cantSplit/>
        </w:trPr>
        <w:tc>
          <w:p>
            <w:pPr>
              <w:pStyle w:val="NormalinTable"/>
            </w:pPr>
            <w:r>
              <w:rPr>
                <w:b/>
              </w:rPr>
              <w:t>9208 10 00 00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boxes</w:t>
              <!--{FOOT}//-->
            </w:r>
          </w:p>
        </w:tc>
        <!--<w:tc>
          <w:p>
            <w:pPr>
              <w:pStyle w:val="NormalinTable"/>
              <w:jc w:val="center"/>
            </w:pPr>
            <w:r>
              <w:t>{SUPPUNIT}</w:t>
            </w:r>
          </w:p>
        </w:tc>//-->
      </w:tr>
      <w:tr>
        <w:trPr>
          <w:cantSplit/>
        </w:trPr>
        <w:tc>
          <w:p>
            <w:pPr>
              <w:pStyle w:val="NormalinTable"/>
            </w:pPr>
            <w:r>
              <w:rPr>
                <w:b/>
              </w:rPr>
              <w:t>9208 90 00 00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(for example, mechanisms for musical boxes) and accessories (for example, cards, discs and rolls for mechanical instruments) of musical instruments; metronomes, tuning forks and pitch pipes of all kinds</w:t>
              <!--{FOOT}//-->
            </w:r>
          </w:p>
        </w:tc>
        <!--<w:tc>
          <w:p>
            <w:pPr>
              <w:pStyle w:val="NormalinTable"/>
              <w:jc w:val="center"/>
            </w:pPr>
            <w:r>
              <w:t>{SUPPUNIT}</w:t>
            </w:r>
          </w:p>
        </w:tc>//-->
      </w:tr>
      <w:tr>
        <w:trPr>
          <w:cantSplit/>
        </w:trPr>
        <w:tc>
          <w:p>
            <w:pPr>
              <w:pStyle w:val="NormalinTable"/>
            </w:pPr>
            <w:r>
              <w:rPr>
                <w:b/>
              </w:rPr>
              <w:t>9209 30 00 00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instrument strings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pianos</w:t>
              <!--{FOOT}//-->
            </w:r>
          </w:p>
        </w:tc>
        <!--<w:tc>
          <w:p>
            <w:pPr>
              <w:pStyle w:val="NormalinTable"/>
              <w:jc w:val="center"/>
            </w:pPr>
            <w:r>
              <w:t>{SUPPUNIT}</w:t>
            </w:r>
          </w:p>
        </w:tc>//-->
      </w:tr>
      <w:tr>
        <w:trPr>
          <w:cantSplit/>
        </w:trPr>
        <w:tc>
          <w:p>
            <w:pPr>
              <w:pStyle w:val="NormalinTable"/>
            </w:pPr>
            <w:r>
              <w:rPr>
                <w:b/>
              </w:rPr>
              <w:t>9209 92 00 00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9202</w:t>
              <!--{FOOT}//-->
            </w:r>
          </w:p>
        </w:tc>
        <!--<w:tc>
          <w:p>
            <w:pPr>
              <w:pStyle w:val="NormalinTable"/>
              <w:jc w:val="center"/>
            </w:pPr>
            <w:r>
              <w:t>{SUPPUNIT}</w:t>
            </w:r>
          </w:p>
        </w:tc>//-->
      </w:tr>
      <w:tr>
        <w:trPr>
          <w:cantSplit/>
        </w:trPr>
        <w:tc>
          <w:p>
            <w:pPr>
              <w:pStyle w:val="NormalinTable"/>
            </w:pPr>
            <w:r>
              <w:rPr>
                <w:b/>
              </w:rPr>
              <w:t>9209 94 00 00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9207</w:t>
              <!--{FOOT}//-->
            </w:r>
          </w:p>
        </w:tc>
        <!--<w:tc>
          <w:p>
            <w:pPr>
              <w:pStyle w:val="NormalinTable"/>
              <w:jc w:val="center"/>
            </w:pPr>
            <w:r>
              <w:t>{SUPPUNIT}</w:t>
            </w:r>
          </w:p>
        </w:tc>//-->
      </w:tr>
      <w:tr>
        <w:trPr>
          <w:cantSplit/>
        </w:trPr>
        <w:tc>
          <w:p>
            <w:pPr>
              <w:pStyle w:val="NormalinTable"/>
            </w:pPr>
            <w:r>
              <w:rPr>
                <w:b/>
              </w:rPr>
              <w:t>9209 99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9209 99 20 00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for the musical instruments of heading 9205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9209 99 40 00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Metronomes, tuning forks and pitch pipes</w:t>
              <!--{FOOT}//-->
            </w:r>
          </w:p>
        </w:tc>
        <!--<w:tc>
          <w:p>
            <w:pPr>
              <w:pStyle w:val="NormalinTable"/>
              <w:jc w:val="center"/>
            </w:pPr>
            <w:r>
              <w:t>{SUPPUNIT}</w:t>
            </w:r>
          </w:p>
        </w:tc>//-->
      </w:tr>
      <w:tr>
        <w:trPr>
          <w:cantSplit/>
        </w:trPr>
        <w:tc>
          <w:p>
            <w:pPr>
              <w:pStyle w:val="NormalinTable"/>
            </w:pPr>
            <w:r>
              <w:rPr>
                <w:b/>
              </w:rPr>
              <w:t>9209 99 50 00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Mechanisms for musical boxes</w:t>
              <!--{FOOT}//-->
            </w:r>
          </w:p>
        </w:tc>
        <!--<w:tc>
          <w:p>
            <w:pPr>
              <w:pStyle w:val="NormalinTable"/>
              <w:jc w:val="center"/>
            </w:pPr>
            <w:r>
              <w:t>{SUPPUNIT}</w:t>
            </w:r>
          </w:p>
        </w:tc>//-->
      </w:tr>
      <w:tr>
        <w:trPr>
          <w:cantSplit/>
        </w:trPr>
        <w:tc>
          <w:p>
            <w:pPr>
              <w:pStyle w:val="NormalinTable"/>
            </w:pPr>
            <w:r>
              <w:rPr>
                <w:b/>
              </w:rPr>
              <w:t>9209 99 70 00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CE501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9CDCD" w14:textId="77777777" w:rsidR="004D48ED" w:rsidRDefault="004D48ED" w:rsidP="00A0507B">
      <w:pPr>
        <w:spacing w:after="0" w:line="240" w:lineRule="auto"/>
      </w:pPr>
      <w:r>
        <w:separator/>
      </w:r>
    </w:p>
  </w:endnote>
  <w:endnote w:type="continuationSeparator" w:id="0">
    <w:p w14:paraId="38EB0484" w14:textId="77777777" w:rsidR="004D48ED" w:rsidRDefault="004D48E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C67E8" w14:textId="77777777" w:rsidR="004D48ED" w:rsidRDefault="004D48ED">
      <w:pPr>
        <w:spacing w:after="0" w:line="240" w:lineRule="auto"/>
      </w:pPr>
      <w:r>
        <w:separator/>
      </w:r>
    </w:p>
  </w:footnote>
  <w:footnote w:type="continuationSeparator" w:id="0">
    <w:p w14:paraId="143F09B4" w14:textId="77777777" w:rsidR="004D48ED" w:rsidRDefault="004D4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48ED"/>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26F9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501A"/>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07409468-1A17-4441-A439-4480838AF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2019-07-08T10:25:00Z</dcterms:created>
  <dcterms:modified xsi:type="dcterms:W3CDTF">2019-07-10T06:43:00Z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