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TREES AND OTHER PLANTS; BULBS, ROOTS AND THE LIKE; CUT FLOWERS AND ORNAMENTAL FOLIAGE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Bulbs, tubers, tuberous roots, corms, crowns and rhizomes, dormant, in growth or in flower; chicory plants and roots other than roots of heading 1212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dormant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Hyacinths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Narcissi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in growth or in flower; 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plants and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Orchids, hyacinths, narcissi and tulips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Plants (rhizomes in flower) of Colocasia Schott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plants (including their roots), cuttings and slips; 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Unrooted cuttings and slips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Mormodica L., Solanum Melogena L. and Trichosantes L.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Trees, shrubs and bushes, grafted or not, of kinds which bear edible fruit or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Vine slips, grafted or rooted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Citrus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Rhododendrons and azaleas,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Rhododendrons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Azaleas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Roses, grafted or not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 spawn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Pineapple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and strawberry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Trees, shrubs and bushes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Rooted cuttings and young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bare roots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Conifers and evergreens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outdoor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Mormodica L., Solanum Melogena L. and Trichosantes L.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Indoor 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Rooted cuttings and young plants,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Flowering plants with buds or flowers, excluding cacti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Potted plants not exceeding 1 m in height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Potted plants not exceeding 1 m in height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Cut flowers and flower buds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Carnations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Chrysanthemums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Lilies (Lilium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Gladioli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Ranunculi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genus Protea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the genus Banksia, Leucadendron, Brunia and Forsythia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Christmas trees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 branches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prepared than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