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TREES AND OTHER PLANTS; BULBS, ROOTS AND THE LIKE; CUT FLOWERS AND ORNAMENTAL FOLIAGE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Bulbs, tubers, tuberous roots, corms, crowns and rhizomes, dormant, in growth or in flower; chicory plants and roots other than roots of heading 1212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dormant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Hyacinths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Narcissi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in growth or in flower; 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Orchids, hyacinths, narcissi and 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Plants (rhizomes in flower) of Colocasia Schott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plants (including their roots), cuttings and slips; 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Unrooted cuttings and slips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Mormodica L., Solanum Melogena L. and Trichosantes L.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Trees, shrubs and bushes, grafted or not, of kinds which bear edible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Citrus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Rhododendrons and azaleas,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Rhododendrons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Azaleas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Roses,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Pineapple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and strawberry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Trees, shrubs and bushes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Mormodica L., Solanum Melogena L. and Trichosantes L.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Potted plants not exceeding 1 m in height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Potted plants not exceeding 1 m in height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Carnations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Chrysanthemums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Lilies (Lilium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Ranunculi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genus Protea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genus Banksia, Leucadendron, Brunia and Forsythia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Christmas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 branches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prepared than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