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Durum wheat with</w:t>
            </w:r>
            <w:r>
              <w:br/>
              <w:t>- a specific weight in kg/hl greater than or equal to 80,</w:t>
            </w:r>
            <w:r>
              <w:br/>
              <w:t>- a maximum of 20,0% of grains which have lost their vitreous aspect,</w:t>
            </w:r>
            <w:r>
              <w:br/>
              <w:t>- a maximum of 10,0% of matter which is not quality wheat grains of unimpaired quality of which a maximum of 7,0% of broken and/or shrivelled grains, a maximum of 2,0% grains damaged by pests, a maximum of 5,0% grains affected with fusariosis and/or mottled grains, a maximum of 0,5% of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</w:t>
            </w:r>
            <w:r>
              <w:br/>
              <w:t>- a specific weight in kg/hl greater than or equal to 78,</w:t>
            </w:r>
            <w:r>
              <w:br/>
              <w:t>- a maximum of 10,0% of matter which is not quality wheat grains of unimpaired quality, of which a maximum of 7,0% of broken and/or shrivelled grains, a maximum of 2,0% grains damaged by pests, a maximum of 0,5%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230,</w:t>
            </w:r>
            <w:r>
              <w:br/>
              <w:t>- a protein content (13,5% moisture content) of a minimum of 14,6%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  <w:r>
              <w:br/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93.000 €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the following quality criteria:</w:t>
            </w:r>
            <w:r>
              <w:br/>
              <w:t>- specific weight 60.5 kg/hl or more,</w:t>
            </w:r>
            <w:r>
              <w:br/>
              <w:t>- damaged grains 1% or less,</w:t>
            </w:r>
            <w:r>
              <w:br/>
              <w:t>- moisture content 13,5% or less,</w:t>
            </w:r>
            <w:r>
              <w:br/>
              <w:t>- sound, fair and merchantable barley 96% or more, to be used for the manufacture of beer aged in vats containing beechwood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89.000 € / tonne</w:t>
            </w:r>
            <w:r>
              <w:br/>
              <w:t>Mixture rule; non-mixture: 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food preparations of subheading 1901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