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35</w:t>
      </w:r>
      <w:r>
        <w:br/>
        <w:t>Albuminoidal Substances; Modified Starches; Glues; Enzymes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Duty expression</w:t>
            </w:r>
          </w:p>
        </w:tc>
        <w:tc>
          <w:tcPr>
            <w:tcW w:w="90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Notes</w:t>
            </w:r>
          </w:p>
        </w:tc>
        <w:tc>
          <w:tcPr>
            <w:tcW w:w="2200" w:type="pct"/>
          </w:tcPr>
          <w:p>
            <w:pPr>
              <w:pStyle w:val="NormalinTable"/>
              <!--<w:cnfStyle w:val="100000000000" w:firstRow="1" w:lastRow="0" w:firstColumn="0" w:lastColumn="0" w:oddVBand="0" w:evenVBand="0" w:oddHBand="0" w:evenHBand="0" w:firstRowFirstColumn="0" w:firstRowLastColumn="0" w:lastRowFirstColumn="0" w:lastRowLastColumn="0"/>//-->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ALBUMINOIDAL SUBSTANCES; MODIFIED STARCHES; GLUES; ENZYMES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Casein, caseinates and other casein derivatives; casein glues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Casein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the manufacture of regenerated textile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For industrial uses other than the manufacture of foodstuffs or fodder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3501 10 50 10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3.2%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>Code reserved for authorised use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water content of more than 50%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3501 10 50 90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3501 90 10 00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Casein glues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3501 90 90 10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Non edible sodium caseinate (CAS RN 9005-46-3) in the form of powder with a protein content of more than 88% by weight for use in the production of thermoplastic granules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3501 90 90 90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Albumins (including concentrates of two or more whey proteins, containing by weight more than 80% whey proteins, calculated on the dry matter), albuminates and other albumin derivatives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Egg albumin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Dried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3502 11 10 00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Unfit, or to be rendered unfit, for human consumption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3502 11 90 10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123.500 €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crystals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3502 11 90 90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3502 19 10 00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Unfit, or to be rendered unfit, for human consumption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3502 19 90 00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Milk albumin, including concentrates of two or more whey proteins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Unfit, or to be rendered unfit, for human consumption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3502 20 91 00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123.500 €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Dried (for example, in sheets, scales, flakes, powder)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3502 20 99 00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16.700 €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Albumins, other than egg albumin and milk albumin (lactalbumin)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3502 90 20 00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Unfit, or to be rendered unfit, for human consumption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3502 90 70 00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3502 90 90 00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Albuminates and other albumin derivatives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Gelatin (including gelatin in rectangular (including square) sheets, whether or not surface-worked or coloured) and gelatin derivatives; isinglass; other glues of animal origin, excluding casein glues of heading 3501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3503 00 10 00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Gelatin and derivatives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3503 00 80 00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Peptones and their derivatives; other protein substances and their derivatives, not elsewhere specified or included; hide powder, whether or not chromed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3504 00 10 00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3.4%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Concentrated milk proteins specified in additional note 1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3504 00 90 00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Dextrins and other modified starches (for example, pregelatinised or esterified starches); glues based on starches, or on dextrins or other modified starches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Dextrins and other modified starches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3505 10 10 00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+ 17.700 €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Dextrins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modified starches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3505 10 50 00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7.7%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Starches, esterified or etherified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3505 10 90 00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9.0% + 17.700 € / 100 kg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Glues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3505 20 10 00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 + 4.500 € / 100 kg MAX 11.5%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Containing, by weight, less than 25% of starches or dextrins or other modified starches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3505 20 30 00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 + 8.900 € / 100 kg MAX 11.5%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Containing, by weight, 25% or more but less than 55% of starches or dextrins or other modified starches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3505 20 50 00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 + 14.200 € / 100 kg MAX 11.5%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Containing, by weight, 55% or more but less than 80% of starches or dextrins or other modified starches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3505 20 90 00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8.3% + 17.700 € / 100 kg MAX 11.5%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Containing, by weight, 80% or more of starches or dextrins or other modified starches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Prepared glues and other prepared adhesives, not elsewhere specified or included; products suitable for use as glues or adhesives, put up for retail sale as glues or adhesives, not exceeding a net weight of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Products suitable for use as glues or adhesives, put up for retail sale as glues or adhesives, not exceeding a net weight of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Adhesives based on polymers of headings 3901 to 3913 or on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Optically clear free-film adhesives and optically clear curable liquid adhesives of a kind used solely or principally for the manufacture of flat panel displays or touch-sensitive screen panels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Adhesive based on an aqueous dispersion of a mixture of dimerised rosin and a copolymer of ethylene and vinyl acetate (EVA)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Two component microencapsulated epoxy adhesive dispersed in a solvent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3506 91 10 40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Acrylic pressure sensitive adhesive with a thickness of 0.076 mm or more but not more than 0.127 mm, put up in rolls of a width of 45.7 cm or more but not more than 132 cm supplied on a release liner with an initial peel adhesion release value of not less than 15 N/25 mm (measured according to ASTM D3330)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3506 91 10 50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Preparation containing by weight:</w:t>
            </w:r>
            <w:r>
              <w:br/>
              <w:t>- 15% or more but not more than 60% of styrene butadiene copolymers or styrene isoprene copolymers and</w:t>
            </w:r>
            <w:r>
              <w:br/>
              <w:t>- 10% or more but not more than 30% of pinene polymers or pentadiene copolymers Dissolved in :</w:t>
            </w:r>
            <w:r>
              <w:br/>
              <w:t>- Methyl ethyl ketone (CAS RN 78-93-3)</w:t>
            </w:r>
            <w:r>
              <w:br/>
              <w:t>- Heptane (CAS RN 142-82-5), and</w:t>
            </w:r>
            <w:r>
              <w:br/>
              <w:t>- Toluene (CAS RN 108-88-3) or light aliphatic solvent naphta (CAS RN 64742-89-8)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Adhesive based on an aqueous dispersion of a mixture of dimerised rosin and a copolymer of ethylene and vinyl acetate (EVA)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Two component microencapsulated epoxy adhesive dispersed in a solvent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Acrylic pressure sensitive adhesive with a thickness of 0.076 mm or more but not more than 0.127 mm, put up in rolls of a width of 45.7 cm or more but not more than 132 cm supplied on a release liner with an initial peel adhesion release value of not less than 15 N/25 mm (measured according to ASTM D3330)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Preparation containing by weight:</w:t>
            </w:r>
            <w:r>
              <w:br/>
              <w:t>- 15% or more but not more than 60% of styrene butadiene copolymers or styrene isoprene copolymers and</w:t>
            </w:r>
            <w:r>
              <w:br/>
              <w:t>- 10% or more but not more than 30% of pinene polymers or pentadiene copolymers Dissolved in :</w:t>
            </w:r>
            <w:r>
              <w:br/>
              <w:t>- Methyl ethyl ketone (CAS RN 78-93-3)</w:t>
            </w:r>
            <w:r>
              <w:br/>
              <w:t>- Heptane (CAS RN 142-82-5), and</w:t>
            </w:r>
            <w:r>
              <w:br/>
              <w:t>- Toluene (CAS RN 108-88-3) or light aliphatic solvent naphta (CAS RN 64742-89-8)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3506 91 90 60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Temporary wafer-bonding adhesive material in the form of a suspension of a solid polymer in D-limonene (CAS RN 5989-27-5) with a polymeric content by weight of 65% or more but not more than 75%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Temporary wafer-bonding release in the form of a suspension of a solid polymer in cyclopentanone (CAS RN 120-92-3) with a polymeric content of not more than 10%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Technical aerosols that contain hydrofluorocarbons (HFCs) with global warming potential (GWP) of 150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3506 91 90 99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3506 99 00 00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6.5%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Enzymes; prepared enzymes not elsewhere specified or included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3507 10 00 00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Rennet and concentrates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3507 90 30 00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Lipoprotein lipase; aspergillus alkaline protease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3507 90 90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3507 90 90 10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Preparation of Achromobacter lyticus protease (CAS RN 123175-82-6) for use in the manufacture of human and analogue insulin products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3507 90 90 20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Creatine amidinohydrolase (CAS RN 37340-58-2)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3507 90 90 30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6.3%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Salicylate 1-monooxygenase (CAS RN 9059-28-3) in aqueous solution with</w:t>
            </w:r>
            <w:r>
              <w:br/>
              <w:t>- an enzyme concentration of 6,0 U/ml or more, but not more than 7,4 U/ml ,</w:t>
            </w:r>
            <w:r>
              <w:br/>
              <w:t>- a concentration by weight of sodium azide (CAS RN 26628-22-8) of not more than 0,09% and</w:t>
            </w:r>
            <w:r>
              <w:br/>
              <w:t>- a pH value of 6,5 or more, but not more than 8,5 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3507 90 90 90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!--<w:jc w:val="left"/>//-->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!--<w:jc w:val="left"/>//-->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noProof/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872F2" w14:textId="77777777" w:rsidR="00AE0573" w:rsidRDefault="00AE0573" w:rsidP="00A0507B">
      <w:pPr>
        <w:spacing w:after="0" w:line="240" w:lineRule="auto"/>
      </w:pPr>
      <w:r>
        <w:separator/>
      </w:r>
    </w:p>
  </w:endnote>
  <w:endnote w:type="continuationSeparator" w:id="0">
    <w:p w14:paraId="7C0BE6E6" w14:textId="77777777" w:rsidR="00AE0573" w:rsidRDefault="00AE0573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F4C6F" w14:textId="77777777" w:rsidR="00467A0D" w:rsidRDefault="00AE057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1C2C9" w14:textId="77777777" w:rsidR="00AE0573" w:rsidRDefault="00AE0573">
      <w:pPr>
        <w:spacing w:after="0" w:line="240" w:lineRule="auto"/>
      </w:pPr>
      <w:r>
        <w:separator/>
      </w:r>
    </w:p>
  </w:footnote>
  <w:footnote w:type="continuationSeparator" w:id="0">
    <w:p w14:paraId="0A3A36A5" w14:textId="77777777" w:rsidR="00AE0573" w:rsidRDefault="00AE0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F1C67" w14:textId="77777777" w:rsidR="00467A0D" w:rsidRDefault="00AE0573"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2D5E9" w14:textId="77777777" w:rsidR="00467A0D" w:rsidRDefault="00467A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8AB0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All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jc w:val="center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240" w:after="12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3">
    <w:name w:val="LQTOC 13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C5400-2706-3C4B-AD57-F9BC6B111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1</cp:revision>
  <dcterms:created xsi:type="dcterms:W3CDTF">2018-10-02T15:41:00Z</dcterms:created>
  <dcterms:modified xsi:type="dcterms:W3CDTF">2019-06-10T06:39:00Z</dcterms:modified>
</cp:coreProperties>
</file>