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2"/>
      </w:pPr>
      <w:r>
        <w:t>Chapter 42</w:t>
      </w:r>
      <w:r>
        <w:br/>
        <w:t>Articles of Leather; Saddlery and Harness; Travel Goods, Handbags and Similar Containers; Articles of Animal Gut (Other Than Silkworm Gut)</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650" w:type="pct"/>
          </w:tcPr>
          <w:p>
            <w:pPr>
              <w:pStyle w:val="NormalinTable"/>
            </w:pPr>
            <w:r>
              <w:t>Commodity code</w:t>
            </w:r>
          </w:p>
        </w:tc>
        <w:tc>
          <w:tcPr>
            <w:tcW w:w="1150" w:type="pct"/>
            <w:tcBorders>
              <w:left w:val="single" w:sz="12" w:space="0" w:color="000000" w:themeColor="text1"/>
              <w:right w:val="single" w:sz="12" w:space="0" w:color="000000" w:themeColor="text1"/>
            </w:tcBorders>
          </w:tcPr>
          <w:p>
            <w:pPr>
              <w:pStyle w:val="NormalinTable"/>
              <!--<w:jc w:val="left"/>//-->
            </w:pPr>
            <w:r>
              <w:t>Duty expression</w:t>
            </w:r>
          </w:p>
        </w:tc>
        <w:tc>
          <w:tcPr>
            <w:tcW w:w="900" w:type="pct"/>
            <w:tcBorders>
              <w:left w:val="single" w:sz="12" w:space="0" w:color="000000" w:themeColor="text1"/>
              <w:right w:val="single" w:sz="12" w:space="0" w:color="000000" w:themeColor="text1"/>
            </w:tcBorders>
          </w:tcPr>
          <w:p>
            <w:pPr>
              <w:pStyle w:val="NormalinTable"/>
              <!--<w:jc w:val="left"/>//-->
            </w:pPr>
            <w:r>
              <w:t>Notes</w:t>
            </w:r>
          </w:p>
        </w:tc>
        <w:tc>
          <w:tcPr>
            <w:tcW w:w="220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ARTICLES OF LEATHER; SADDLERY AND HARNESS; TRAVEL GOODS, HANDBAGS AND SIMILAR CONTAINERS; ARTICLES OF ANIMAL GUT (OTHER THAN SILKWORM GUT)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Saddlery and harness for any animal (including traces, leads, knee pads, muzzles, saddle-cloths, saddlebags, dog coats and the like), of any material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4201 00 00 10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Riding saddles, of leather, hand-made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4201 00 00 90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Trunks, suitcases, vanity cases, executive-cases, briefcases, school satchels, spectacle cases, binocular cases, camera cases, musical instrument cases, gun cases, holsters and similar containers; travelling-bags, insulated food or beverages bags, toilet bags, rucksacks, handbags, shopping-bags, wallets, purses, map-cases, cigarette-cases, tobacco-pouches, tool bags, sports bags, bottle-cases, jewellery boxes, powder boxes, cutlery cases and similar containers, of leather or of composition leather, of sheeting of plastics, of textile materials, of vulcanised fibre or of paperboard, or wholly or mainly covered with such materials or with paper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Trunks, suitcases, vanity cases, executive-cases, briefcases, school satchels and similar containers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4202 11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outer surface of leather or of composition leather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4202 11 10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Executive-cases, briefcases, school satchels and similar containers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4202 11 10 10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Hand-made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4202 11 10 90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4202 11 90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4202 11 90 10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Hand-made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4202 11 90 90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4202 12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outer surface of plastics or of textile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sheeting of plastics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4202 12 11 00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Executive-cases, briefcases, school satchels and similar containers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4202 12 19 00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4202 12 50 00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moulded plastic material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other materials, including vulcanised fibre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4202 12 91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Executive-cases, briefcases, school satchels and similar containers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4202 12 91 10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Hand-made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4202 12 91 90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4202 12 99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4202 12 99 10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Hand-made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4202 12 99 90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4202 19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4202 19 10 00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aluminium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4202 19 90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other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4202 19 90 10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Hand-made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4202 19 90 90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Handbags, whether or not with shoulder strap, including those without handle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4202 21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outer surface of leather or of composition leather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4202 21 00 10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Hand-made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4202 21 00 90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4202 22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outer surface of sheeting of plastics or of textile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4202 22 10 00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sheeting of plastics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4202 22 90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textile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4202 22 90 10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Hand-made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4202 22 90 90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4202 29 00 00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Articles of a kind normally carried in the pocket or in the handbag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4202 31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outer surface of leather or of composition leather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4202 31 00 10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Hand-made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4202 31 00 90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4202 32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outer surface of sheeting of plastics or of textile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4202 32 10 00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sheeting of plastics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4202 32 90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textile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4202 32 90 10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Hand-made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4202 32 90 90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4202 39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4202 39 00 10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Hand-made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4202 39 00 90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4202 91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outer surface of leather or of composition leather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4202 91 10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Travelling-bags, toilet bags, rucksacks and sports bags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4202 91 10 10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Hand-made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4202 91 10 90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4202 91 80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4202 91 80 10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Hand-made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4202 91 80 90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4202 92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outer surface of sheeting of plastics or of textile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sheeting of plastics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4202 92 11 00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Travelling-bags, toilet bags, rucksacks and sports bags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4202 92 15 00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Musical instrument cases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4202 92 19 00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textile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4202 92 91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Travelling-bags, toilet bags, rucksacks and sports bags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4202 92 91 10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Hand-made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4202 92 91 90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4202 92 98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4202 92 98 10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Hand-made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4202 92 98 90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4202 99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4202 99 00 10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Musical instrument cases, hand-made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4202 99 00 90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Articles of apparel and clothing accessories, of leather or of composition leather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4203 10 00 00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Articles of apparel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Gloves, mittens and mitts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4203 21 00 00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Specially designed for use in sports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4203 29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4203 29 10 00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Protective for all trades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4203 29 90 00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4203 30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Belts and bandoliers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4203 30 00 10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Hand-made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4203 30 00 90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4203 40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clothing accessories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4203 40 00 10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Hand-made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4203 40 00 90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articles of leather or of composition leather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a kind used in machinery or mechanical appliances or for other technical uses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4205 00 11 00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Conveyor or transmission belts or belting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4205 00 19 00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4205 00 90 00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4206 00 00 00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Articles of gut (other than silkworm gut), of goldbeater's skin, of bladders or of tendons</w:t>
              <!--{FOOT}//-->
            </w:r>
          </w:p>
        </w:tc>
      </w:tr>
    </w:tbl>
    <w:p w:rsidR="00EC0C15" w:rsidRDefault="00EC0C15">
      <w:pPr>
        <w:spacing w:after="160"/>
        <w:jc w:val="left"/>
      </w:pPr>
      <w:r>
        <w:br w:type="page"/>
      </w:r>
    </w:p>
    <w:sectPr>
      <w:headerReference w:type="default" r:id="rId8"/>
      <w:footerReference w:type="default" r:id="rId9"/>
      <w:head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0872F2" w14:textId="77777777" w:rsidR="00AE0573" w:rsidRDefault="00AE0573" w:rsidP="00A0507B">
      <w:pPr>
        <w:spacing w:after="0" w:line="240" w:lineRule="auto"/>
      </w:pPr>
      <w:r>
        <w:separator/>
      </w:r>
    </w:p>
  </w:endnote>
  <w:endnote w:type="continuationSeparator" w:id="0">
    <w:p w14:paraId="7C0BE6E6" w14:textId="77777777" w:rsidR="00AE0573" w:rsidRDefault="00AE0573"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6040202020202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BF4C6F" w14:textId="77777777" w:rsidR="00467A0D" w:rsidRDefault="00AE0573">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r>
      <w:fldChar w:fldCharType="begin"/>
    </w:r>
    <w:r>
      <w:instrText xml:space="preserve"> NUMPAGES   \* MERGEFORMAT </w:instrText>
    </w:r>
    <w:r>
      <w:fldChar w:fldCharType="separate"/>
    </w:r>
    <w:r>
      <w:rPr>
        <w:noProof/>
      </w:rPr>
      <w:t>4</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91C2C9" w14:textId="77777777" w:rsidR="00AE0573" w:rsidRDefault="00AE0573">
      <w:pPr>
        <w:spacing w:after="0" w:line="240" w:lineRule="auto"/>
      </w:pPr>
      <w:r>
        <w:separator/>
      </w:r>
    </w:p>
  </w:footnote>
  <w:footnote w:type="continuationSeparator" w:id="0">
    <w:p w14:paraId="0A3A36A5" w14:textId="77777777" w:rsidR="00AE0573" w:rsidRDefault="00AE05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2F1C67" w14:textId="77777777" w:rsidR="00467A0D" w:rsidRDefault="00AE0573">
    <w:pPr>
      <w:pStyle w:val="Header"/>
    </w:pPr>
    <w:r>
      <w:t>OFFICIAL SENSITIVE - DRAFT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A2D5E9" w14:textId="77777777" w:rsidR="00467A0D" w:rsidRDefault="00467A0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48AB0"/>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2657"/>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457023"/>
    <w:pPr>
      <w:keepNext/>
      <w:keepLines/>
      <w:spacing w:before="240" w:after="0" w:line="312" w:lineRule="auto"/>
      <w:jc w:val="center"/>
      <w:outlineLvl w:val="0"/>
    </w:pPr>
    <w:rPr>
      <w:rFonts w:eastAsiaTheme="majorEastAsia" w:cstheme="majorBidi"/>
      <w:b/>
      <w:AllCaps/>
      <w:sz w:val="28"/>
      <w:szCs w:val="32"/>
    </w:rPr>
  </w:style>
  <w:style w:type="paragraph" w:styleId="Heading2">
    <w:name w:val="heading 2"/>
    <w:basedOn w:val="Normal"/>
    <w:next w:val="Normal"/>
    <w:uiPriority w:val="9"/>
    <w:qFormat/>
    <w:rsid w:val="00457023"/>
    <w:pPr>
      <w:keepNext/>
      <w:keepLines/>
      <w:spacing w:before="240" w:after="0"/>
      <w:jc w:val="center"/>
      <w:outlineLvl w:val="1"/>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240" w:after="12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023"/>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60" w:after="60" w:line="240"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2D2AC7"/>
    <w:pPr>
      <w:keepNext/>
      <w:tabs>
        <w:tab w:val="right" w:leader="dot" w:pos="9072"/>
      </w:tabs>
      <w:spacing w:after="40"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3">
    <w:name w:val="LQTOC 13"/>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6C5400-2706-3C4B-AD57-F9BC6B111F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1380</Words>
  <Characters>7871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1</cp:revision>
  <dcterms:created xsi:type="dcterms:W3CDTF">2018-10-02T15:41:00Z</dcterms:created>
  <dcterms:modified xsi:type="dcterms:W3CDTF">2019-06-10T06:39:00Z</dcterms:modified>
</cp:coreProperties>
</file>