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43</w:t>
      </w:r>
      <w:r>
        <w:br/>
        <w:t>Furskins and Artificial Fur; Manufactures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FURSKINS AND ARTIFICIAL FUR; MANUFACTURES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furskins (including heads, tails, paws and other pieces or cuttings, suitable for furriers' use), other than raw hides and skins of heading 4101, 4102 or 4103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mink,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lamb, the following: Astrakhan, Broadtail, Caracul, Persian and similar lamb, Indian, Chinese, Mongolian or Tibetan lamb,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fox,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furskins,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suitable for furriers'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Tanned or dressed furskins (including heads, tails, paws and other pieces or cuttings), unassembled, or assembled (without the addition of other materials) other than those of heading 4303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skins, with or without head, tail or paws, not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beaver, muskrat or fox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or lambs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lamb, the following: Astrakhan, Broadtail, Caracul, Persian and similar lamb, Indian, Chinese, Mongolian or Tibetan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not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 and pieces or cuttings thereof,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'Dropped' furskins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apparel, clothing accessories and other articles of furskin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furskins 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fur and articles thereof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