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52</w:t>
      </w:r>
      <w:r>
        <w:br/>
        <w:t>Cotton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Cotton, not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Rendered absorbent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waste (including yarn waste and garnetted stock)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Yarn waste (including thread waste)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Garnetted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Cotton,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sewing thread, whether or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yarn (other than sewing thread), containing 85% or more by weight of cotton,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uncombed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(exceeding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125 decitex but not less than 83.33 decitex (exceeding 80 metric number but not exceeding 120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83.33 decitex (exceeding 120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but not less than 106.38 decitex (exceeding 80 metric number but not exceeding 94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106.38 decitex but not less than 83.33 decitex (exceeding 94 metric number but not exceeding 120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83.33 decitex (exceeding 120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uncombed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(exceeding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but not less than 106.38 decitex (exceeding 80 metric number but not exceeding 94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106.38 decitex but not less than 83.33 decitex (exceeding 94 metric number but not exceeding 120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83.33 decitex (exceeding 120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yarn (other than sewing thread), containing less than 85% by weight of cotton,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uncombed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(exceeding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(exceeding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uncombed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(exceeding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(exceeding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yarn (other than sewing thread)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85% or more by weight of cotton, 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for the manufacture of bandages, dressings and medical gauzes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for the manufacture of bandages, dressings and medical gauzes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g/m2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85% or more by weight of cotton, 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Denim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 of 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5209 51 00 91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5209 52 00 91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5209 52 00 99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less than 85% by weight of cotton, mixed mainly or solely with man-made fibres, 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less than 85% by weight of cotton, mixed mainly or solely with man-made fibres, 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Denim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 of 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Jacquard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woven fabrics 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