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w:t>
            </w:r>
            <w:r>
              <w:rPr>
                <w:vertAlign w:val="superscript"/>
              </w:rPr>
              <w:t>2</w:t>
            </w:r>
            <w:r>
              <w:t xml:space="preserve"> of the cross-section, not less than one continuous channel which may be open at both ends or stopped at one end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w:t>
            </w:r>
            <w:r>
              <w:rPr>
                <w:vertAlign w:val="superscript"/>
              </w:rPr>
              <w:t>2</w:t>
            </w:r>
            <w:r>
              <w:t xml:space="preserve"> of the surface of the cross section one or more closed channels at the tail end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w:t>
            </w:r>
            <w:r>
              <w:rPr>
                <w:vertAlign w:val="superscript"/>
              </w:rPr>
              <w:t>2</w:t>
            </w:r>
            <w:r>
              <w:t xml:space="preserve"> of cross 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w:t>
            </w:r>
            <w:r>
              <w:br/>
              <w:t>- 2% or more of diboron trioxide,</w:t>
            </w:r>
            <w:r>
              <w:br/>
              <w:t>- 28% or less of silicon dioxide and</w:t>
            </w:r>
            <w:r>
              <w:br/>
              <w:t>- 60% or more of dialuminium trioxide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