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9B7AC" w14:textId="77777777" w:rsidR="009F40C4" w:rsidRDefault="009F40C4" w:rsidP="009F40C4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IV</w:t>
      </w:r>
    </w:p>
    <w:p w14:paraId="3197EDD8" w14:textId="77777777" w:rsidR="009F40C4" w:rsidRDefault="009F40C4" w:rsidP="009F40C4">
      <w:pPr>
        <w:pStyle w:val="Heading2"/>
      </w:pPr>
      <w:r>
        <w:t>Chapter 18</w:t>
      </w:r>
      <w:r>
        <w:br/>
        <w:t>Cocoa and Cocoa Preparations</w:t>
      </w:r>
    </w:p>
    <w:p w14:paraId="1B663469" w14:textId="4B6747AF" w:rsidR="009F40C4" w:rsidRPr="00EF20DF" w:rsidRDefault="009F40C4" w:rsidP="009F40C4">
      <w:pPr>
        <w:pStyle w:val="Heading3"/>
        <w:spacing w:before="240" w:after="120"/>
      </w:pPr>
      <w:r>
        <w:t>Chapter Notes</w:t>
      </w:r>
    </w:p>
    <w:p w14:paraId="3AF57125" w14:textId="77777777" w:rsidR="009F40C4" w:rsidRDefault="009F40C4" w:rsidP="009F40C4">
      <w:r>
        <w:t>1. This chapter does not cover the preparations of heading 0403, 1901, 1904, 1905, 2105, 2202, 2208, 3003 or 3004.</w:t>
      </w:r>
    </w:p>
    <w:p w14:paraId="762F90A2" w14:textId="194D8051" w:rsidR="009F40C4" w:rsidRDefault="009F40C4" w:rsidP="009F40C4">
      <w:r>
        <w:t>2. Heading 1806 includes sugar confectionery containing cocoa and, subject to Note 1 to this chapter, other food preparations containing cocoa.</w:t>
      </w:r>
    </w:p>
    <w:p w14:paraId="5630E3D6" w14:textId="39F579C6" w:rsidR="009F40C4" w:rsidRPr="00EF20DF" w:rsidRDefault="009F40C4" w:rsidP="009F40C4">
      <w:pPr>
        <w:pStyle w:val="Heading3"/>
        <w:spacing w:before="240" w:after="120"/>
      </w:pPr>
      <w:r>
        <w:t xml:space="preserve">Additional </w:t>
      </w:r>
      <w:r>
        <w:t>C</w:t>
      </w:r>
      <w:r>
        <w:t xml:space="preserve">hapter </w:t>
      </w:r>
      <w:r>
        <w:t>N</w:t>
      </w:r>
      <w:r>
        <w:t>ote</w:t>
      </w:r>
      <w:r w:rsidRPr="00C6181C">
        <w:t>s</w:t>
      </w:r>
      <w:bookmarkStart w:id="0" w:name="_GoBack"/>
      <w:bookmarkEnd w:id="0"/>
    </w:p>
    <w:p w14:paraId="2CA1661B" w14:textId="77777777" w:rsidR="009F40C4" w:rsidRPr="00C6181C" w:rsidRDefault="009F40C4" w:rsidP="009F40C4">
      <w:r w:rsidRPr="00C6181C">
        <w:t>1. When imported in the form of an assortment, goods of subheadings 1806 20, 1806 3100, 1806 32 and 1806 90 are subject to an agricultural component (</w:t>
      </w:r>
      <w:r>
        <w:t>AC</w:t>
      </w:r>
      <w:r w:rsidRPr="00C6181C">
        <w:t>) fixed according to the average content in milkfats, milk proteins, sucrose, isoglucose, glucose and starch of the assortment as a whole.</w:t>
      </w:r>
    </w:p>
    <w:p w14:paraId="466E971D" w14:textId="46D6D9B9" w:rsidR="00E4554C" w:rsidRPr="009F40C4" w:rsidRDefault="009F40C4" w:rsidP="009F40C4">
      <w:r w:rsidRPr="00C6181C">
        <w:t>2. Subheadings 1806 90 11 and 1806 90 19 do not cover chocolates made entirely of one type of chocolate.</w:t>
      </w:r>
    </w:p>
    <w:sectPr w:rsidR="00E4554C" w:rsidRPr="009F40C4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835C3" w14:textId="77777777" w:rsidR="009D3252" w:rsidRDefault="009D3252" w:rsidP="00A0507B">
      <w:pPr>
        <w:spacing w:after="0" w:line="240" w:lineRule="auto"/>
      </w:pPr>
      <w:r>
        <w:separator/>
      </w:r>
    </w:p>
  </w:endnote>
  <w:endnote w:type="continuationSeparator" w:id="0">
    <w:p w14:paraId="25F19E0C" w14:textId="77777777" w:rsidR="009D3252" w:rsidRDefault="009D3252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2EC99" w14:textId="77777777" w:rsidR="009D3252" w:rsidRDefault="009D3252">
      <w:pPr>
        <w:spacing w:after="0" w:line="240" w:lineRule="auto"/>
      </w:pPr>
      <w:r>
        <w:separator/>
      </w:r>
    </w:p>
  </w:footnote>
  <w:footnote w:type="continuationSeparator" w:id="0">
    <w:p w14:paraId="7CC8FC6E" w14:textId="77777777" w:rsidR="009D3252" w:rsidRDefault="009D3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4CD0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3252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0C4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D7E9F791-A030-3249-AB65-F507325A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2019-07-08T08:42:00Z</dcterms:created>
  <dcterms:modified xsi:type="dcterms:W3CDTF">2019-07-09T15:22:00Z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