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49EF" w14:textId="77777777" w:rsidR="00852079" w:rsidRDefault="00852079" w:rsidP="00852079">
      <w:pPr>
        <w:spacing w:line="240" w:lineRule="auto"/>
        <w:jc w:val="center"/>
      </w:pPr>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2. In addition to dithionites and sulphoxylates, stabilised with organic substances (heading 2831), carbonates and peroxocarbonates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34"/>
        </w:numPr>
        <w:spacing w:line="240" w:lineRule="auto"/>
        <w:contextualSpacing w:val="0"/>
      </w:pPr>
      <w:r>
        <w:t>oxides of carbon, hydrogen cyanide and fulminic, isocyanic, thiocyanic and other simple or complex cyanogen acids (heading 2811);</w:t>
      </w:r>
    </w:p>
    <w:p w14:paraId="7D79C518" w14:textId="77777777" w:rsidR="00852079" w:rsidRDefault="00852079" w:rsidP="00852079">
      <w:pPr>
        <w:pStyle w:val="ListParagraph"/>
        <w:numPr>
          <w:ilvl w:val="0"/>
          <w:numId w:val="34"/>
        </w:numPr>
        <w:spacing w:line="240" w:lineRule="auto"/>
        <w:contextualSpacing w:val="0"/>
      </w:pPr>
      <w:r>
        <w:t>halide oxides of carbon (heading 2812);</w:t>
      </w:r>
    </w:p>
    <w:p w14:paraId="438B2E1E" w14:textId="77777777" w:rsidR="00852079" w:rsidRDefault="00852079" w:rsidP="00852079">
      <w:pPr>
        <w:pStyle w:val="ListParagraph"/>
        <w:numPr>
          <w:ilvl w:val="0"/>
          <w:numId w:val="34"/>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34"/>
        </w:numPr>
        <w:spacing w:line="240" w:lineRule="auto"/>
        <w:contextualSpacing w:val="0"/>
        <w:jc w:val="left"/>
      </w:pPr>
      <w:r w:rsidRPr="00C20CD1">
        <w:t xml:space="preserve">thiocarbonates, selenocarbonates, tellurocarbonates, </w:t>
      </w:r>
      <w:bookmarkStart w:id="0" w:name="_GoBack"/>
      <w:bookmarkEnd w:id="0"/>
      <w:r w:rsidRPr="00C20CD1">
        <w:t>selenocyanates, tellurocyanates, tetrathiocyanatodiamminochromates (reineckates) and other complex cyanates, of inorganic bases (heading 2842);</w:t>
      </w:r>
    </w:p>
    <w:p w14:paraId="1E89BCEC" w14:textId="77777777" w:rsidR="00852079" w:rsidRDefault="00852079" w:rsidP="00852079">
      <w:pPr>
        <w:pStyle w:val="ListParagraph"/>
        <w:numPr>
          <w:ilvl w:val="0"/>
          <w:numId w:val="34"/>
        </w:numPr>
        <w:spacing w:line="240" w:lineRule="auto"/>
        <w:contextualSpacing w:val="0"/>
      </w:pPr>
      <w:r>
        <w:t>hydrogen peroxide, solidified with urea (heading 2847), carbon oxysulphide,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(g) the metals, whether or not pure, metal alloys or cermets,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5. Headings 2826 to 2842 apply only to metal or ammonium salts or peroxysalts.</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(d) alloys, dispersions (including cermets), ceramic products and mixtures containing these elements or isotopes or inorganic or organic compounds thereof and having a specific radioactivity exceeding 74 Bq/g (0.002 μCi/g);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 xml:space="preserve">Subheading </w:t>
      </w:r>
      <w:r>
        <w:t>N</w:t>
      </w:r>
      <w:r>
        <w:t>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 xml:space="preserve">Additional </w:t>
      </w:r>
      <w:r>
        <w:t>C</w:t>
      </w:r>
      <w:r>
        <w:t xml:space="preserve">hapter </w:t>
      </w:r>
      <w:r>
        <w:t>N</w:t>
      </w:r>
      <w:r>
        <w:t>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sectPr w:rsidR="00E4554C" w:rsidRPr="0085207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43AEB" w14:textId="77777777" w:rsidR="001612CB" w:rsidRDefault="001612CB" w:rsidP="00A0507B">
      <w:pPr>
        <w:spacing w:after="0" w:line="240" w:lineRule="auto"/>
      </w:pPr>
      <w:r>
        <w:separator/>
      </w:r>
    </w:p>
  </w:endnote>
  <w:endnote w:type="continuationSeparator" w:id="0">
    <w:p w14:paraId="6A7E57F0" w14:textId="77777777" w:rsidR="001612CB" w:rsidRDefault="001612C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7B4E6" w14:textId="77777777" w:rsidR="001612CB" w:rsidRDefault="001612CB">
      <w:pPr>
        <w:spacing w:after="0" w:line="240" w:lineRule="auto"/>
      </w:pPr>
      <w:r>
        <w:separator/>
      </w:r>
    </w:p>
  </w:footnote>
  <w:footnote w:type="continuationSeparator" w:id="0">
    <w:p w14:paraId="3B25806E" w14:textId="77777777" w:rsidR="001612CB" w:rsidRDefault="00161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12CB"/>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2079"/>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3B0D"/>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3D5B086B-DDF9-3242-BB0B-93F7BAD8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2019-07-08T08:47:00Z</dcterms:created>
  <dcterms:modified xsi:type="dcterms:W3CDTF">2019-07-09T15:39:00Z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