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2710" w14:textId="77777777" w:rsidR="00C460F9" w:rsidRDefault="00C460F9" w:rsidP="00C460F9">
      <w:pPr>
        <w:spacing w:line="240" w:lineRule="auto"/>
        <w:jc w:val="center"/>
      </w:pPr>
      <w:r w:rsidRPr="004D1AA9">
        <w:rPr>
          <w:b/>
          <w:bCs/>
          <w:color w:val="000000"/>
        </w:rPr>
        <w:t xml:space="preserve">SECTION </w:t>
      </w:r>
      <w:r>
        <w:rPr>
          <w:b/>
          <w:bCs/>
          <w:color w:val="000000"/>
        </w:rPr>
        <w:t>XV</w:t>
      </w:r>
    </w:p>
    <w:p w14:paraId="65119968" w14:textId="77777777" w:rsidR="00C460F9" w:rsidRDefault="00C460F9" w:rsidP="00C460F9">
      <w:pPr>
        <w:pStyle w:val="Heading2"/>
        <w:spacing w:line="240" w:lineRule="auto"/>
      </w:pPr>
      <w:r>
        <w:t>Chapter 76</w:t>
      </w:r>
      <w:r>
        <w:br/>
        <w:t>Aluminium and Articles Thereof</w:t>
      </w:r>
    </w:p>
    <w:p w14:paraId="2D7C90A4" w14:textId="6ED093E7" w:rsidR="00C460F9" w:rsidRPr="00207D69" w:rsidRDefault="00C460F9" w:rsidP="00C460F9">
      <w:pPr>
        <w:pStyle w:val="Heading3"/>
        <w:spacing w:before="240" w:after="120" w:line="240" w:lineRule="auto"/>
      </w:pPr>
      <w:r>
        <w:t>Chapter Notes</w:t>
      </w:r>
    </w:p>
    <w:p w14:paraId="1EC5B16E" w14:textId="77777777" w:rsidR="00C460F9" w:rsidRDefault="00C460F9" w:rsidP="00C460F9">
      <w:pPr>
        <w:spacing w:line="240" w:lineRule="auto"/>
      </w:pPr>
      <w:r>
        <w:t>1. In this chapter, the following expressions have the meanings hereby assigned to them:</w:t>
      </w:r>
    </w:p>
    <w:p w14:paraId="2134983D" w14:textId="77777777" w:rsidR="00C460F9" w:rsidRDefault="00C460F9" w:rsidP="00C460F9">
      <w:pPr>
        <w:spacing w:line="240" w:lineRule="auto"/>
      </w:pPr>
      <w:r>
        <w:t>(a) Bars and rods:</w:t>
      </w:r>
    </w:p>
    <w:p w14:paraId="79C11660" w14:textId="77777777" w:rsidR="00C460F9" w:rsidRDefault="00C460F9" w:rsidP="00C460F9">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7F84663E" w14:textId="77777777" w:rsidR="00C460F9" w:rsidRDefault="00C460F9" w:rsidP="00C460F9">
      <w:pPr>
        <w:spacing w:line="240" w:lineRule="auto"/>
      </w:pPr>
      <w:r>
        <w:t>(b) Profiles:</w:t>
      </w:r>
    </w:p>
    <w:p w14:paraId="15536504" w14:textId="77777777" w:rsidR="00C460F9" w:rsidRDefault="00C460F9" w:rsidP="00C460F9">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3B57141C" w14:textId="77777777" w:rsidR="00C460F9" w:rsidRDefault="00C460F9" w:rsidP="00C460F9">
      <w:pPr>
        <w:spacing w:line="240" w:lineRule="auto"/>
      </w:pPr>
      <w:r>
        <w:t>(c) Wire:</w:t>
      </w:r>
    </w:p>
    <w:p w14:paraId="16AB3EDB" w14:textId="77777777" w:rsidR="00C460F9" w:rsidRDefault="00C460F9" w:rsidP="00C460F9">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2971261" w14:textId="77777777" w:rsidR="00C460F9" w:rsidRDefault="00C460F9" w:rsidP="00C460F9">
      <w:pPr>
        <w:spacing w:line="240" w:lineRule="auto"/>
      </w:pPr>
      <w:r>
        <w:t>(d) Plates, sheets, strip and foil:</w:t>
      </w:r>
    </w:p>
    <w:p w14:paraId="38A8DD45" w14:textId="77777777" w:rsidR="00C460F9" w:rsidRDefault="00C460F9" w:rsidP="00C460F9">
      <w:pPr>
        <w:spacing w:line="240" w:lineRule="auto"/>
      </w:pPr>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413D653A" w14:textId="77777777" w:rsidR="00C460F9" w:rsidRDefault="00C460F9" w:rsidP="00C460F9">
      <w:pPr>
        <w:spacing w:line="240" w:lineRule="auto"/>
      </w:pPr>
      <w:r>
        <w:t>- of rectangular (including square) shape with a thickness not exceeding one-tenth of the width,</w:t>
      </w:r>
    </w:p>
    <w:p w14:paraId="6B612EA5" w14:textId="77777777" w:rsidR="00C460F9" w:rsidRDefault="00C460F9" w:rsidP="00C460F9">
      <w:pPr>
        <w:spacing w:line="240" w:lineRule="auto"/>
      </w:pPr>
      <w:r>
        <w:t>- of a shape other than rectangular or square, of any size provided that they do not assume the character of articles or products of other headings.</w:t>
      </w:r>
    </w:p>
    <w:p w14:paraId="0A476236" w14:textId="77777777" w:rsidR="00C460F9" w:rsidRDefault="00C460F9" w:rsidP="00C460F9">
      <w:pPr>
        <w:spacing w:line="240" w:lineRule="auto"/>
      </w:pPr>
      <w:r>
        <w:t xml:space="preserve">Headings 7606 and 7607 apply </w:t>
      </w:r>
      <w:r w:rsidRPr="005D6F9D">
        <w:rPr>
          <w:i/>
        </w:rPr>
        <w:t>inter alia</w:t>
      </w:r>
      <w:r>
        <w:t xml:space="preserve">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F8F653D" w14:textId="77777777" w:rsidR="00C460F9" w:rsidRDefault="00C460F9" w:rsidP="00C460F9">
      <w:pPr>
        <w:spacing w:line="240" w:lineRule="auto"/>
      </w:pPr>
      <w:r>
        <w:t>(e) Tubes and pipes:</w:t>
      </w:r>
    </w:p>
    <w:p w14:paraId="0C827881" w14:textId="781E9575" w:rsidR="00C460F9" w:rsidRDefault="00C460F9" w:rsidP="00C460F9">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w:t>
      </w:r>
      <w:r>
        <w:lastRenderedPageBreak/>
        <w:t>concentric and have the same form and orientation. Tubes and pipes of the foregoing cross-sections may be polished, coated, bent, threaded, drilled, waisted, expanded, cone-shaped or fitted with flanges, collars or rings.</w:t>
      </w:r>
    </w:p>
    <w:p w14:paraId="0455958E" w14:textId="3CD2A55C" w:rsidR="00C460F9" w:rsidRDefault="00C460F9" w:rsidP="00C460F9">
      <w:pPr>
        <w:pStyle w:val="Heading3"/>
        <w:spacing w:before="240" w:after="120" w:line="240" w:lineRule="auto"/>
      </w:pPr>
      <w:r>
        <w:t xml:space="preserve">Subheading </w:t>
      </w:r>
      <w:r>
        <w:t>N</w:t>
      </w:r>
      <w:r>
        <w:t>otes</w:t>
      </w:r>
    </w:p>
    <w:p w14:paraId="62570DE6" w14:textId="77777777" w:rsidR="00C460F9" w:rsidRDefault="00C460F9" w:rsidP="00C460F9">
      <w:pPr>
        <w:spacing w:line="240" w:lineRule="auto"/>
      </w:pPr>
      <w:r>
        <w:t>1. In this chapter, the following expressions have the meanings hereby assigned to them:</w:t>
      </w:r>
    </w:p>
    <w:p w14:paraId="40BD1BED" w14:textId="77777777" w:rsidR="00C460F9" w:rsidRDefault="00C460F9" w:rsidP="00C460F9">
      <w:pPr>
        <w:pStyle w:val="ListBullet"/>
        <w:numPr>
          <w:ilvl w:val="0"/>
          <w:numId w:val="161"/>
        </w:numPr>
        <w:spacing w:line="240" w:lineRule="auto"/>
        <w:contextualSpacing w:val="0"/>
      </w:pPr>
      <w:r>
        <w:t>Aluminium, not alloyed:</w:t>
      </w:r>
    </w:p>
    <w:p w14:paraId="31E5381A" w14:textId="77777777" w:rsidR="00C460F9" w:rsidRDefault="00C460F9" w:rsidP="00C460F9">
      <w:pPr>
        <w:spacing w:line="240" w:lineRule="auto"/>
      </w:pPr>
      <w:r>
        <w:t>Metal containing by weight at least 99% of aluminium, provided that the content by weight of any other element does not exceed the limit specified in the following table:</w:t>
      </w:r>
    </w:p>
    <w:p w14:paraId="41A61197" w14:textId="77777777" w:rsidR="00C460F9" w:rsidRDefault="00C460F9" w:rsidP="00C460F9">
      <w:pPr>
        <w:spacing w:line="240" w:lineRule="auto"/>
      </w:pPr>
      <w:r>
        <w:t>Other elements:</w:t>
      </w:r>
    </w:p>
    <w:tbl>
      <w:tblPr>
        <w:tblStyle w:val="GridTable1Light"/>
        <w:tblW w:w="5000" w:type="pct"/>
        <w:tblLook w:val="0020" w:firstRow="1" w:lastRow="0" w:firstColumn="0" w:lastColumn="0" w:noHBand="0" w:noVBand="0"/>
      </w:tblPr>
      <w:tblGrid>
        <w:gridCol w:w="3823"/>
        <w:gridCol w:w="5193"/>
      </w:tblGrid>
      <w:tr w:rsidR="00C460F9" w:rsidRPr="00C460F9" w14:paraId="031FE89F" w14:textId="77777777" w:rsidTr="00C460F9">
        <w:trPr>
          <w:cnfStyle w:val="100000000000" w:firstRow="1" w:lastRow="0" w:firstColumn="0" w:lastColumn="0" w:oddVBand="0" w:evenVBand="0" w:oddHBand="0" w:evenHBand="0" w:firstRowFirstColumn="0" w:firstRowLastColumn="0" w:lastRowFirstColumn="0" w:lastRowLastColumn="0"/>
        </w:trPr>
        <w:tc>
          <w:tcPr>
            <w:tcW w:w="2120" w:type="pct"/>
            <w:hideMark/>
          </w:tcPr>
          <w:p w14:paraId="1AFDA706" w14:textId="77777777" w:rsidR="00C460F9" w:rsidRPr="00C460F9" w:rsidRDefault="00C460F9" w:rsidP="00C460F9">
            <w:pPr>
              <w:pStyle w:val="NormalinTable"/>
              <w:rPr>
                <w:b w:val="0"/>
                <w:bCs/>
                <w:sz w:val="21"/>
                <w:szCs w:val="28"/>
              </w:rPr>
            </w:pPr>
            <w:r w:rsidRPr="00C460F9">
              <w:rPr>
                <w:bCs/>
                <w:sz w:val="21"/>
                <w:szCs w:val="28"/>
              </w:rPr>
              <w:t>Element</w:t>
            </w:r>
          </w:p>
        </w:tc>
        <w:tc>
          <w:tcPr>
            <w:tcW w:w="2880" w:type="pct"/>
            <w:hideMark/>
          </w:tcPr>
          <w:p w14:paraId="0FFD4A81" w14:textId="77777777" w:rsidR="00C460F9" w:rsidRPr="00C460F9" w:rsidRDefault="00C460F9" w:rsidP="00C460F9">
            <w:pPr>
              <w:pStyle w:val="NormalinTable"/>
              <w:jc w:val="right"/>
              <w:rPr>
                <w:b w:val="0"/>
                <w:bCs/>
                <w:sz w:val="21"/>
                <w:szCs w:val="28"/>
              </w:rPr>
            </w:pPr>
            <w:r w:rsidRPr="00C460F9">
              <w:rPr>
                <w:bCs/>
                <w:sz w:val="21"/>
                <w:szCs w:val="28"/>
              </w:rPr>
              <w:t>Limiting content % by weight</w:t>
            </w:r>
          </w:p>
        </w:tc>
      </w:tr>
      <w:tr w:rsidR="00C460F9" w:rsidRPr="00C460F9" w14:paraId="42BAA9B7" w14:textId="77777777" w:rsidTr="00C460F9">
        <w:tc>
          <w:tcPr>
            <w:tcW w:w="2120" w:type="pct"/>
            <w:hideMark/>
          </w:tcPr>
          <w:p w14:paraId="7A2BC040" w14:textId="77777777" w:rsidR="00C460F9" w:rsidRPr="00C460F9" w:rsidRDefault="00C460F9" w:rsidP="00C460F9">
            <w:pPr>
              <w:pStyle w:val="NormalinTable"/>
              <w:rPr>
                <w:sz w:val="21"/>
                <w:szCs w:val="28"/>
              </w:rPr>
            </w:pPr>
            <w:r w:rsidRPr="00C460F9">
              <w:rPr>
                <w:sz w:val="21"/>
                <w:szCs w:val="28"/>
              </w:rPr>
              <w:t>Fe + Si (iron plus silicon)</w:t>
            </w:r>
          </w:p>
        </w:tc>
        <w:tc>
          <w:tcPr>
            <w:tcW w:w="2880" w:type="pct"/>
            <w:hideMark/>
          </w:tcPr>
          <w:p w14:paraId="7B7B42B2" w14:textId="77777777" w:rsidR="00C460F9" w:rsidRPr="00C460F9" w:rsidRDefault="00C460F9" w:rsidP="00C460F9">
            <w:pPr>
              <w:pStyle w:val="NormalinTable"/>
              <w:jc w:val="right"/>
              <w:rPr>
                <w:sz w:val="21"/>
                <w:szCs w:val="28"/>
              </w:rPr>
            </w:pPr>
            <w:r w:rsidRPr="00C460F9">
              <w:rPr>
                <w:sz w:val="21"/>
                <w:szCs w:val="28"/>
              </w:rPr>
              <w:t>1</w:t>
            </w:r>
          </w:p>
        </w:tc>
      </w:tr>
      <w:tr w:rsidR="00C460F9" w:rsidRPr="00C460F9" w14:paraId="45663E58" w14:textId="77777777" w:rsidTr="00C460F9">
        <w:tc>
          <w:tcPr>
            <w:tcW w:w="2120" w:type="pct"/>
            <w:hideMark/>
          </w:tcPr>
          <w:p w14:paraId="0E0D9F7C" w14:textId="77777777" w:rsidR="00C460F9" w:rsidRPr="00C460F9" w:rsidRDefault="00C460F9" w:rsidP="00C460F9">
            <w:pPr>
              <w:pStyle w:val="NormalinTable"/>
              <w:rPr>
                <w:sz w:val="21"/>
                <w:szCs w:val="28"/>
              </w:rPr>
            </w:pPr>
            <w:r w:rsidRPr="00C460F9">
              <w:rPr>
                <w:sz w:val="21"/>
                <w:szCs w:val="28"/>
              </w:rPr>
              <w:t>Other elements, each</w:t>
            </w:r>
          </w:p>
          <w:p w14:paraId="3BAC0EE5" w14:textId="77777777" w:rsidR="00C460F9" w:rsidRPr="00C460F9" w:rsidRDefault="00C460F9" w:rsidP="00C460F9">
            <w:pPr>
              <w:pStyle w:val="NormalinTable"/>
              <w:rPr>
                <w:sz w:val="21"/>
                <w:szCs w:val="28"/>
              </w:rPr>
            </w:pPr>
            <w:r w:rsidRPr="00C460F9">
              <w:rPr>
                <w:sz w:val="21"/>
                <w:szCs w:val="28"/>
              </w:rPr>
              <w:t>(Other elements are, for example, Cr, Cu, Mg, Mn, Ni, Zn.)</w:t>
            </w:r>
          </w:p>
        </w:tc>
        <w:tc>
          <w:tcPr>
            <w:tcW w:w="2880" w:type="pct"/>
            <w:hideMark/>
          </w:tcPr>
          <w:p w14:paraId="52C43F88" w14:textId="77777777" w:rsidR="00C460F9" w:rsidRPr="00C460F9" w:rsidRDefault="00C460F9" w:rsidP="00C460F9">
            <w:pPr>
              <w:pStyle w:val="NormalinTable"/>
              <w:jc w:val="right"/>
              <w:rPr>
                <w:sz w:val="21"/>
                <w:szCs w:val="28"/>
              </w:rPr>
            </w:pPr>
            <w:bookmarkStart w:id="0" w:name="_GoBack"/>
            <w:bookmarkEnd w:id="0"/>
            <w:r w:rsidRPr="00C460F9">
              <w:rPr>
                <w:sz w:val="21"/>
                <w:szCs w:val="28"/>
              </w:rPr>
              <w:t>0.1 </w:t>
            </w:r>
          </w:p>
          <w:p w14:paraId="4DC6242A" w14:textId="77777777" w:rsidR="00C460F9" w:rsidRPr="00C460F9" w:rsidRDefault="00C460F9" w:rsidP="00C460F9">
            <w:pPr>
              <w:pStyle w:val="NormalinTable"/>
              <w:jc w:val="right"/>
              <w:rPr>
                <w:sz w:val="21"/>
                <w:szCs w:val="28"/>
              </w:rPr>
            </w:pPr>
            <w:r w:rsidRPr="00C460F9">
              <w:rPr>
                <w:sz w:val="21"/>
                <w:szCs w:val="28"/>
              </w:rPr>
              <w:t>(Copper is permitted in a proportion greater than 0.1 % but not more than 0.2 %, provided that neither the chromium nor manganese content exceeds 0.05 %)</w:t>
            </w:r>
          </w:p>
        </w:tc>
      </w:tr>
    </w:tbl>
    <w:p w14:paraId="7E727CB3" w14:textId="77777777" w:rsidR="00C460F9" w:rsidRDefault="00C460F9" w:rsidP="00C460F9">
      <w:pPr>
        <w:spacing w:line="240" w:lineRule="auto"/>
      </w:pPr>
    </w:p>
    <w:p w14:paraId="0926CADA" w14:textId="77777777" w:rsidR="00C460F9" w:rsidRDefault="00C460F9" w:rsidP="00C460F9">
      <w:pPr>
        <w:pStyle w:val="ListBullet"/>
        <w:numPr>
          <w:ilvl w:val="0"/>
          <w:numId w:val="161"/>
        </w:numPr>
        <w:spacing w:line="240" w:lineRule="auto"/>
        <w:contextualSpacing w:val="0"/>
      </w:pPr>
      <w:r>
        <w:t>Aluminium alloys:</w:t>
      </w:r>
    </w:p>
    <w:p w14:paraId="3040CF5C" w14:textId="77777777" w:rsidR="00C460F9" w:rsidRDefault="00C460F9" w:rsidP="00C460F9">
      <w:pPr>
        <w:spacing w:line="240" w:lineRule="auto"/>
      </w:pPr>
      <w:r>
        <w:t>Metallic substances in which aluminium predominates by weight over each of the other elements, provided that:</w:t>
      </w:r>
    </w:p>
    <w:p w14:paraId="415FBECF" w14:textId="77777777" w:rsidR="00C460F9" w:rsidRDefault="00C460F9" w:rsidP="00C460F9">
      <w:pPr>
        <w:spacing w:line="240" w:lineRule="auto"/>
      </w:pPr>
      <w:r>
        <w:t>(1) the content by weight of at least one of the other elements or of iron plus silicon taken together is greater than the limit specified in the foregoing table, or</w:t>
      </w:r>
    </w:p>
    <w:p w14:paraId="1127E27E" w14:textId="77777777" w:rsidR="00C460F9" w:rsidRDefault="00C460F9" w:rsidP="00C460F9">
      <w:pPr>
        <w:spacing w:line="240" w:lineRule="auto"/>
      </w:pPr>
      <w:r>
        <w:t>(2) the total content by weight of such other elements exceeds 1%.</w:t>
      </w:r>
    </w:p>
    <w:p w14:paraId="4228C6B4" w14:textId="77777777" w:rsidR="00C460F9" w:rsidRDefault="00C460F9" w:rsidP="00C460F9">
      <w:pPr>
        <w:spacing w:line="240" w:lineRule="auto"/>
      </w:pPr>
      <w:r>
        <w:t>2. Notwithstanding the provisions of chapter note 1(c), for the purposes of subheading 7616 91 the term 'wire' applies only to products, whether or not in coils, of any cross-sectional shape, of which no cross-sectional dimension exceeds 6 mm.</w:t>
      </w:r>
    </w:p>
    <w:p w14:paraId="315BB372" w14:textId="17C36097" w:rsidR="00C460F9" w:rsidRDefault="00C460F9" w:rsidP="00C460F9">
      <w:pPr>
        <w:pStyle w:val="Heading3"/>
        <w:spacing w:before="240" w:after="120" w:line="240" w:lineRule="auto"/>
      </w:pPr>
      <w:r>
        <w:t xml:space="preserve">Additional </w:t>
      </w:r>
      <w:r>
        <w:t>C</w:t>
      </w:r>
      <w:r>
        <w:t xml:space="preserve">hapter </w:t>
      </w:r>
      <w:r>
        <w:t>N</w:t>
      </w:r>
      <w:r>
        <w:t>otes</w:t>
      </w:r>
    </w:p>
    <w:p w14:paraId="25FFDDE7" w14:textId="77777777" w:rsidR="00C460F9" w:rsidRDefault="00C460F9" w:rsidP="00C460F9">
      <w:pPr>
        <w:spacing w:line="240" w:lineRule="auto"/>
      </w:pPr>
      <w:r>
        <w:t>1. For the purposes of subheading 7601 20 20, the following terms shall have the meanings hereby assigned to them:</w:t>
      </w:r>
    </w:p>
    <w:p w14:paraId="63F0B750" w14:textId="77777777" w:rsidR="00C460F9" w:rsidRDefault="00C460F9" w:rsidP="00C460F9">
      <w:pPr>
        <w:spacing w:line="240" w:lineRule="auto"/>
      </w:pPr>
      <w:r>
        <w:t>— ‘slabs’: unwrought products which have a uniform solid cross-section along their whole length in the shape of a rectangle or other polygon, of a width exceeding 800 mm, of a thickness exceeding 280 mm and of a length always superior to the width and to the thickness. These products are intended for being rolled;</w:t>
      </w:r>
    </w:p>
    <w:p w14:paraId="24B57472" w14:textId="77777777" w:rsidR="00C460F9" w:rsidRDefault="00C460F9" w:rsidP="00C460F9">
      <w:pPr>
        <w:spacing w:line="240" w:lineRule="auto"/>
      </w:pPr>
      <w:r>
        <w:t>— ‘billets’: unwrought products which have a uniform solid cross-section along their whole length in the shape of a circle (including a ‘flattened circle’), of a diameter exceeding 125 mm. These products are intended for being extruded.</w:t>
      </w:r>
    </w:p>
    <w:p w14:paraId="604100F8" w14:textId="77777777" w:rsidR="00C460F9" w:rsidRDefault="00C460F9" w:rsidP="00C460F9">
      <w:pPr>
        <w:spacing w:line="240" w:lineRule="auto"/>
      </w:pPr>
      <w:r>
        <w:t>2. For the purposes of subheadings 7606 12 11 and 7606 12 19, the following terms shall have the meaning hereby assigned to them:</w:t>
      </w:r>
    </w:p>
    <w:p w14:paraId="38CF15D7" w14:textId="77777777" w:rsidR="00C460F9" w:rsidRDefault="00C460F9" w:rsidP="00C460F9">
      <w:pPr>
        <w:spacing w:line="240" w:lineRule="auto"/>
      </w:pPr>
      <w:r>
        <w:t>— ‘beverage can body stock’: sheets or strips in coils, rolled, having manganese as the predominant alloy element and having a minimum tensile strength of 262 MPa. The sheets or strips have a uniform solid cross-section along their whole length, are of a width of 300 mm or more but not more than 2000 mm, of a thickness exceeding 0.2 mm but not exceeding 0.4 mm, and of a length always superior to the width and to the thickness. Beverage can body stock is prelubricated, with a bright surface;</w:t>
      </w:r>
    </w:p>
    <w:p w14:paraId="7B85BA95" w14:textId="77777777" w:rsidR="00C460F9" w:rsidRDefault="00C460F9" w:rsidP="00C460F9">
      <w:pPr>
        <w:spacing w:line="240" w:lineRule="auto"/>
      </w:pPr>
      <w:r>
        <w:t xml:space="preserve">— ‘beverage can end stock and tab stock’: sheets or strips in coils, having magnesium as the predominant alloy element and having a minimum tensile strength of 345 MPa. The sheets or strips have a uniform solid cross-section along their whole length, are of a width of 30 mm or more but not more than 2000 mm, of a thickness exceeding 0.2 mm but not exceeding 0.35 mm, and of a length always superior to the width and to </w:t>
      </w:r>
      <w:r>
        <w:lastRenderedPageBreak/>
        <w:t>the thickness. Beverage can end stock is varnished on both sides. Beverage can tab stock is degreased and oiled.</w:t>
      </w:r>
    </w:p>
    <w:p w14:paraId="466E971D" w14:textId="5453F265" w:rsidR="00E4554C" w:rsidRPr="00C460F9" w:rsidRDefault="00C460F9" w:rsidP="00C460F9">
      <w:pPr>
        <w:spacing w:line="240" w:lineRule="auto"/>
      </w:pPr>
      <w:r>
        <w:t>These products are to be used for the fabrication of rigid beverage cans, including ends (lids) and tabs.</w:t>
      </w:r>
    </w:p>
    <w:sectPr w:rsidR="00E4554C" w:rsidRPr="00C460F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53E4E" w14:textId="77777777" w:rsidR="00432154" w:rsidRDefault="00432154" w:rsidP="00A0507B">
      <w:pPr>
        <w:spacing w:after="0" w:line="240" w:lineRule="auto"/>
      </w:pPr>
      <w:r>
        <w:separator/>
      </w:r>
    </w:p>
  </w:endnote>
  <w:endnote w:type="continuationSeparator" w:id="0">
    <w:p w14:paraId="28AF8333" w14:textId="77777777" w:rsidR="00432154" w:rsidRDefault="0043215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4698" w14:textId="77777777" w:rsidR="00432154" w:rsidRDefault="00432154">
      <w:pPr>
        <w:spacing w:after="0" w:line="240" w:lineRule="auto"/>
      </w:pPr>
      <w:r>
        <w:separator/>
      </w:r>
    </w:p>
  </w:footnote>
  <w:footnote w:type="continuationSeparator" w:id="0">
    <w:p w14:paraId="36DA8308" w14:textId="77777777" w:rsidR="00432154" w:rsidRDefault="00432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2154"/>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460F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1FB8"/>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2">
    <w:name w:val="Grid Table 2"/>
    <w:basedOn w:val="TableNormal"/>
    <w:uiPriority w:val="47"/>
    <w:rsid w:val="00C460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460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69B3C5F-A405-7D4C-B88E-4BB53A64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2019-07-08T10:19:00Z</dcterms:created>
  <dcterms:modified xsi:type="dcterms:W3CDTF">2019-07-10T06:25:00Z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