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F9B8" w14:textId="77777777" w:rsidR="00203121" w:rsidRDefault="00203121" w:rsidP="00203121">
      <w:pPr>
        <w:jc w:val="center"/>
      </w:pPr>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172"/>
        </w:numPr>
      </w:pPr>
      <w:r>
        <w:t>millstones, grindstones or other articles of Chapter 68;</w:t>
      </w:r>
    </w:p>
    <w:p w14:paraId="5520DD8D" w14:textId="77777777" w:rsidR="00203121" w:rsidRDefault="00203121" w:rsidP="00203121">
      <w:pPr>
        <w:pStyle w:val="ListBullet"/>
        <w:numPr>
          <w:ilvl w:val="0"/>
          <w:numId w:val="172"/>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172"/>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172"/>
        </w:numPr>
      </w:pPr>
      <w:r>
        <w:t>articles of heading 7321 or 7322 or similar articles of other base metals (Chapters 74 to 76 or 78 to 81);</w:t>
      </w:r>
    </w:p>
    <w:p w14:paraId="6B3DD32E" w14:textId="77777777" w:rsidR="00203121" w:rsidRDefault="00203121" w:rsidP="00203121">
      <w:pPr>
        <w:pStyle w:val="ListBullet"/>
        <w:numPr>
          <w:ilvl w:val="0"/>
          <w:numId w:val="172"/>
        </w:numPr>
      </w:pPr>
      <w:r>
        <w:t>vacuum cleaners of heading 8508;</w:t>
      </w:r>
    </w:p>
    <w:p w14:paraId="3DDB7BBB" w14:textId="77777777" w:rsidR="00203121" w:rsidRDefault="00203121" w:rsidP="00203121">
      <w:pPr>
        <w:pStyle w:val="ListBullet"/>
        <w:numPr>
          <w:ilvl w:val="0"/>
          <w:numId w:val="172"/>
        </w:numPr>
      </w:pPr>
      <w:r>
        <w:t>electromechanical domestic appliances of heading 8509; digital cameras of heading 8525; or</w:t>
      </w:r>
    </w:p>
    <w:p w14:paraId="2826949E" w14:textId="77777777" w:rsidR="00203121" w:rsidRDefault="00203121" w:rsidP="00203121">
      <w:pPr>
        <w:pStyle w:val="ListBullet"/>
        <w:numPr>
          <w:ilvl w:val="0"/>
          <w:numId w:val="172"/>
        </w:numPr>
      </w:pPr>
      <w:r>
        <w:t>radiators for the articles of Section XVII; or</w:t>
      </w:r>
    </w:p>
    <w:p w14:paraId="6B204983" w14:textId="77777777" w:rsidR="00203121" w:rsidRDefault="00203121" w:rsidP="00203121">
      <w:pPr>
        <w:pStyle w:val="ListBullet"/>
        <w:numPr>
          <w:ilvl w:val="0"/>
          <w:numId w:val="172"/>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173"/>
        </w:numPr>
      </w:pPr>
      <w:r>
        <w:t>germination plant, incubators or brooders (heading 8436);</w:t>
      </w:r>
    </w:p>
    <w:p w14:paraId="27EA56E7" w14:textId="77777777" w:rsidR="00203121" w:rsidRDefault="00203121" w:rsidP="00203121">
      <w:pPr>
        <w:pStyle w:val="ListBullet"/>
        <w:numPr>
          <w:ilvl w:val="0"/>
          <w:numId w:val="173"/>
        </w:numPr>
      </w:pPr>
      <w:r>
        <w:t>grain dampening machines (heading 8437);</w:t>
      </w:r>
    </w:p>
    <w:p w14:paraId="6414B5D4" w14:textId="77777777" w:rsidR="00203121" w:rsidRDefault="00203121" w:rsidP="00203121">
      <w:pPr>
        <w:pStyle w:val="ListBullet"/>
        <w:numPr>
          <w:ilvl w:val="0"/>
          <w:numId w:val="173"/>
        </w:numPr>
      </w:pPr>
      <w:r>
        <w:t>diffusing apparatus for sugar juice extraction (heading 8438);</w:t>
      </w:r>
    </w:p>
    <w:p w14:paraId="09908506" w14:textId="77777777" w:rsidR="00203121" w:rsidRDefault="00203121" w:rsidP="00203121">
      <w:pPr>
        <w:pStyle w:val="ListBullet"/>
        <w:numPr>
          <w:ilvl w:val="0"/>
          <w:numId w:val="173"/>
        </w:numPr>
      </w:pPr>
      <w:r>
        <w:t>machinery for the heat treatment of textile yarns, fabrics or made-up textile articles (heading 8451); or</w:t>
      </w:r>
    </w:p>
    <w:p w14:paraId="084BE617" w14:textId="77777777" w:rsidR="00203121" w:rsidRDefault="00203121" w:rsidP="00203121">
      <w:pPr>
        <w:pStyle w:val="ListBullet"/>
        <w:numPr>
          <w:ilvl w:val="0"/>
          <w:numId w:val="173"/>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174"/>
        </w:numPr>
      </w:pPr>
      <w:r>
        <w:t>sewing machines for closing bags or similar containers (heading 8452); or</w:t>
      </w:r>
    </w:p>
    <w:p w14:paraId="4E44F483" w14:textId="77777777" w:rsidR="00203121" w:rsidRDefault="00203121" w:rsidP="00203121">
      <w:pPr>
        <w:pStyle w:val="ListBullet"/>
        <w:numPr>
          <w:ilvl w:val="0"/>
          <w:numId w:val="174"/>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175"/>
        </w:numPr>
      </w:pPr>
      <w:r>
        <w:t>ink-jet printing machines (heading 8443); or</w:t>
      </w:r>
    </w:p>
    <w:p w14:paraId="0D821320" w14:textId="77777777" w:rsidR="00203121" w:rsidRDefault="00203121" w:rsidP="00203121">
      <w:pPr>
        <w:pStyle w:val="ListBullet"/>
        <w:numPr>
          <w:ilvl w:val="0"/>
          <w:numId w:val="175"/>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176"/>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176"/>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176"/>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 xml:space="preserve">Subheading </w:t>
      </w:r>
      <w:r>
        <w:t>N</w:t>
      </w:r>
      <w:r>
        <w:t>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 xml:space="preserve">Additional </w:t>
      </w:r>
      <w:r>
        <w:t>C</w:t>
      </w:r>
      <w:r>
        <w:t xml:space="preserve">hapter </w:t>
      </w:r>
      <w:r>
        <w:t>N</w:t>
      </w:r>
      <w:r>
        <w:t>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w:t>
      </w:r>
      <w:bookmarkStart w:id="0" w:name="_GoBack"/>
      <w:bookmarkEnd w:id="0"/>
      <w:r w:rsidRPr="00EC4DE5">
        <w:t>ack for earphones, a volume-control button or a start/stop button.</w:t>
      </w:r>
    </w:p>
    <w:sectPr w:rsidR="00E4554C" w:rsidRPr="002031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64F7" w14:textId="77777777" w:rsidR="00746F24" w:rsidRDefault="00746F24" w:rsidP="00A0507B">
      <w:pPr>
        <w:spacing w:after="0" w:line="240" w:lineRule="auto"/>
      </w:pPr>
      <w:r>
        <w:separator/>
      </w:r>
    </w:p>
  </w:endnote>
  <w:endnote w:type="continuationSeparator" w:id="0">
    <w:p w14:paraId="34774E0D" w14:textId="77777777" w:rsidR="00746F24" w:rsidRDefault="00746F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6F6C0" w14:textId="77777777" w:rsidR="00746F24" w:rsidRDefault="00746F24">
      <w:pPr>
        <w:spacing w:after="0" w:line="240" w:lineRule="auto"/>
      </w:pPr>
      <w:r>
        <w:separator/>
      </w:r>
    </w:p>
  </w:footnote>
  <w:footnote w:type="continuationSeparator" w:id="0">
    <w:p w14:paraId="63262ED0" w14:textId="77777777" w:rsidR="00746F24" w:rsidRDefault="00746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121"/>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F24"/>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4AEC"/>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DE37990-E3DD-E64F-9FCE-3B496D9B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2019-07-08T10:22:00Z</dcterms:created>
  <dcterms:modified xsi:type="dcterms:W3CDTF">2019-07-10T06:37:00Z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