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1. This chapter covers all live animals except:</w:t>
      </w:r>
    </w:p>
    <w:p>
      <w:pPr>
        <w:pStyle w:val="Compact"/>
        <w:numPr>
          <w:numId w:val="1003"/>
          <w:ilvl w:val="2"/>
        </w:numPr>
      </w:pPr>
      <w:r>
        <w:t xml:space="preserve">fish and crustaceans, molluscs and other aquatic invertebrates, of heading 0301, 0306, 0307 or 0308;</w:t>
      </w:r>
    </w:p>
    <w:p>
      <w:pPr>
        <w:pStyle w:val="Compact"/>
        <w:numPr>
          <w:numId w:val="1004"/>
          <w:ilvl w:val="2"/>
        </w:numPr>
      </w:pPr>
      <w:r>
        <w:t xml:space="preserve">cultures of micro-organisms and other products of heading 3002; and</w:t>
      </w:r>
    </w:p>
    <w:p>
      <w:pPr>
        <w:pStyle w:val="Compact"/>
        <w:numPr>
          <w:numId w:val="1005"/>
          <w:ilvl w:val="2"/>
        </w:numPr>
      </w:pPr>
      <w:r>
        <w:t xml:space="preserve">animals of heading 9508.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d5bed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8b9c9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dacd123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c568c87c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b9b6020f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2018-08-06T21:03:15Z</dcterms:created>
  <dcterms:modified xsi:type="dcterms:W3CDTF">2018-08-06T21:03:15Z</dcterms:modified>
</cp:coreProperties>
</file>