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74</w:t>
      </w:r>
      <w:r>
        <w:br/>
        <w:t>Copper and Articles Thereof</w:t>
      </w:r>
    </w:p>
    <w:p>
      <w:pPr>
        <w:pStyle w:val="Heading3"/>
      </w:pPr>
      <w:r>
        <w:t>Chapter Notes</w:t>
      </w:r>
    </w:p>
    <w:p>
      <w:r>
        <w:t>1. In this chapter, the following expressions have the meanings hereby assigned to them:</w:t>
      </w:r>
    </w:p>
    <w:p>
      <w:pPr>
        <w:pStyle w:val="ListBullet"/>
      </w:pPr>
      <w:r>
        <w:t xml:space="preserve">Refined copper:</w:t>
      </w:r>
    </w:p>
    <w:p>
      <w:r>
        <w:t>Metal containing at least 99.85% by weight of copper; or</w:t>
      </w:r>
    </w:p>
    <w:p>
      <w:r>
        <w:t>Metal containing at least 97.5% by weight of copper, provided that the content by weight of any other element does not exceed the limit specified in the following table:</w:t>
      </w:r>
    </w:p>
    <w:p>
      <w:r>
        <w:t/>
      </w:r>
    </w:p>
    <w:p>
      <w:r>
        <w:t/>
      </w:r>
    </w:p>
    <w:p>
      <w:r>
        <w:t/>
      </w:r>
    </w:p>
    <w:p>
      <w:pPr>
        <w:pStyle w:val="ListBullet"/>
      </w:pPr>
      <w:r>
        <w:t xml:space="preserve">Copper alloys:</w:t>
      </w:r>
    </w:p>
    <w:p>
      <w:r>
        <w:t>Metallic substances other than unrefined copper in which copper predominates by weight over each of the other elements, provided that:</w:t>
      </w:r>
    </w:p>
    <w:p>
      <w:r>
        <w:t>(1) the content by weight of at least one of the other elements is greater than the limit specified in the foregoing table; or</w:t>
      </w:r>
    </w:p>
    <w:p>
      <w:r>
        <w:t>(2) the total content by weight of such other elements exceeds 2.5%</w:t>
      </w:r>
    </w:p>
    <w:p>
      <w:pPr>
        <w:pStyle w:val="ListBullet"/>
      </w:pPr>
      <w:r>
        <w:t xml:space="preserve">Master alloys:</w:t>
      </w:r>
    </w:p>
    <w:p>
      <w:r>
        <w:t>Alloys containing with other elements more than 10% by weight of copper, not usefully malleable and commonly used as an additive in the manufacture of other alloys or as de-oxidants, de-sulphurising agents or for similar uses in the metallurgy of non-ferrous metals. However, copper phosphide (phosphor copper) containing more than 15% by weight of phosphorus falls in heading 2848.</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Wire-bars and billets with their ends tapered or otherwise worked simply to facilitate their entry into machines for converting them into, for example, drawing stock (wire-rod) or tubes, are however to be taken to be unwrought copper of heading 7403.</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pPr>
        <w:pStyle w:val="ListBullet"/>
      </w:pPr>
      <w:r>
        <w:t xml:space="preserve">Copper-zinc base alloys (brasses):</w:t>
      </w:r>
    </w:p>
    <w:p>
      <w:r>
        <w:t>Alloys of copper and zinc, with or without other elements. When other elements are present:</w:t>
      </w:r>
    </w:p>
    <w:p>
      <w:r>
        <w:t>\- zinc predominates by weight over each of such other elements,</w:t>
      </w:r>
    </w:p>
    <w:p>
      <w:r>
        <w:t>\- any nickel content by weight is less than 5% (see copper-nickel-zinc alloys (nickel silvers)), and</w:t>
      </w:r>
    </w:p>
    <w:p>
      <w:r>
        <w:t>\- any tin content by weight is less than 3% (see copper-tin alloys (bronzes)).</w:t>
      </w:r>
    </w:p>
    <w:p>
      <w:pPr>
        <w:pStyle w:val="ListBullet"/>
      </w:pPr>
      <w:r>
        <w:t xml:space="preserve">Copper-tin base alloys (bronzes):</w:t>
      </w:r>
    </w:p>
    <w:p>
      <w:r>
        <w:t>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pPr>
        <w:pStyle w:val="ListBullet"/>
      </w:pPr>
      <w:r>
        <w:t xml:space="preserve">Copper-nickel-zinc base alloys (nickel silvers):</w:t>
      </w:r>
    </w:p>
    <w:p>
      <w:r>
        <w:t>Alloys of copper, nickel and zinc, with or without other elements. The nickel content is 5% or more by weight (see copper-zinc alloys (brasses)).</w:t>
      </w:r>
    </w:p>
    <w:p>
      <w:pPr>
        <w:pStyle w:val="ListBullet"/>
      </w:pPr>
      <w:r>
        <w:t xml:space="preserve">Copper-nickel base alloys:</w:t>
      </w:r>
    </w:p>
    <w:p>
      <w:r>
        <w:t>Alloys of copper and nickel, with or without other elements but in any case containing by weight not more than 1% of zinc. When other elements are present, nickel predominates by weight over each of such other elements.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7401 00 00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
            </w:r>
          </w:p>
        </w:tc>
      </w:tr>
      <w:tr>
        <w:trPr>
          <w:cantSplit/>
        </w:trPr>
        <w:tc>
          <w:p>
            <w:pPr>
              <w:pStyle w:val="NormalinTable"/>
            </w:pPr>
            <w:r>
              <w:rPr>
                <w:b/>
              </w:rPr>
              <w:t>7402 00 00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
            </w:r>
          </w:p>
        </w:tc>
      </w:tr>
      <w:tr>
        <w:trPr>
          <w:cantSplit/>
        </w:trPr>
        <w:tc>
          <w:p>
            <w:pPr>
              <w:pStyle w:val="NormalinTable"/>
            </w:pPr>
            <w:r>
              <w:rPr>
                <w:b/>
              </w:rPr>
              <w:t>7403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Refined copper</w:t>
              <!--//-->
            </w:r>
          </w:p>
        </w:tc>
      </w:tr>
      <w:tr>
        <w:trPr>
          <w:cantSplit/>
        </w:trPr>
        <w:tc>
          <w:p>
            <w:pPr>
              <w:pStyle w:val="NormalinTable"/>
            </w:pPr>
            <w:r>
              <w:rPr>
                <w:b/>
              </w:rPr>
              <w:t>7403 11 00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
            </w:r>
          </w:p>
        </w:tc>
      </w:tr>
      <w:tr>
        <w:trPr>
          <w:cantSplit/>
        </w:trPr>
        <w:tc>
          <w:p>
            <w:pPr>
              <w:pStyle w:val="NormalinTable"/>
            </w:pPr>
            <w:r>
              <w:rPr>
                <w:b/>
              </w:rPr>
              <w:t>7403 12 00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
            </w:r>
          </w:p>
        </w:tc>
      </w:tr>
      <w:tr>
        <w:trPr>
          <w:cantSplit/>
        </w:trPr>
        <w:tc>
          <w:p>
            <w:pPr>
              <w:pStyle w:val="NormalinTable"/>
            </w:pPr>
            <w:r>
              <w:rPr>
                <w:b/>
              </w:rPr>
              <w:t>7403 13 00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
            </w:r>
          </w:p>
        </w:tc>
      </w:tr>
      <w:tr>
        <w:trPr>
          <w:cantSplit/>
        </w:trPr>
        <w:tc>
          <w:p>
            <w:pPr>
              <w:pStyle w:val="NormalinTable"/>
            </w:pPr>
            <w:r>
              <w:rPr>
                <w:b/>
              </w:rPr>
              <w:t>7403 19 00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Copper alloys</w:t>
              <!--//-->
            </w:r>
          </w:p>
        </w:tc>
      </w:tr>
      <w:tr>
        <w:trPr>
          <w:cantSplit/>
        </w:trPr>
        <w:tc>
          <w:p>
            <w:pPr>
              <w:pStyle w:val="NormalinTable"/>
            </w:pPr>
            <w:r>
              <w:rPr>
                <w:b/>
              </w:rPr>
              <w:t>7403 21 00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
            </w:r>
          </w:p>
        </w:tc>
      </w:tr>
      <w:tr>
        <w:trPr>
          <w:cantSplit/>
        </w:trPr>
        <w:tc>
          <w:p>
            <w:pPr>
              <w:pStyle w:val="NormalinTable"/>
            </w:pPr>
            <w:r>
              <w:rPr>
                <w:b/>
              </w:rPr>
              <w:t>7403 22 00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
            </w:r>
          </w:p>
        </w:tc>
      </w:tr>
      <w:tr>
        <w:trPr>
          <w:cantSplit/>
        </w:trPr>
        <w:tc>
          <w:p>
            <w:pPr>
              <w:pStyle w:val="NormalinTable"/>
            </w:pPr>
            <w:r>
              <w:rPr>
                <w:b/>
              </w:rPr>
              <w:t>7403 29 00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
            </w:r>
          </w:p>
        </w:tc>
      </w:tr>
      <w:tr>
        <w:trPr>
          <w:cantSplit/>
        </w:trPr>
        <w:tc>
          <w:p>
            <w:pPr>
              <w:pStyle w:val="NormalinTable"/>
            </w:pPr>
            <w:r>
              <w:rPr>
                <w:b/>
              </w:rPr>
              <w:t>7404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
            </w:r>
          </w:p>
        </w:tc>
      </w:tr>
      <w:tr>
        <w:trPr>
          <w:cantSplit/>
        </w:trPr>
        <w:tc>
          <w:p>
            <w:pPr>
              <w:pStyle w:val="NormalinTable"/>
            </w:pPr>
            <w:r>
              <w:rPr>
                <w:b/>
              </w:rPr>
              <w:t>7404 00 10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 alloys</w:t>
              <!--//-->
            </w:r>
          </w:p>
        </w:tc>
      </w:tr>
      <w:tr>
        <w:trPr>
          <w:cantSplit/>
        </w:trPr>
        <w:tc>
          <w:p>
            <w:pPr>
              <w:pStyle w:val="NormalinTable"/>
            </w:pPr>
            <w:r>
              <w:rPr>
                <w:b/>
              </w:rPr>
              <w:t>7404 00 91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w:r>
          </w:p>
        </w:tc>
      </w:tr>
      <w:tr>
        <w:trPr>
          <w:cantSplit/>
        </w:trPr>
        <w:tc>
          <w:p>
            <w:pPr>
              <w:pStyle w:val="NormalinTable"/>
            </w:pPr>
            <w:r>
              <w:rPr>
                <w:b/>
              </w:rPr>
              <w:t>7404 00 99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
            </w:r>
          </w:p>
        </w:tc>
      </w:tr>
      <w:tr>
        <w:trPr>
          <w:cantSplit/>
        </w:trPr>
        <w:tc>
          <w:p>
            <w:pPr>
              <w:pStyle w:val="NormalinTable"/>
            </w:pPr>
            <w:r>
              <w:rPr>
                <w:b/>
              </w:rPr>
              <w:t>7406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
            </w:r>
          </w:p>
        </w:tc>
      </w:tr>
      <w:tr>
        <w:trPr>
          <w:cantSplit/>
        </w:trPr>
        <w:tc>
          <w:p>
            <w:pPr>
              <w:pStyle w:val="NormalinTable"/>
            </w:pPr>
            <w:r>
              <w:rPr>
                <w:b/>
              </w:rPr>
              <w:t>7406 10 00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 of non-lamellar structure</w:t>
              <!--//-->
            </w:r>
          </w:p>
        </w:tc>
      </w:tr>
      <w:tr>
        <w:trPr>
          <w:cantSplit/>
        </w:trPr>
        <w:tc>
          <w:p>
            <w:pPr>
              <w:pStyle w:val="NormalinTable"/>
            </w:pPr>
            <w:r>
              <w:rPr>
                <w:b/>
              </w:rPr>
              <w:t>7406 20 00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 of lamellar structure; flakes</w:t>
              <!--//-->
            </w:r>
          </w:p>
        </w:tc>
      </w:tr>
      <w:tr>
        <w:trPr>
          <w:cantSplit/>
        </w:trPr>
        <w:tc>
          <w:p>
            <w:pPr>
              <w:pStyle w:val="NormalinTable"/>
            </w:pPr>
            <w:r>
              <w:rPr>
                <w:b/>
              </w:rPr>
              <w:t>7407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
            </w:r>
          </w:p>
        </w:tc>
      </w:tr>
      <w:tr>
        <w:trPr>
          <w:cantSplit/>
        </w:trPr>
        <w:tc>
          <w:p>
            <w:pPr>
              <w:pStyle w:val="NormalinTable"/>
            </w:pPr>
            <w:r>
              <w:rPr>
                <w:b/>
              </w:rPr>
              <w:t>7407 10 00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 alloys</w:t>
              <!--//-->
            </w:r>
          </w:p>
        </w:tc>
      </w:tr>
      <w:tr>
        <w:trPr>
          <w:cantSplit/>
        </w:trPr>
        <w:tc>
          <w:p>
            <w:pPr>
              <w:pStyle w:val="NormalinTable"/>
            </w:pPr>
            <w:r>
              <w:rPr>
                <w:b/>
              </w:rPr>
              <w:t>7407 21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w:r>
          </w:p>
        </w:tc>
      </w:tr>
      <w:tr>
        <w:trPr>
          <w:cantSplit/>
        </w:trPr>
        <w:tc>
          <w:p>
            <w:pPr>
              <w:pStyle w:val="NormalinTable"/>
            </w:pPr>
            <w:r>
              <w:rPr>
                <w:b/>
              </w:rPr>
              <w:t>7407 21 10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
            </w:r>
          </w:p>
        </w:tc>
      </w:tr>
      <w:tr>
        <w:trPr>
          <w:cantSplit/>
        </w:trPr>
        <w:tc>
          <w:p>
            <w:pPr>
              <w:pStyle w:val="NormalinTable"/>
            </w:pPr>
            <w:r>
              <w:rPr>
                <w:b/>
              </w:rPr>
              <w:t>7407 21 90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
            </w:r>
          </w:p>
        </w:tc>
      </w:tr>
      <w:tr>
        <w:trPr>
          <w:cantSplit/>
        </w:trPr>
        <w:tc>
          <w:p>
            <w:pPr>
              <w:pStyle w:val="NormalinTable"/>
            </w:pPr>
            <w:r>
              <w:rPr>
                <w:b/>
              </w:rPr>
              <w:t>7407 29 00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7408 11 00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
            </w:r>
          </w:p>
        </w:tc>
      </w:tr>
      <w:tr>
        <w:trPr>
          <w:cantSplit/>
        </w:trPr>
        <w:tc>
          <w:p>
            <w:pPr>
              <w:pStyle w:val="NormalinTable"/>
            </w:pPr>
            <w:r>
              <w:rPr>
                <w:b/>
              </w:rPr>
              <w:t>7408 19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
            </w:r>
          </w:p>
        </w:tc>
      </w:tr>
      <w:tr>
        <w:trPr>
          <w:cantSplit/>
        </w:trPr>
        <w:tc>
          <w:p>
            <w:pPr>
              <w:pStyle w:val="NormalinTable"/>
            </w:pPr>
            <w:r>
              <w:rPr>
                <w:b/>
              </w:rPr>
              <w:t>7408 19 90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 alloys</w:t>
              <!--//-->
            </w:r>
          </w:p>
        </w:tc>
      </w:tr>
      <w:tr>
        <w:trPr>
          <w:cantSplit/>
        </w:trPr>
        <w:tc>
          <w:p>
            <w:pPr>
              <w:pStyle w:val="NormalinTable"/>
            </w:pPr>
            <w:r>
              <w:rPr>
                <w:b/>
              </w:rPr>
              <w:t>7408 21 00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w:r>
          </w:p>
        </w:tc>
      </w:tr>
      <w:tr>
        <w:trPr>
          <w:cantSplit/>
        </w:trPr>
        <w:tc>
          <w:p>
            <w:pPr>
              <w:pStyle w:val="NormalinTable"/>
            </w:pPr>
            <w:r>
              <w:rPr>
                <w:b/>
              </w:rPr>
              <w:t>7408 22 00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
            </w:r>
          </w:p>
        </w:tc>
      </w:tr>
      <w:tr>
        <w:trPr>
          <w:cantSplit/>
        </w:trPr>
        <w:tc>
          <w:p>
            <w:pPr>
              <w:pStyle w:val="NormalinTable"/>
            </w:pPr>
            <w:r>
              <w:rPr>
                <w:b/>
              </w:rPr>
              <w:t>7408 29 00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7409 11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w:r>
          </w:p>
        </w:tc>
      </w:tr>
      <w:tr>
        <w:trPr>
          <w:cantSplit/>
        </w:trPr>
        <w:tc>
          <w:p>
            <w:pPr>
              <w:pStyle w:val="NormalinTable"/>
            </w:pPr>
            <w:r>
              <w:rPr>
                <w:b/>
              </w:rPr>
              <w:t>7409 11 00 20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
            </w:r>
          </w:p>
        </w:tc>
      </w:tr>
      <w:tr>
        <w:trPr>
          <w:cantSplit/>
        </w:trPr>
        <w:tc>
          <w:p>
            <w:pPr>
              <w:pStyle w:val="NormalinTable"/>
            </w:pPr>
            <w:r>
              <w:rPr>
                <w:b/>
              </w:rPr>
              <w:t>7409 11 00 90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 with at least one layer of woven glass fibre, impregnated with a fire- retardant artificial or synthetic resin with a glass transition temperature (Tg) of more than 130 °C as measured according to IPC-TM-650, method 2.4.25, - coated on one or both sides with a copper film with a thickness of not more than 3,2 mm, and containing at least one of the following: - poly(tetrafluoroethylene) (CAS RN 9002-84-0) - poly(oxy-(2,6-dimethyl)-1,4-phenylene) (CAS RN 25134-01-4) - epoxy resin having a thermal expansion of not more than 10 ppm in length and width and not more than 25 ppm in height for use in the manufacture of circuit boards</w:t>
              <!--//-->
            </w:r>
          </w:p>
        </w:tc>
      </w:tr>
      <w:tr>
        <w:trPr>
          <w:cantSplit/>
        </w:trPr>
        <w:tc>
          <w:p>
            <w:pPr>
              <w:pStyle w:val="NormalinTable"/>
            </w:pPr>
            <w:r>
              <w:rPr>
                <w:b/>
              </w:rPr>
              <w:t>7409 19 00 20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consisting of - a layer of a silicon nitride ceramic with a thickness of 0,32 mm (± 0,1 mm) or more but not more than 1,0 mm (± 0,1 mm) , - covered on both sides with a foil of refined copper with a thickness of 0,8 mm (± 0,1 mm) and - on one side partially covered with a coating of silver </w:t>
              <!--//-->
            </w:r>
          </w:p>
        </w:tc>
      </w:tr>
      <w:tr>
        <w:trPr>
          <w:cantSplit/>
        </w:trPr>
        <w:tc>
          <w:p>
            <w:pPr>
              <w:pStyle w:val="NormalinTable"/>
            </w:pPr>
            <w:r>
              <w:rPr>
                <w:b/>
              </w:rPr>
              <w:t>7409 19 00 90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copper-zinc base alloys (brass)</w:t>
              <!--//-->
            </w:r>
          </w:p>
        </w:tc>
      </w:tr>
      <w:tr>
        <w:trPr>
          <w:cantSplit/>
        </w:trPr>
        <w:tc>
          <w:p>
            <w:pPr>
              <w:pStyle w:val="NormalinTable"/>
            </w:pPr>
            <w:r>
              <w:rPr>
                <w:b/>
              </w:rPr>
              <w:t>7409 21 00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w:r>
          </w:p>
        </w:tc>
      </w:tr>
      <w:tr>
        <w:trPr>
          <w:cantSplit/>
        </w:trPr>
        <w:tc>
          <w:p>
            <w:pPr>
              <w:pStyle w:val="NormalinTable"/>
            </w:pPr>
            <w:r>
              <w:rPr>
                <w:b/>
              </w:rPr>
              <w:t>7409 29 00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copper-tin base alloys (bronze)</w:t>
              <!--//-->
            </w:r>
          </w:p>
        </w:tc>
      </w:tr>
      <w:tr>
        <w:trPr>
          <w:cantSplit/>
        </w:trPr>
        <w:tc>
          <w:p>
            <w:pPr>
              <w:pStyle w:val="NormalinTable"/>
            </w:pPr>
            <w:r>
              <w:rPr>
                <w:b/>
              </w:rPr>
              <w:t>7409 31 00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w:r>
          </w:p>
        </w:tc>
      </w:tr>
      <w:tr>
        <w:trPr>
          <w:cantSplit/>
        </w:trPr>
        <w:tc>
          <w:p>
            <w:pPr>
              <w:pStyle w:val="NormalinTable"/>
            </w:pPr>
            <w:r>
              <w:rPr>
                <w:b/>
              </w:rPr>
              <w:t>7409 39 00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copper-nickel base alloys (cupro-nickel) or copper-nickel-zinc base alloys (nickel silver)</w:t>
              <!--//-->
            </w:r>
          </w:p>
        </w:tc>
      </w:tr>
      <w:tr>
        <w:trPr>
          <w:cantSplit/>
        </w:trPr>
        <w:tc>
          <w:p>
            <w:pPr>
              <w:pStyle w:val="NormalinTable"/>
            </w:pPr>
            <w:r>
              <w:rPr>
                <w:b/>
              </w:rPr>
              <w:t>7409 90 00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copper alloys</w:t>
              <!--//-->
            </w:r>
          </w:p>
        </w:tc>
      </w:tr>
      <w:tr>
        <w:trPr>
          <w:cantSplit/>
        </w:trPr>
        <w:tc>
          <w:p>
            <w:pPr>
              <w:pStyle w:val="NormalinTable"/>
            </w:pPr>
            <w:r>
              <w:rPr>
                <w:b/>
              </w:rPr>
              <w:t>7410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backed</w:t>
              <!--//-->
            </w:r>
          </w:p>
        </w:tc>
      </w:tr>
      <w:tr>
        <w:trPr>
          <w:cantSplit/>
        </w:trPr>
        <w:tc>
          <w:p>
            <w:pPr>
              <w:pStyle w:val="NormalinTable"/>
            </w:pPr>
            <w:r>
              <w:rPr>
                <w:b/>
              </w:rPr>
              <w:t>7410 11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
            </w:r>
          </w:p>
        </w:tc>
      </w:tr>
      <w:tr>
        <w:trPr>
          <w:cantSplit/>
        </w:trPr>
        <w:tc>
          <w:p>
            <w:pPr>
              <w:pStyle w:val="NormalinTable"/>
            </w:pPr>
            <w:r>
              <w:rPr>
                <w:b/>
              </w:rPr>
              <w:t>7410 11 00 10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 - a width of 610 mm or more but not more than 620 mm, and - a diameter of 690 mm or more but not more than 710 mm, for use in the manufacture of lithium-ion electric rechargeable batteries</w:t>
              <!--//-->
            </w:r>
          </w:p>
        </w:tc>
      </w:tr>
      <w:tr>
        <w:trPr>
          <w:cantSplit/>
        </w:trPr>
        <w:tc>
          <w:p>
            <w:pPr>
              <w:pStyle w:val="NormalinTable"/>
            </w:pPr>
            <w:r>
              <w:rPr>
                <w:b/>
              </w:rPr>
              <w:t>7410 11 00 30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
            </w:r>
          </w:p>
        </w:tc>
      </w:tr>
      <w:tr>
        <w:trPr>
          <w:cantSplit/>
        </w:trPr>
        <w:tc>
          <w:p>
            <w:pPr>
              <w:pStyle w:val="NormalinTable"/>
            </w:pPr>
            <w:r>
              <w:rPr>
                <w:b/>
              </w:rPr>
              <w:t>7410 11 00 90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Backed</w:t>
              <!--//-->
            </w:r>
          </w:p>
        </w:tc>
      </w:tr>
      <w:tr>
        <w:trPr>
          <w:cantSplit/>
        </w:trPr>
        <w:tc>
          <w:p>
            <w:pPr>
              <w:pStyle w:val="NormalinTable"/>
            </w:pPr>
            <w:r>
              <w:rPr>
                <w:b/>
              </w:rPr>
              <w:t>7410 21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
            </w:r>
          </w:p>
        </w:tc>
      </w:tr>
      <w:tr>
        <w:trPr>
          <w:cantSplit/>
        </w:trPr>
        <w:tc>
          <w:p>
            <w:pPr>
              <w:pStyle w:val="NormalinTable"/>
            </w:pPr>
            <w:r>
              <w:rPr>
                <w:b/>
              </w:rPr>
              <w:t>7410 21 00 10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 of polytetrafluoroethylene, containing aluminium oxide or titanium dioxide as filler or reinforced with glass-fibre fabric, covered on both sides with copper foil</w:t>
              <!--//-->
            </w:r>
          </w:p>
        </w:tc>
      </w:tr>
      <w:tr>
        <w:trPr>
          <w:cantSplit/>
        </w:trPr>
        <w:tc>
          <w:p>
            <w:pPr>
              <w:pStyle w:val="NormalinTable"/>
            </w:pPr>
            <w:r>
              <w:rPr>
                <w:b/>
              </w:rPr>
              <w:t>7410 21 00 30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polyimide, whether or not containing epoxide resin and/or glass fibre, covered on one side or on both sides with a copper foil</w:t>
              <!--//-->
            </w:r>
          </w:p>
        </w:tc>
      </w:tr>
      <w:tr>
        <w:trPr>
          <w:cantSplit/>
        </w:trPr>
        <w:tc>
          <w:p>
            <w:pPr>
              <w:pStyle w:val="NormalinTable"/>
            </w:pPr>
            <w:r>
              <w:rPr>
                <w:b/>
              </w:rPr>
              <w:t>7410 21 00 40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plates:
- consisting of at least a central layer of paper or one central sheet of any type of nonwoven fibre, laminated on each side with glass-fibre fabric and impregnated with epoxide resin, or
- consisting of multiple layers of paper, impregnated with phenolic resin,
coated on one or both sides with a copper film with a maximum thickness of 0,15 mm</w:t>
              <!--//-->
            </w:r>
          </w:p>
        </w:tc>
      </w:tr>
      <w:tr>
        <w:trPr>
          <w:cantSplit/>
        </w:trPr>
        <w:tc>
          <w:p>
            <w:pPr>
              <w:pStyle w:val="NormalinTable"/>
            </w:pPr>
            <w:r>
              <w:rPr>
                <w:b/>
              </w:rPr>
              <w:t>7410 21 00 50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 consisting of at least one layer of fibreglass fabric impregnated with epoxide resin,
- covered on one or both sides with copper foilwith a thickness of not more than 0,15mm and
- with a dielectric constant (DK) of less than 3,9 and a loss factor (Df) of less than 0,015 at a measuring frequency of 10GHz, as measured according to IPC-TM-650
</w:t>
              <!--//-->
            </w:r>
          </w:p>
        </w:tc>
      </w:tr>
      <w:tr>
        <w:trPr>
          <w:cantSplit/>
        </w:trPr>
        <w:tc>
          <w:p>
            <w:pPr>
              <w:pStyle w:val="NormalinTable"/>
            </w:pPr>
            <w:r>
              <w:rPr>
                <w:b/>
              </w:rPr>
              <w:t>7410 21 00 55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 consisting of at least one layer of fibreglass fabric impregnated with epoxide resin,
- covered on one or both sides with copper foil with a thickness of not more than 0,15 mm,
- with a dielectric constant (DK) of less than 5,4 at 1 MHz, as measured according to IPC-TM-650 2.5.5.2,
- with a loss tangent of less than 0,035 at 1 MHz, as measured according to IPC-TM-650 2.5.5.2,
- with a comparative tracking index (CTI) of 600 or more</w:t>
              <!--//-->
            </w:r>
          </w:p>
        </w:tc>
      </w:tr>
      <w:tr>
        <w:trPr>
          <w:cantSplit/>
        </w:trPr>
        <w:tc>
          <w:p>
            <w:pPr>
              <w:pStyle w:val="NormalinTable"/>
            </w:pPr>
            <w:r>
              <w:rPr>
                <w:b/>
              </w:rPr>
              <w:t>7410 21 00 60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rolls and sheets of synthetic or artificial resin:
- with a maximum thickness of not more than 25µm,
- coated on both sides with a copper film with a maximum thickness of 0,15 mm,
- with a minimum capacitance of 1,09pF/mm$2,
for use in the manufacture of circuit boards</w:t>
              <!--//-->
            </w:r>
          </w:p>
        </w:tc>
      </w:tr>
      <w:tr>
        <w:trPr>
          <w:cantSplit/>
        </w:trPr>
        <w:tc>
          <w:p>
            <w:pPr>
              <w:pStyle w:val="NormalinTable"/>
            </w:pPr>
            <w:r>
              <w:rPr>
                <w:b/>
              </w:rPr>
              <w:t>7410 21 00 70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 with at least one layer of woven glass fibre, impregnated with a fire- retardant artificial or synthetic resin with a glass transition temperature (Tg) of more than 130 °C as measured according to IPC-TM-650, method 2.4.25, - coated on one or both sides with a copper film with a thickness of not more than 3,2 mm, and containing at least one of the following: - poly(tetrafluoroethylene) (CAS RN 9002-84-0) - poly(oxy-(2,6-dimethyl)-1,4-phenylene) (CAS RN 25134-01-4) - epoxy resin having a thermal expansion of not more than 10 ppm in length and width and not more than 25 ppm in height for use in the manufacture of circuit boards</w:t>
              <!--//-->
            </w:r>
          </w:p>
        </w:tc>
      </w:tr>
      <w:tr>
        <w:trPr>
          <w:cantSplit/>
        </w:trPr>
        <w:tc>
          <w:p>
            <w:pPr>
              <w:pStyle w:val="NormalinTable"/>
            </w:pPr>
            <w:r>
              <w:rPr>
                <w:b/>
              </w:rPr>
              <w:t>7410 21 00 90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
            </w:r>
          </w:p>
        </w:tc>
      </w:tr>
      <w:tr>
        <w:trPr>
          <w:cantSplit/>
        </w:trPr>
        <w:tc>
          <w:p>
            <w:pPr>
              <w:pStyle w:val="NormalinTable"/>
            </w:pPr>
            <w:r>
              <w:rPr>
                <w:b/>
              </w:rPr>
              <w:t>7411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
            </w:r>
          </w:p>
        </w:tc>
      </w:tr>
      <w:tr>
        <w:trPr>
          <w:cantSplit/>
        </w:trPr>
        <w:tc>
          <w:p>
            <w:pPr>
              <w:pStyle w:val="NormalinTable"/>
            </w:pPr>
            <w:r>
              <w:rPr>
                <w:b/>
              </w:rPr>
              <w:t>7411 10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7411 10 10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
            </w:r>
          </w:p>
        </w:tc>
      </w:tr>
      <w:tr>
        <w:trPr>
          <w:cantSplit/>
        </w:trPr>
        <w:tc>
          <w:p>
            <w:pPr>
              <w:pStyle w:val="NormalinTable"/>
            </w:pPr>
            <w:r>
              <w:rPr>
                <w:b/>
              </w:rPr>
              <w:t>7411 10 90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 alloys</w:t>
              <!--//-->
            </w:r>
          </w:p>
        </w:tc>
      </w:tr>
      <w:tr>
        <w:trPr>
          <w:cantSplit/>
        </w:trPr>
        <w:tc>
          <w:p>
            <w:pPr>
              <w:pStyle w:val="NormalinTable"/>
            </w:pPr>
            <w:r>
              <w:rPr>
                <w:b/>
              </w:rPr>
              <w:t>7411 21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w:r>
          </w:p>
        </w:tc>
      </w:tr>
      <w:tr>
        <w:trPr>
          <w:cantSplit/>
        </w:trPr>
        <w:tc>
          <w:p>
            <w:pPr>
              <w:pStyle w:val="NormalinTable"/>
            </w:pPr>
            <w:r>
              <w:rPr>
                <w:b/>
              </w:rPr>
              <w:t>7411 21 10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
            </w:r>
          </w:p>
        </w:tc>
      </w:tr>
      <w:tr>
        <w:trPr>
          <w:cantSplit/>
        </w:trPr>
        <w:tc>
          <w:p>
            <w:pPr>
              <w:pStyle w:val="NormalinTable"/>
            </w:pPr>
            <w:r>
              <w:rPr>
                <w:b/>
              </w:rPr>
              <w:t>7411 21 90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
            </w:r>
          </w:p>
        </w:tc>
      </w:tr>
      <w:tr>
        <w:trPr>
          <w:cantSplit/>
        </w:trPr>
        <w:tc>
          <w:p>
            <w:pPr>
              <w:pStyle w:val="NormalinTable"/>
            </w:pPr>
            <w:r>
              <w:rPr>
                <w:b/>
              </w:rPr>
              <w:t>7411 29 00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
            </w:r>
          </w:p>
        </w:tc>
      </w:tr>
      <w:tr>
        <w:trPr>
          <w:cantSplit/>
        </w:trPr>
        <w:tc>
          <w:p>
            <w:pPr>
              <w:pStyle w:val="NormalinTable"/>
            </w:pPr>
            <w:r>
              <w:rPr>
                <w:b/>
              </w:rPr>
              <w:t>7412 10 00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7412 20 00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 alloys</w:t>
              <!--//-->
            </w:r>
          </w:p>
        </w:tc>
      </w:tr>
      <w:tr>
        <w:trPr>
          <w:cantSplit/>
        </w:trPr>
        <w:tc>
          <w:p>
            <w:pPr>
              <w:pStyle w:val="NormalinTable"/>
            </w:pPr>
            <w:r>
              <w:rPr>
                <w:b/>
              </w:rPr>
              <w:t>7413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
            </w:r>
          </w:p>
        </w:tc>
      </w:tr>
      <w:tr>
        <w:trPr>
          <w:cantSplit/>
        </w:trPr>
        <w:tc>
          <w:p>
            <w:pPr>
              <w:pStyle w:val="NormalinTable"/>
            </w:pPr>
            <w:r>
              <w:rPr>
                <w:b/>
              </w:rPr>
              <w:t>7413 00 00 10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fittings attached, for use in civil aircraft</w:t>
              <!--//-->
            </w:r>
          </w:p>
        </w:tc>
      </w:tr>
      <w:tr>
        <w:trPr>
          <w:cantSplit/>
        </w:trPr>
        <w:tc>
          <w:p>
            <w:pPr>
              <w:pStyle w:val="NormalinTable"/>
            </w:pPr>
            <w:r>
              <w:rPr>
                <w:b/>
              </w:rPr>
              <w:t>7413 00 00 20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Loudspeaker centering ring, consisting of one or more vibration dampers and minimum 2 non-insulated copper cables, therein woven or pressed of the kind used in car loudspeakers</w:t>
              <!--//-->
            </w:r>
          </w:p>
        </w:tc>
      </w:tr>
      <w:tr>
        <w:trPr>
          <w:cantSplit/>
        </w:trPr>
        <w:tc>
          <w:p>
            <w:pPr>
              <w:pStyle w:val="NormalinTable"/>
            </w:pPr>
            <w:r>
              <w:rPr>
                <w:b/>
              </w:rPr>
              <w:t>7413 00 00 90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
            </w:r>
          </w:p>
        </w:tc>
      </w:tr>
      <w:tr>
        <w:trPr>
          <w:cantSplit/>
        </w:trPr>
        <w:tc>
          <w:p>
            <w:pPr>
              <w:pStyle w:val="NormalinTable"/>
            </w:pPr>
            <w:r>
              <w:rPr>
                <w:b/>
              </w:rPr>
              <w:t>7415 10 00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Nails and tacks, drawing pins, staples and similar articles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articles, not threaded</w:t>
              <!--//-->
            </w:r>
          </w:p>
        </w:tc>
      </w:tr>
      <w:tr>
        <w:trPr>
          <w:cantSplit/>
        </w:trPr>
        <w:tc>
          <w:p>
            <w:pPr>
              <w:pStyle w:val="NormalinTable"/>
            </w:pPr>
            <w:r>
              <w:rPr>
                <w:b/>
              </w:rPr>
              <w:t>7415 21 00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
            </w:r>
          </w:p>
        </w:tc>
      </w:tr>
      <w:tr>
        <w:trPr>
          <w:cantSplit/>
        </w:trPr>
        <w:tc>
          <w:p>
            <w:pPr>
              <w:pStyle w:val="NormalinTable"/>
            </w:pPr>
            <w:r>
              <w:rPr>
                <w:b/>
              </w:rPr>
              <w:t>7415 29 00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threaded articles</w:t>
              <!--//-->
            </w:r>
          </w:p>
        </w:tc>
      </w:tr>
      <w:tr>
        <w:trPr>
          <w:cantSplit/>
        </w:trPr>
        <w:tc>
          <w:p>
            <w:pPr>
              <w:pStyle w:val="NormalinTable"/>
            </w:pPr>
            <w:r>
              <w:rPr>
                <w:b/>
              </w:rPr>
              <w:t>7415 33 00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
            </w:r>
          </w:p>
        </w:tc>
      </w:tr>
      <w:tr>
        <w:trPr>
          <w:cantSplit/>
        </w:trPr>
        <w:tc>
          <w:p>
            <w:pPr>
              <w:pStyle w:val="NormalinTable"/>
            </w:pPr>
            <w:r>
              <w:rPr>
                <w:b/>
              </w:rPr>
              <w:t>7415 39 00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
            </w:r>
          </w:p>
        </w:tc>
      </w:tr>
      <w:tr>
        <w:trPr>
          <w:cantSplit/>
        </w:trPr>
        <w:tc>
          <w:p>
            <w:pPr>
              <w:pStyle w:val="NormalinTable"/>
            </w:pPr>
            <w:r>
              <w:rPr>
                <w:b/>
              </w:rPr>
              <w:t>7418 10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 kitchen or other household articles and parts thereof; pot scourers and scouring or polishing pads, gloves and the like</w:t>
              <!--//-->
            </w:r>
          </w:p>
        </w:tc>
      </w:tr>
      <w:tr>
        <w:trPr>
          <w:cantSplit/>
        </w:trPr>
        <w:tc>
          <w:p>
            <w:pPr>
              <w:pStyle w:val="NormalinTable"/>
            </w:pPr>
            <w:r>
              <w:rPr>
                <w:b/>
              </w:rPr>
              <w:t>7418 10 10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
            </w:r>
          </w:p>
        </w:tc>
      </w:tr>
      <w:tr>
        <w:trPr>
          <w:cantSplit/>
        </w:trPr>
        <w:tc>
          <w:p>
            <w:pPr>
              <w:pStyle w:val="NormalinTable"/>
            </w:pPr>
            <w:r>
              <w:rPr>
                <w:b/>
              </w:rPr>
              <w:t>7418 10 90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7418 10 90 90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Sanitary ware and parts thereof</w:t>
              <!--//-->
            </w:r>
          </w:p>
        </w:tc>
      </w:tr>
      <w:tr>
        <w:trPr>
          <w:cantSplit/>
        </w:trPr>
        <w:tc>
          <w:p>
            <w:pPr>
              <w:pStyle w:val="NormalinTable"/>
            </w:pPr>
            <w:r>
              <w:rPr>
                <w:b/>
              </w:rPr>
              <w:t>7418 20 00 10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7418 20 00 90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
            </w:r>
          </w:p>
        </w:tc>
      </w:tr>
      <w:tr>
        <w:trPr>
          <w:cantSplit/>
        </w:trPr>
        <w:tc>
          <w:p>
            <w:pPr>
              <w:pStyle w:val="NormalinTable"/>
            </w:pPr>
            <w:r>
              <w:rPr>
                <w:b/>
              </w:rPr>
              <w:t>7419 10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Chain and parts thereof</w:t>
              <!--//-->
            </w:r>
          </w:p>
        </w:tc>
      </w:tr>
      <w:tr>
        <w:trPr>
          <w:cantSplit/>
        </w:trPr>
        <w:tc>
          <w:p>
            <w:pPr>
              <w:pStyle w:val="NormalinTable"/>
            </w:pPr>
            <w:r>
              <w:rPr>
                <w:b/>
              </w:rPr>
              <w:t>7419 10 00 10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7419 10 00 90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7419 91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
            </w:r>
          </w:p>
        </w:tc>
      </w:tr>
      <w:tr>
        <w:trPr>
          <w:cantSplit/>
        </w:trPr>
        <w:tc>
          <w:p>
            <w:pPr>
              <w:pStyle w:val="NormalinTable"/>
            </w:pPr>
            <w:r>
              <w:rPr>
                <w:b/>
              </w:rPr>
              <w:t>7419 91 00 10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7419 91 00 90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7419 99 10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
            </w:r>
          </w:p>
        </w:tc>
      </w:tr>
      <w:tr>
        <w:trPr>
          <w:cantSplit/>
        </w:trPr>
        <w:tc>
          <w:p>
            <w:pPr>
              <w:pStyle w:val="NormalinTable"/>
            </w:pPr>
            <w:r>
              <w:rPr>
                <w:b/>
              </w:rPr>
              <w:t>7419 99 30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
            </w:r>
          </w:p>
        </w:tc>
      </w:tr>
      <w:tr>
        <w:trPr>
          <w:cantSplit/>
        </w:trPr>
        <w:tc>
          <w:p>
            <w:pPr>
              <w:pStyle w:val="NormalinTable"/>
            </w:pPr>
            <w:r>
              <w:rPr>
                <w:b/>
              </w:rPr>
              <w:t>7419 99 90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7419 99 90 10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7419 99 90 91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
- containing 1mg/kg or less of sodium and
- mounted on a copper or aluminium support
</w:t>
              <!--//-->
            </w:r>
          </w:p>
        </w:tc>
      </w:tr>
      <w:tr>
        <w:trPr>
          <w:cantSplit/>
        </w:trPr>
        <w:tc>
          <w:p>
            <w:pPr>
              <w:pStyle w:val="NormalinTable"/>
            </w:pPr>
            <w:r>
              <w:rPr>
                <w:b/>
              </w:rPr>
              <w:t>7419 99 90 99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