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F6375" w14:textId="77777777" w:rsidR="0062142B" w:rsidRDefault="00000000">
      <w:pPr>
        <w:spacing w:after="100"/>
        <w:jc w:val="center"/>
      </w:pPr>
      <w:r>
        <w:rPr>
          <w:b/>
          <w:bCs/>
          <w:sz w:val="32"/>
          <w:szCs w:val="32"/>
        </w:rPr>
        <w:t>STATEMENT OF WORK No. 01</w:t>
      </w:r>
    </w:p>
    <w:p w14:paraId="65D76D6C" w14:textId="77777777" w:rsidR="0062142B" w:rsidRDefault="00000000">
      <w:pPr>
        <w:spacing w:after="100"/>
        <w:jc w:val="center"/>
      </w:pPr>
      <w:r>
        <w:rPr>
          <w:b/>
          <w:bCs/>
          <w:sz w:val="26"/>
          <w:szCs w:val="26"/>
        </w:rPr>
        <w:t>Phase 0: Technology &amp; Operations Audit</w:t>
      </w:r>
    </w:p>
    <w:p w14:paraId="148DB3FC" w14:textId="77777777" w:rsidR="0062142B" w:rsidRDefault="00000000">
      <w:pPr>
        <w:spacing w:after="400"/>
        <w:jc w:val="center"/>
      </w:pPr>
      <w:r>
        <w:rPr>
          <w:color w:val="666666"/>
        </w:rPr>
        <w:t>[FitStack AI / LVAC]</w:t>
      </w:r>
    </w:p>
    <w:p w14:paraId="1B3E85AB" w14:textId="77777777" w:rsidR="0062142B" w:rsidRDefault="00000000">
      <w:pPr>
        <w:spacing w:after="200" w:line="276" w:lineRule="auto"/>
      </w:pPr>
      <w:r>
        <w:t>This Statement of Work No. 01 (</w:t>
      </w:r>
      <w:r>
        <w:rPr>
          <w:b/>
          <w:bCs/>
        </w:rPr>
        <w:t>“SOW No. 01”</w:t>
      </w:r>
      <w:r>
        <w:t xml:space="preserve">), effective as of __________, 2026 (the </w:t>
      </w:r>
      <w:r>
        <w:rPr>
          <w:b/>
          <w:bCs/>
        </w:rPr>
        <w:t>“SOW Effective Date”</w:t>
      </w:r>
      <w:r>
        <w:t xml:space="preserve">), by and between </w:t>
      </w:r>
      <w:r>
        <w:rPr>
          <w:b/>
          <w:bCs/>
        </w:rPr>
        <w:t>MDM Venture Labs LLC</w:t>
      </w:r>
      <w:r>
        <w:t xml:space="preserve">, d/b/a FitStack AI (the </w:t>
      </w:r>
      <w:r>
        <w:rPr>
          <w:b/>
          <w:bCs/>
        </w:rPr>
        <w:t>“Company”</w:t>
      </w:r>
      <w:r>
        <w:t xml:space="preserve">) and </w:t>
      </w:r>
      <w:r>
        <w:rPr>
          <w:b/>
          <w:bCs/>
        </w:rPr>
        <w:t>Las Vegas Athletic Clubs</w:t>
      </w:r>
      <w:r>
        <w:t xml:space="preserve"> [legal entity name] (the </w:t>
      </w:r>
      <w:r>
        <w:rPr>
          <w:b/>
          <w:bCs/>
        </w:rPr>
        <w:t>“Client”</w:t>
      </w:r>
      <w:r>
        <w:t xml:space="preserve"> or </w:t>
      </w:r>
      <w:r>
        <w:rPr>
          <w:b/>
          <w:bCs/>
        </w:rPr>
        <w:t>“LVAC”</w:t>
      </w:r>
      <w:r>
        <w:t xml:space="preserve">), is executed pursuant to and as part of that certain Master Services Agreement, dated as of __________, 2026, by and between Company and Client (as may be amended, supplemented, or otherwise modified from time to time, the </w:t>
      </w:r>
      <w:r>
        <w:rPr>
          <w:b/>
          <w:bCs/>
        </w:rPr>
        <w:t>“Agreement”</w:t>
      </w:r>
      <w:r>
        <w:t>). All capitalized terms used but not defined herein shall have the meaning ascribed thereto in the Agreement. Each of Company and Client may be referred to herein as a “Party” and collectively as the “Parties.” Company and Client agree as follows:</w:t>
      </w:r>
    </w:p>
    <w:p w14:paraId="489AB0A9" w14:textId="77777777" w:rsidR="0062142B" w:rsidRDefault="00000000">
      <w:pPr>
        <w:spacing w:before="360" w:after="200"/>
      </w:pPr>
      <w:r>
        <w:rPr>
          <w:b/>
          <w:bCs/>
          <w:sz w:val="24"/>
          <w:szCs w:val="24"/>
        </w:rPr>
        <w:t>1. Project Overview</w:t>
      </w:r>
    </w:p>
    <w:p w14:paraId="71781E6E" w14:textId="77777777" w:rsidR="0062142B" w:rsidRDefault="00000000">
      <w:pPr>
        <w:spacing w:after="200" w:line="276" w:lineRule="auto"/>
      </w:pPr>
      <w:r>
        <w:t>This SOW No. 01 governs the first phase of a strategic engagement designed to provide LVAC with an independent, expert assessment of its current technology landscape, business operations, and systems architecture. The Company will conduct a focused technology and operations audit to evaluate LVAC’s existing platform, identify gaps and risks, and deliver actionable findings and recommendations.</w:t>
      </w:r>
    </w:p>
    <w:p w14:paraId="28345667" w14:textId="77777777" w:rsidR="0062142B" w:rsidRDefault="00000000">
      <w:pPr>
        <w:spacing w:after="200" w:line="276" w:lineRule="auto"/>
      </w:pPr>
      <w:r>
        <w:t>LVAC operates on a custom-built C#/SQL membership and billing platform developed over approximately 20 years. The organization is at a strategic crossroads regarding this platform — whether to continue investing in the existing system, rebuild, or migrate to a third-party solution. This audit will provide the clarity and data-driven analysis needed to make that decision with confidence.</w:t>
      </w:r>
    </w:p>
    <w:p w14:paraId="7AE36B3B" w14:textId="77777777" w:rsidR="0062142B" w:rsidRDefault="00000000">
      <w:pPr>
        <w:spacing w:after="200" w:line="276" w:lineRule="auto"/>
      </w:pPr>
      <w:r>
        <w:t>Key areas of focus include: the online join flow conversion rate (currently losing an estimated 80–85% of prospects before completion); annual fee defaults and AR reconciliation; IT bandwidth and strategic direction; and the build vs. buy vs. invest decision on the core platform.</w:t>
      </w:r>
    </w:p>
    <w:p w14:paraId="0195B105" w14:textId="77777777" w:rsidR="0062142B" w:rsidRDefault="00000000">
      <w:pPr>
        <w:spacing w:after="200" w:line="276" w:lineRule="auto"/>
      </w:pPr>
      <w:r>
        <w:t>This SOW No. 01 is limited to the Phase 0 Audit and Discovery. The Parties acknowledge that the findings of this audit may inform a future advisory engagement, the scope and terms of which would be governed by a separate SOW if mutually agreed upon.</w:t>
      </w:r>
    </w:p>
    <w:p w14:paraId="66B4C696" w14:textId="77777777" w:rsidR="0062142B" w:rsidRDefault="00000000">
      <w:pPr>
        <w:spacing w:before="360" w:after="200"/>
      </w:pPr>
      <w:r>
        <w:rPr>
          <w:b/>
          <w:bCs/>
          <w:sz w:val="24"/>
          <w:szCs w:val="24"/>
        </w:rPr>
        <w:t>2. Overview of Services</w:t>
      </w:r>
    </w:p>
    <w:p w14:paraId="4033440E" w14:textId="77777777" w:rsidR="0062142B" w:rsidRDefault="00000000">
      <w:pPr>
        <w:spacing w:after="200" w:line="276" w:lineRule="auto"/>
      </w:pPr>
      <w:r>
        <w:t>During the SOW No. 01 Term (defined below), the Company and Client will be responsible for the following:</w:t>
      </w:r>
    </w:p>
    <w:p w14:paraId="09C6B10B" w14:textId="77777777" w:rsidR="0062142B" w:rsidRDefault="00000000">
      <w:pPr>
        <w:spacing w:after="200" w:line="276" w:lineRule="auto"/>
        <w:ind w:left="720"/>
      </w:pPr>
      <w:r>
        <w:t>(a) The Company shall provide technology and operations audit services, including systems review, stakeholder engagement, and strategic analysis as further set out in Appendix A attached hereto.</w:t>
      </w:r>
    </w:p>
    <w:p w14:paraId="2682B250" w14:textId="77777777" w:rsidR="0062142B" w:rsidRDefault="00000000">
      <w:pPr>
        <w:spacing w:after="200" w:line="276" w:lineRule="auto"/>
        <w:ind w:left="720"/>
      </w:pPr>
      <w:r>
        <w:lastRenderedPageBreak/>
        <w:t>(b) The Company shall deliver the Work Product as set forth herein and in any Appendix hereto, including but not limited to a presentation of findings, recommendations, and key decisions to the Client.</w:t>
      </w:r>
    </w:p>
    <w:p w14:paraId="7EFF6D31" w14:textId="77777777" w:rsidR="0062142B" w:rsidRDefault="00000000">
      <w:pPr>
        <w:spacing w:after="200" w:line="276" w:lineRule="auto"/>
        <w:ind w:left="720"/>
      </w:pPr>
      <w:r>
        <w:t>(c) The Company shall be available for high-level strategic advisory discussions related to the findings of the Phase 0 Audit during the term of this SOW. Any requests for implementation support, detailed system design, vendor selection, or execution assistance shall be considered out of scope and require a separate SOW or written change order.</w:t>
      </w:r>
    </w:p>
    <w:p w14:paraId="280CF19B" w14:textId="77777777" w:rsidR="0062142B" w:rsidRDefault="00000000">
      <w:pPr>
        <w:spacing w:after="200" w:line="276" w:lineRule="auto"/>
        <w:ind w:left="720"/>
      </w:pPr>
      <w:r>
        <w:t>(d) The Client shall appoint one Client representative as a primary point of contact who shall be reasonably available to the Company. A delay in communication or execution of requests may result in a delay in the timelines outlined herein.</w:t>
      </w:r>
    </w:p>
    <w:p w14:paraId="139D8414" w14:textId="77777777" w:rsidR="0062142B" w:rsidRDefault="00000000">
      <w:pPr>
        <w:spacing w:after="200" w:line="276" w:lineRule="auto"/>
        <w:ind w:left="720"/>
      </w:pPr>
      <w:r>
        <w:t>(e) Any required technology, systems access, or data required for the completion of the Services shall be provided by the Client in a timely manner. The Parties will collaborate on the best approach, with recommendations from the Company.</w:t>
      </w:r>
    </w:p>
    <w:p w14:paraId="1CE0B2A8" w14:textId="77777777" w:rsidR="0062142B" w:rsidRDefault="00000000">
      <w:pPr>
        <w:spacing w:after="200" w:line="276" w:lineRule="auto"/>
        <w:ind w:left="720"/>
      </w:pPr>
      <w:r>
        <w:t>(f) The Company will maintain clear, timely communication, including response to Client inquiries within two (2) business days.</w:t>
      </w:r>
    </w:p>
    <w:p w14:paraId="7332A421" w14:textId="77777777" w:rsidR="0062142B" w:rsidRDefault="00000000">
      <w:pPr>
        <w:spacing w:after="200" w:line="276" w:lineRule="auto"/>
        <w:ind w:left="720"/>
      </w:pPr>
      <w:r>
        <w:t xml:space="preserve">(g) </w:t>
      </w:r>
      <w:r>
        <w:rPr>
          <w:b/>
          <w:bCs/>
        </w:rPr>
        <w:t xml:space="preserve">Out of Scope. </w:t>
      </w:r>
      <w:r>
        <w:t>The Services under this SOW No. 01 are limited to assessment, analysis, and strategic recommendations. This SOW does not include implementation, system configuration, software development, data migration, remediation, or operational execution of any recommendations. Any such services shall require a separate Statement of Work executed by both Parties.</w:t>
      </w:r>
    </w:p>
    <w:p w14:paraId="78CF82AA" w14:textId="77777777" w:rsidR="0062142B" w:rsidRDefault="00000000">
      <w:pPr>
        <w:spacing w:after="200" w:line="276" w:lineRule="auto"/>
        <w:ind w:left="720"/>
      </w:pPr>
      <w:r>
        <w:t xml:space="preserve">(h) </w:t>
      </w:r>
      <w:r>
        <w:rPr>
          <w:b/>
          <w:bCs/>
        </w:rPr>
        <w:t xml:space="preserve">Decision Ownership. </w:t>
      </w:r>
      <w:r>
        <w:t>The Parties acknowledge that the Company’s role under this SOW is advisory in nature. All final business, technical, financial, security, and operational decisions remain solely with the Client. The Client assumes full responsibility for any actions taken based on the findings or recommendations provided under this SOW.</w:t>
      </w:r>
    </w:p>
    <w:p w14:paraId="4BD4BD8D" w14:textId="77777777" w:rsidR="0062142B" w:rsidRDefault="00000000">
      <w:pPr>
        <w:spacing w:before="360" w:after="200"/>
      </w:pPr>
      <w:r>
        <w:rPr>
          <w:b/>
          <w:bCs/>
          <w:sz w:val="24"/>
          <w:szCs w:val="24"/>
        </w:rPr>
        <w:t>3. Team Resources</w:t>
      </w:r>
    </w:p>
    <w:p w14:paraId="3B78A590" w14:textId="77777777" w:rsidR="0062142B" w:rsidRDefault="00000000">
      <w:pPr>
        <w:spacing w:after="200" w:line="276" w:lineRule="auto"/>
      </w:pPr>
      <w:r>
        <w:t xml:space="preserve">The Services under this SOW No. 01 will be performed by </w:t>
      </w:r>
      <w:r>
        <w:rPr>
          <w:b/>
          <w:bCs/>
        </w:rPr>
        <w:t>Matt Masteller</w:t>
      </w:r>
      <w:r>
        <w:t>, Managing Member of MDM Venture Labs LLC d/b/a FitStack AI, serving as the lead consultant. Mr. Masteller brings 25+ years of experience in fitness industry technology, including building and operating membership and billing platforms on the C#/SQL stack, CPA credentials, and deep domain expertise in the specific challenges LVAC faces.</w:t>
      </w:r>
    </w:p>
    <w:p w14:paraId="1E7448E6" w14:textId="77777777" w:rsidR="0062142B" w:rsidRDefault="00000000">
      <w:pPr>
        <w:spacing w:after="200" w:line="276" w:lineRule="auto"/>
      </w:pPr>
      <w:r>
        <w:t>Should additional resources be required beyond the scope of this SOW, the Company shall notify the Client and obtain prior written approval before engaging any additional personnel. Any such resources would be billed at the rates set forth in Appendix B.</w:t>
      </w:r>
    </w:p>
    <w:p w14:paraId="6E1D733F" w14:textId="77777777" w:rsidR="0062142B" w:rsidRDefault="00000000">
      <w:pPr>
        <w:spacing w:before="360" w:after="200"/>
      </w:pPr>
      <w:r>
        <w:rPr>
          <w:b/>
          <w:bCs/>
          <w:sz w:val="24"/>
          <w:szCs w:val="24"/>
        </w:rPr>
        <w:t>4. Deliverables / Work Product</w:t>
      </w:r>
    </w:p>
    <w:p w14:paraId="7ADB33F7" w14:textId="77777777" w:rsidR="0062142B" w:rsidRDefault="00000000">
      <w:pPr>
        <w:spacing w:after="200" w:line="276" w:lineRule="auto"/>
      </w:pPr>
      <w:r>
        <w:lastRenderedPageBreak/>
        <w:t>The defined Work Product for the Phase 0 Audit and Discovery shall include the following findings and recommendations, compiled into a final audit report (the “Deck”):</w:t>
      </w:r>
    </w:p>
    <w:p w14:paraId="46658324" w14:textId="77777777" w:rsidR="0062142B" w:rsidRDefault="00000000">
      <w:pPr>
        <w:pStyle w:val="ListParagraph"/>
        <w:numPr>
          <w:ilvl w:val="0"/>
          <w:numId w:val="2"/>
        </w:numPr>
        <w:spacing w:after="120" w:line="276" w:lineRule="auto"/>
      </w:pPr>
      <w:r>
        <w:rPr>
          <w:b/>
          <w:bCs/>
        </w:rPr>
        <w:t xml:space="preserve">Technology Stack Assessment </w:t>
      </w:r>
      <w:r>
        <w:t>— Comprehensive review of LVAC’s current systems, architecture, integrations, and data flows, including the core C#/SQL membership and billing platform.</w:t>
      </w:r>
    </w:p>
    <w:p w14:paraId="3F64D205" w14:textId="77777777" w:rsidR="0062142B" w:rsidRDefault="00000000">
      <w:pPr>
        <w:pStyle w:val="ListParagraph"/>
        <w:numPr>
          <w:ilvl w:val="0"/>
          <w:numId w:val="2"/>
        </w:numPr>
        <w:spacing w:after="120" w:line="276" w:lineRule="auto"/>
      </w:pPr>
      <w:r>
        <w:rPr>
          <w:b/>
          <w:bCs/>
        </w:rPr>
        <w:t xml:space="preserve">Online Join Flow Analysis </w:t>
      </w:r>
      <w:r>
        <w:t>— Assessment of the current online join process, identification of drop-off points and conversion blockers, and recommendations for improvement.</w:t>
      </w:r>
    </w:p>
    <w:p w14:paraId="19D9F0C5" w14:textId="77777777" w:rsidR="0062142B" w:rsidRDefault="00000000">
      <w:pPr>
        <w:pStyle w:val="ListParagraph"/>
        <w:numPr>
          <w:ilvl w:val="0"/>
          <w:numId w:val="2"/>
        </w:numPr>
        <w:spacing w:after="120" w:line="276" w:lineRule="auto"/>
      </w:pPr>
      <w:r>
        <w:rPr>
          <w:b/>
          <w:bCs/>
        </w:rPr>
        <w:t xml:space="preserve">Revenue &amp; AR Analysis </w:t>
      </w:r>
      <w:r>
        <w:t>— Review of annual fee default patterns, payment data, and AR reconciliation processes, bridging the gap between technical systems and financial analysis.</w:t>
      </w:r>
    </w:p>
    <w:p w14:paraId="58F67F12" w14:textId="77777777" w:rsidR="0062142B" w:rsidRDefault="00000000">
      <w:pPr>
        <w:pStyle w:val="ListParagraph"/>
        <w:numPr>
          <w:ilvl w:val="0"/>
          <w:numId w:val="2"/>
        </w:numPr>
        <w:spacing w:after="120" w:line="276" w:lineRule="auto"/>
      </w:pPr>
      <w:r>
        <w:rPr>
          <w:b/>
          <w:bCs/>
        </w:rPr>
        <w:t xml:space="preserve">Stakeholder Interviews </w:t>
      </w:r>
      <w:r>
        <w:t>— Interviews with key LVAC team members to capture pain points, requirements, and institutional knowledge.</w:t>
      </w:r>
    </w:p>
    <w:p w14:paraId="0375B6A6" w14:textId="77777777" w:rsidR="0062142B" w:rsidRDefault="00000000">
      <w:pPr>
        <w:pStyle w:val="ListParagraph"/>
        <w:numPr>
          <w:ilvl w:val="0"/>
          <w:numId w:val="2"/>
        </w:numPr>
        <w:spacing w:after="120" w:line="276" w:lineRule="auto"/>
      </w:pPr>
      <w:r>
        <w:rPr>
          <w:b/>
          <w:bCs/>
        </w:rPr>
        <w:t xml:space="preserve">Gap &amp; Risk Report </w:t>
      </w:r>
      <w:r>
        <w:t>— Identification of system limitations, security risks, compliance gaps, and operational inefficiencies.</w:t>
      </w:r>
    </w:p>
    <w:p w14:paraId="55ECC15D" w14:textId="77777777" w:rsidR="0062142B" w:rsidRDefault="00000000">
      <w:pPr>
        <w:pStyle w:val="ListParagraph"/>
        <w:numPr>
          <w:ilvl w:val="0"/>
          <w:numId w:val="2"/>
        </w:numPr>
        <w:spacing w:after="120" w:line="276" w:lineRule="auto"/>
      </w:pPr>
      <w:r>
        <w:rPr>
          <w:b/>
          <w:bCs/>
        </w:rPr>
        <w:t xml:space="preserve">Platform Decision Framework </w:t>
      </w:r>
      <w:r>
        <w:t>— Analysis of build vs. buy vs. invest options for the core platform, with a scored evaluation and recommendation.</w:t>
      </w:r>
    </w:p>
    <w:p w14:paraId="76C2FC6D" w14:textId="77777777" w:rsidR="0062142B" w:rsidRDefault="00000000">
      <w:pPr>
        <w:pStyle w:val="ListParagraph"/>
        <w:numPr>
          <w:ilvl w:val="0"/>
          <w:numId w:val="2"/>
        </w:numPr>
        <w:spacing w:after="120" w:line="276" w:lineRule="auto"/>
      </w:pPr>
      <w:r>
        <w:rPr>
          <w:b/>
          <w:bCs/>
        </w:rPr>
        <w:t xml:space="preserve">Executive Summary &amp; Recommendations </w:t>
      </w:r>
      <w:r>
        <w:t>— Prioritized roadmap of findings, recommendations, and key decisions for LVAC leadership.</w:t>
      </w:r>
    </w:p>
    <w:p w14:paraId="315AD42A" w14:textId="77777777" w:rsidR="0062142B" w:rsidRDefault="00000000">
      <w:pPr>
        <w:spacing w:after="200" w:line="276" w:lineRule="auto"/>
      </w:pPr>
      <w:r>
        <w:t>The fixed fee includes up to two (2) reasonable rounds of review and refinement of the Deck following initial delivery. Additional revisions beyond this scope shall be treated as out-of-scope work and billed at the rates set forth in Appendix B upon mutual written agreement.</w:t>
      </w:r>
    </w:p>
    <w:p w14:paraId="048A1EC3" w14:textId="77777777" w:rsidR="0062142B" w:rsidRDefault="00000000">
      <w:pPr>
        <w:spacing w:after="200" w:line="276" w:lineRule="auto"/>
      </w:pPr>
      <w:r>
        <w:rPr>
          <w:i/>
          <w:iCs/>
        </w:rPr>
        <w:t>Work will not commence until the deposit described in Section 7(b) has been received.</w:t>
      </w:r>
    </w:p>
    <w:p w14:paraId="41CAC79A" w14:textId="77777777" w:rsidR="0062142B" w:rsidRDefault="00000000">
      <w:pPr>
        <w:spacing w:before="360" w:after="200"/>
      </w:pPr>
      <w:r>
        <w:rPr>
          <w:b/>
          <w:bCs/>
          <w:sz w:val="24"/>
          <w:szCs w:val="24"/>
        </w:rPr>
        <w:t>5. Timelines</w:t>
      </w:r>
    </w:p>
    <w:p w14:paraId="1B583198" w14:textId="77777777" w:rsidR="0062142B" w:rsidRDefault="00000000">
      <w:pPr>
        <w:spacing w:after="200" w:line="276" w:lineRule="auto"/>
        <w:ind w:left="720"/>
      </w:pPr>
      <w:r>
        <w:t>(a) The timelines provided below are estimates and have contingencies. Certain aspects may change based on circumstances or Client availability.</w:t>
      </w:r>
    </w:p>
    <w:p w14:paraId="2173551C" w14:textId="77777777" w:rsidR="0062142B" w:rsidRDefault="00000000">
      <w:pPr>
        <w:spacing w:after="200" w:line="276" w:lineRule="auto"/>
        <w:ind w:left="720"/>
      </w:pPr>
      <w:r>
        <w:t>(b) The project will kick off on the SOW No. 01 Effective Date and payment of the deposit referenced in Section 7.</w:t>
      </w:r>
    </w:p>
    <w:p w14:paraId="6094D22F" w14:textId="35B498FE" w:rsidR="0062142B" w:rsidRDefault="00000000">
      <w:pPr>
        <w:spacing w:after="200" w:line="276" w:lineRule="auto"/>
        <w:ind w:left="720"/>
      </w:pPr>
      <w:r>
        <w:t xml:space="preserve">(c) The estimated timeline for this SOW No. 01 is </w:t>
      </w:r>
      <w:r>
        <w:rPr>
          <w:b/>
          <w:bCs/>
        </w:rPr>
        <w:t>four to six (4–6) weeks</w:t>
      </w:r>
      <w:r>
        <w:t xml:space="preserve"> from the kick-off date, with both Parties collaborating on mutually agreeable milestones and review dates.</w:t>
      </w:r>
    </w:p>
    <w:p w14:paraId="48504C0F" w14:textId="77777777" w:rsidR="0062142B" w:rsidRDefault="00000000">
      <w:pPr>
        <w:spacing w:after="200" w:line="276" w:lineRule="auto"/>
        <w:ind w:left="720"/>
      </w:pPr>
      <w:r>
        <w:t>(d) Target kick-off: end of February 2026, or as soon as practicable after execution of this SOW and the Agreement.</w:t>
      </w:r>
    </w:p>
    <w:p w14:paraId="4B82C65F" w14:textId="77777777" w:rsidR="0062142B" w:rsidRDefault="00000000">
      <w:pPr>
        <w:spacing w:before="360" w:after="200"/>
      </w:pPr>
      <w:r>
        <w:rPr>
          <w:b/>
          <w:bCs/>
          <w:sz w:val="24"/>
          <w:szCs w:val="24"/>
        </w:rPr>
        <w:t>6. Term</w:t>
      </w:r>
    </w:p>
    <w:p w14:paraId="73010C11" w14:textId="77777777" w:rsidR="0062142B" w:rsidRDefault="00000000">
      <w:pPr>
        <w:spacing w:after="200" w:line="276" w:lineRule="auto"/>
      </w:pPr>
      <w:r>
        <w:lastRenderedPageBreak/>
        <w:t>The term of this SOW No. 01 shall commence on the SOW No. 01 Effective Date and shall remain effective until all Company obligations hereunder have been fulfilled or until sooner terminated in accordance with this paragraph. This SOW No. 01 may be terminated upon thirty (30) days’ written notice by either Party for any reason, or immediately for material breach by the other Party of its obligations hereunder, where such breach continues for a period of fifteen (15) days after the breaching Party receives written notice of the breach.</w:t>
      </w:r>
    </w:p>
    <w:p w14:paraId="0A38D50D" w14:textId="77777777" w:rsidR="0062142B" w:rsidRDefault="00000000">
      <w:pPr>
        <w:spacing w:before="360" w:after="200"/>
      </w:pPr>
      <w:r>
        <w:rPr>
          <w:b/>
          <w:bCs/>
          <w:sz w:val="24"/>
          <w:szCs w:val="24"/>
        </w:rPr>
        <w:t>7. Fees and Payment Terms</w:t>
      </w:r>
    </w:p>
    <w:p w14:paraId="4152045A" w14:textId="77777777" w:rsidR="0062142B" w:rsidRDefault="00000000">
      <w:pPr>
        <w:spacing w:after="200" w:line="276" w:lineRule="auto"/>
        <w:ind w:left="720"/>
      </w:pPr>
      <w:r>
        <w:t xml:space="preserve">(a) </w:t>
      </w:r>
      <w:r>
        <w:rPr>
          <w:b/>
          <w:bCs/>
        </w:rPr>
        <w:t xml:space="preserve">Fixed Bid. </w:t>
      </w:r>
      <w:r>
        <w:t xml:space="preserve">This SOW No. 01 is a fixed bid engagement. In consideration of the Services and Work Product to be provided pursuant to this SOW No. 01, the Client shall pay the Company a fixed fee of </w:t>
      </w:r>
      <w:r>
        <w:rPr>
          <w:b/>
          <w:bCs/>
        </w:rPr>
        <w:t>$10,000.00 (Ten Thousand Dollars)</w:t>
      </w:r>
      <w:r>
        <w:t>. This fixed bid includes all consulting time and remote work. It does not include reimbursable expenses as described in Section 7(d).</w:t>
      </w:r>
    </w:p>
    <w:p w14:paraId="027DC61E" w14:textId="77777777" w:rsidR="0062142B" w:rsidRDefault="00000000">
      <w:pPr>
        <w:spacing w:after="200" w:line="276" w:lineRule="auto"/>
        <w:ind w:left="720"/>
      </w:pPr>
      <w:r>
        <w:t xml:space="preserve">(b) </w:t>
      </w:r>
      <w:r>
        <w:rPr>
          <w:b/>
          <w:bCs/>
        </w:rPr>
        <w:t xml:space="preserve">Deposit. </w:t>
      </w:r>
      <w:r>
        <w:t xml:space="preserve">Upon execution of this SOW No. 01 by the Parties, the Client shall pay to the Company a fifty percent (50%) deposit of </w:t>
      </w:r>
      <w:r>
        <w:rPr>
          <w:b/>
          <w:bCs/>
        </w:rPr>
        <w:t>$5,000.00</w:t>
      </w:r>
      <w:r>
        <w:t xml:space="preserve"> on the total fixed bid. The remaining fifty percent (50%) balance shall be due upon delivery of the Work Product.</w:t>
      </w:r>
    </w:p>
    <w:p w14:paraId="2E262313" w14:textId="77777777" w:rsidR="0062142B" w:rsidRDefault="00000000">
      <w:pPr>
        <w:spacing w:after="200" w:line="276" w:lineRule="auto"/>
        <w:ind w:left="720"/>
      </w:pPr>
      <w:r>
        <w:t xml:space="preserve">(c) </w:t>
      </w:r>
      <w:r>
        <w:rPr>
          <w:b/>
          <w:bCs/>
        </w:rPr>
        <w:t xml:space="preserve">Late Payment. </w:t>
      </w:r>
      <w:r>
        <w:t>Any amount not paid when due shall accrue interest at the rate of one percent (1%) per month or the highest rate permissible under applicable law, whichever is less. Late payment may result in suspension of Services.</w:t>
      </w:r>
    </w:p>
    <w:p w14:paraId="081C4FE6" w14:textId="77777777" w:rsidR="0062142B" w:rsidRDefault="00000000">
      <w:pPr>
        <w:spacing w:after="200" w:line="276" w:lineRule="auto"/>
        <w:ind w:left="720"/>
      </w:pPr>
      <w:r>
        <w:t xml:space="preserve">(d) </w:t>
      </w:r>
      <w:r>
        <w:rPr>
          <w:b/>
          <w:bCs/>
        </w:rPr>
        <w:t xml:space="preserve">Reimbursable Expenses. </w:t>
      </w:r>
      <w:r>
        <w:t>Any pre-approved, out-of-pocket expenses incurred by the Company in connection with the Services (including travel to Las Vegas, lodging, and transportation for any onsite work) shall be invoiced separately and reimbursed by the Client. Travel and onsite days, if needed, will be scheduled on a mutually agreed basis.</w:t>
      </w:r>
    </w:p>
    <w:p w14:paraId="4131D351" w14:textId="77777777" w:rsidR="0062142B" w:rsidRDefault="00000000">
      <w:pPr>
        <w:spacing w:before="600" w:after="200"/>
      </w:pPr>
      <w:r>
        <w:t>IN WITNESS WHEREOF, the Parties hereto have executed this Statement of Work No. 01 as of the SOW No. 01 Effective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2142B" w14:paraId="32383B24" w14:textId="77777777">
        <w:tblPrEx>
          <w:tblCellMar>
            <w:top w:w="0" w:type="dxa"/>
            <w:bottom w:w="0" w:type="dxa"/>
          </w:tblCellMar>
        </w:tblPrEx>
        <w:tc>
          <w:tcPr>
            <w:tcW w:w="4680" w:type="dxa"/>
          </w:tcPr>
          <w:p w14:paraId="2F849D13" w14:textId="77777777" w:rsidR="0062142B" w:rsidRDefault="00000000">
            <w:pPr>
              <w:spacing w:after="200"/>
            </w:pPr>
            <w:r>
              <w:rPr>
                <w:b/>
                <w:bCs/>
              </w:rPr>
              <w:t>COMPANY</w:t>
            </w:r>
          </w:p>
          <w:p w14:paraId="0D8AA2CB" w14:textId="77777777" w:rsidR="0062142B" w:rsidRDefault="00000000">
            <w:pPr>
              <w:spacing w:after="60"/>
            </w:pPr>
            <w:r>
              <w:rPr>
                <w:b/>
                <w:bCs/>
              </w:rPr>
              <w:t>MDM Venture Labs LLC</w:t>
            </w:r>
          </w:p>
          <w:p w14:paraId="1A9404C3" w14:textId="77777777" w:rsidR="0062142B" w:rsidRDefault="00000000">
            <w:pPr>
              <w:spacing w:after="60"/>
            </w:pPr>
            <w:r>
              <w:t>d/b/a FitStack AI</w:t>
            </w:r>
          </w:p>
          <w:p w14:paraId="3B877D77" w14:textId="77777777" w:rsidR="0062142B" w:rsidRDefault="0062142B">
            <w:pPr>
              <w:spacing w:after="300"/>
            </w:pPr>
          </w:p>
          <w:p w14:paraId="57E502CA" w14:textId="77777777" w:rsidR="0062142B" w:rsidRDefault="00000000">
            <w:pPr>
              <w:spacing w:after="60"/>
            </w:pPr>
            <w:r>
              <w:t>By: _______________________________</w:t>
            </w:r>
          </w:p>
          <w:p w14:paraId="07A8E0F1" w14:textId="77777777" w:rsidR="0062142B" w:rsidRDefault="00000000">
            <w:pPr>
              <w:spacing w:after="60"/>
            </w:pPr>
            <w:r>
              <w:t>Name: Matt Masteller</w:t>
            </w:r>
          </w:p>
          <w:p w14:paraId="74CA440E" w14:textId="77777777" w:rsidR="0062142B" w:rsidRDefault="00000000">
            <w:pPr>
              <w:spacing w:after="60"/>
            </w:pPr>
            <w:r>
              <w:t>Title: Managing Member</w:t>
            </w:r>
          </w:p>
          <w:p w14:paraId="0EA1CA5F" w14:textId="77777777" w:rsidR="0062142B" w:rsidRDefault="00000000">
            <w:pPr>
              <w:spacing w:after="60"/>
            </w:pPr>
            <w:r>
              <w:t>Date: ______________________________</w:t>
            </w:r>
          </w:p>
        </w:tc>
        <w:tc>
          <w:tcPr>
            <w:tcW w:w="4680" w:type="dxa"/>
          </w:tcPr>
          <w:p w14:paraId="6FDD4699" w14:textId="77777777" w:rsidR="0062142B" w:rsidRDefault="00000000">
            <w:pPr>
              <w:spacing w:after="200"/>
            </w:pPr>
            <w:r>
              <w:rPr>
                <w:b/>
                <w:bCs/>
              </w:rPr>
              <w:t>CLIENT</w:t>
            </w:r>
          </w:p>
          <w:p w14:paraId="16EA3C3E" w14:textId="77777777" w:rsidR="0062142B" w:rsidRDefault="00000000">
            <w:pPr>
              <w:spacing w:after="60"/>
            </w:pPr>
            <w:r>
              <w:rPr>
                <w:b/>
                <w:bCs/>
              </w:rPr>
              <w:t>Las Vegas Athletic Clubs</w:t>
            </w:r>
          </w:p>
          <w:p w14:paraId="3315D624" w14:textId="77777777" w:rsidR="0062142B" w:rsidRDefault="00000000">
            <w:pPr>
              <w:spacing w:after="60"/>
            </w:pPr>
            <w:r>
              <w:t>[Legal Entity Name]</w:t>
            </w:r>
          </w:p>
          <w:p w14:paraId="67C4DEB8" w14:textId="77777777" w:rsidR="0062142B" w:rsidRDefault="0062142B">
            <w:pPr>
              <w:spacing w:after="300"/>
            </w:pPr>
          </w:p>
          <w:p w14:paraId="06A1292A" w14:textId="77777777" w:rsidR="0062142B" w:rsidRDefault="00000000">
            <w:pPr>
              <w:spacing w:after="60"/>
            </w:pPr>
            <w:r>
              <w:t>By: _______________________________</w:t>
            </w:r>
          </w:p>
          <w:p w14:paraId="6FB4EE72" w14:textId="77777777" w:rsidR="0062142B" w:rsidRDefault="00000000">
            <w:pPr>
              <w:spacing w:after="60"/>
            </w:pPr>
            <w:r>
              <w:t>Name: Chad Smith</w:t>
            </w:r>
          </w:p>
          <w:p w14:paraId="0B2C827B" w14:textId="77777777" w:rsidR="0062142B" w:rsidRDefault="00000000">
            <w:pPr>
              <w:spacing w:after="60"/>
            </w:pPr>
            <w:r>
              <w:t>Title: President</w:t>
            </w:r>
          </w:p>
          <w:p w14:paraId="45964DEC" w14:textId="77777777" w:rsidR="0062142B" w:rsidRDefault="00000000">
            <w:pPr>
              <w:spacing w:after="60"/>
            </w:pPr>
            <w:r>
              <w:t>Date: ______________________________</w:t>
            </w:r>
          </w:p>
        </w:tc>
      </w:tr>
    </w:tbl>
    <w:p w14:paraId="324196D7" w14:textId="77777777" w:rsidR="0062142B" w:rsidRDefault="00000000">
      <w:r>
        <w:br w:type="page"/>
      </w:r>
    </w:p>
    <w:p w14:paraId="194489E1" w14:textId="77777777" w:rsidR="0062142B" w:rsidRDefault="00000000">
      <w:pPr>
        <w:spacing w:after="200"/>
        <w:jc w:val="center"/>
      </w:pPr>
      <w:r>
        <w:rPr>
          <w:b/>
          <w:bCs/>
          <w:sz w:val="28"/>
          <w:szCs w:val="28"/>
        </w:rPr>
        <w:lastRenderedPageBreak/>
        <w:t>APPENDIX A</w:t>
      </w:r>
    </w:p>
    <w:p w14:paraId="756A330F" w14:textId="77777777" w:rsidR="0062142B" w:rsidRDefault="00000000">
      <w:pPr>
        <w:spacing w:after="300"/>
        <w:jc w:val="center"/>
      </w:pPr>
      <w:r>
        <w:rPr>
          <w:b/>
          <w:bCs/>
          <w:sz w:val="24"/>
          <w:szCs w:val="24"/>
        </w:rPr>
        <w:t>Audit Categories &amp; Scope</w:t>
      </w:r>
    </w:p>
    <w:p w14:paraId="0635BABE" w14:textId="77777777" w:rsidR="0062142B" w:rsidRDefault="00000000">
      <w:pPr>
        <w:spacing w:after="200" w:line="276" w:lineRule="auto"/>
      </w:pPr>
      <w:r>
        <w:t>The Services and Work Product shall follow the categories outlined below. The Company will follow a work plan that covers each of these Categories. These categories of work shall inform the Deck.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60"/>
        <w:gridCol w:w="5400"/>
      </w:tblGrid>
      <w:tr w:rsidR="0062142B" w14:paraId="07A2EA5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2B4C7E"/>
            <w:tcMar>
              <w:top w:w="60" w:type="dxa"/>
              <w:left w:w="100" w:type="dxa"/>
              <w:bottom w:w="60" w:type="dxa"/>
              <w:right w:w="100" w:type="dxa"/>
            </w:tcMar>
          </w:tcPr>
          <w:p w14:paraId="5649BAE7" w14:textId="77777777" w:rsidR="0062142B" w:rsidRDefault="00000000">
            <w:pPr>
              <w:jc w:val="center"/>
            </w:pPr>
            <w:r>
              <w:rPr>
                <w:b/>
                <w:bCs/>
                <w:color w:val="FFFFFF"/>
                <w:sz w:val="20"/>
                <w:szCs w:val="20"/>
              </w:rPr>
              <w:t>#</w:t>
            </w:r>
          </w:p>
        </w:tc>
        <w:tc>
          <w:tcPr>
            <w:tcW w:w="3360" w:type="dxa"/>
            <w:tcBorders>
              <w:top w:val="single" w:sz="1" w:space="0" w:color="AAAAAA"/>
              <w:left w:val="single" w:sz="1" w:space="0" w:color="AAAAAA"/>
              <w:bottom w:val="single" w:sz="1" w:space="0" w:color="AAAAAA"/>
              <w:right w:val="single" w:sz="1" w:space="0" w:color="AAAAAA"/>
            </w:tcBorders>
            <w:shd w:val="clear" w:color="auto" w:fill="2B4C7E"/>
            <w:tcMar>
              <w:top w:w="60" w:type="dxa"/>
              <w:left w:w="100" w:type="dxa"/>
              <w:bottom w:w="60" w:type="dxa"/>
              <w:right w:w="100" w:type="dxa"/>
            </w:tcMar>
          </w:tcPr>
          <w:p w14:paraId="65940C61" w14:textId="77777777" w:rsidR="0062142B" w:rsidRDefault="00000000">
            <w:r>
              <w:rPr>
                <w:b/>
                <w:bCs/>
                <w:color w:val="FFFFFF"/>
                <w:sz w:val="20"/>
                <w:szCs w:val="20"/>
              </w:rPr>
              <w:t>Category</w:t>
            </w:r>
          </w:p>
        </w:tc>
        <w:tc>
          <w:tcPr>
            <w:tcW w:w="5400" w:type="dxa"/>
            <w:tcBorders>
              <w:top w:val="single" w:sz="1" w:space="0" w:color="AAAAAA"/>
              <w:left w:val="single" w:sz="1" w:space="0" w:color="AAAAAA"/>
              <w:bottom w:val="single" w:sz="1" w:space="0" w:color="AAAAAA"/>
              <w:right w:val="single" w:sz="1" w:space="0" w:color="AAAAAA"/>
            </w:tcBorders>
            <w:shd w:val="clear" w:color="auto" w:fill="2B4C7E"/>
            <w:tcMar>
              <w:top w:w="60" w:type="dxa"/>
              <w:left w:w="100" w:type="dxa"/>
              <w:bottom w:w="60" w:type="dxa"/>
              <w:right w:w="100" w:type="dxa"/>
            </w:tcMar>
          </w:tcPr>
          <w:p w14:paraId="7BABC49E" w14:textId="77777777" w:rsidR="0062142B" w:rsidRDefault="00000000">
            <w:r>
              <w:rPr>
                <w:b/>
                <w:bCs/>
                <w:color w:val="FFFFFF"/>
                <w:sz w:val="20"/>
                <w:szCs w:val="20"/>
              </w:rPr>
              <w:t>Description</w:t>
            </w:r>
          </w:p>
        </w:tc>
      </w:tr>
      <w:tr w:rsidR="0062142B" w14:paraId="5CD5E19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05F37D" w14:textId="77777777" w:rsidR="0062142B" w:rsidRDefault="00000000">
            <w:pPr>
              <w:jc w:val="center"/>
            </w:pPr>
            <w:r>
              <w:rPr>
                <w:sz w:val="20"/>
                <w:szCs w:val="20"/>
              </w:rPr>
              <w:t>i.</w:t>
            </w:r>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5AC5FF" w14:textId="77777777" w:rsidR="0062142B" w:rsidRDefault="00000000">
            <w:r>
              <w:rPr>
                <w:b/>
                <w:bCs/>
                <w:sz w:val="20"/>
                <w:szCs w:val="20"/>
              </w:rPr>
              <w:t>Internal Alignment &amp; Planning</w:t>
            </w:r>
          </w:p>
        </w:tc>
        <w:tc>
          <w:tcPr>
            <w:tcW w:w="5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6A9B54" w14:textId="77777777" w:rsidR="0062142B" w:rsidRDefault="00000000">
            <w:r>
              <w:rPr>
                <w:sz w:val="20"/>
                <w:szCs w:val="20"/>
              </w:rPr>
              <w:t>Kick-off meetings, document and knowledge transfer, project planning</w:t>
            </w:r>
          </w:p>
        </w:tc>
      </w:tr>
      <w:tr w:rsidR="0062142B" w14:paraId="60D39CB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143C7CA2" w14:textId="77777777" w:rsidR="0062142B" w:rsidRDefault="00000000">
            <w:pPr>
              <w:jc w:val="center"/>
            </w:pPr>
            <w:r>
              <w:rPr>
                <w:sz w:val="20"/>
                <w:szCs w:val="20"/>
              </w:rPr>
              <w:t>ii.</w:t>
            </w:r>
          </w:p>
        </w:tc>
        <w:tc>
          <w:tcPr>
            <w:tcW w:w="336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6F86025B" w14:textId="77777777" w:rsidR="0062142B" w:rsidRDefault="00000000">
            <w:r>
              <w:rPr>
                <w:b/>
                <w:bCs/>
                <w:sz w:val="20"/>
                <w:szCs w:val="20"/>
              </w:rPr>
              <w:t>Stakeholder Interviews</w:t>
            </w:r>
          </w:p>
        </w:tc>
        <w:tc>
          <w:tcPr>
            <w:tcW w:w="54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03153D0C" w14:textId="77777777" w:rsidR="0062142B" w:rsidRDefault="00000000">
            <w:r>
              <w:rPr>
                <w:sz w:val="20"/>
                <w:szCs w:val="20"/>
              </w:rPr>
              <w:t>Meet with key LVAC team members for 1:1 interviews to capture pain points, requirements, and institutional knowledge</w:t>
            </w:r>
          </w:p>
        </w:tc>
      </w:tr>
      <w:tr w:rsidR="0062142B" w14:paraId="7877F22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2F405E" w14:textId="77777777" w:rsidR="0062142B" w:rsidRDefault="00000000">
            <w:pPr>
              <w:jc w:val="center"/>
            </w:pPr>
            <w:r>
              <w:rPr>
                <w:sz w:val="20"/>
                <w:szCs w:val="20"/>
              </w:rPr>
              <w:t>iii.</w:t>
            </w:r>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C52F9C" w14:textId="77777777" w:rsidR="0062142B" w:rsidRDefault="00000000">
            <w:r>
              <w:rPr>
                <w:b/>
                <w:bCs/>
                <w:sz w:val="20"/>
                <w:szCs w:val="20"/>
              </w:rPr>
              <w:t>Technology Stack Audit</w:t>
            </w:r>
          </w:p>
        </w:tc>
        <w:tc>
          <w:tcPr>
            <w:tcW w:w="5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C06F3B" w14:textId="77777777" w:rsidR="0062142B" w:rsidRDefault="00000000">
            <w:r>
              <w:rPr>
                <w:sz w:val="20"/>
                <w:szCs w:val="20"/>
              </w:rPr>
              <w:t>Review and access all systems; map current architecture, integrations, and data flows including the core C#/SQL platform</w:t>
            </w:r>
          </w:p>
        </w:tc>
      </w:tr>
      <w:tr w:rsidR="0062142B" w14:paraId="3BBC5E8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2C912266" w14:textId="77777777" w:rsidR="0062142B" w:rsidRDefault="00000000">
            <w:pPr>
              <w:jc w:val="center"/>
            </w:pPr>
            <w:r>
              <w:rPr>
                <w:sz w:val="20"/>
                <w:szCs w:val="20"/>
              </w:rPr>
              <w:t>iv.</w:t>
            </w:r>
          </w:p>
        </w:tc>
        <w:tc>
          <w:tcPr>
            <w:tcW w:w="336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56E17C4B" w14:textId="77777777" w:rsidR="0062142B" w:rsidRDefault="00000000">
            <w:r>
              <w:rPr>
                <w:b/>
                <w:bCs/>
                <w:sz w:val="20"/>
                <w:szCs w:val="20"/>
              </w:rPr>
              <w:t>Online Join Flow Deep-Dive</w:t>
            </w:r>
          </w:p>
        </w:tc>
        <w:tc>
          <w:tcPr>
            <w:tcW w:w="54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236A2FE6" w14:textId="77777777" w:rsidR="0062142B" w:rsidRDefault="00000000">
            <w:r>
              <w:rPr>
                <w:sz w:val="20"/>
                <w:szCs w:val="20"/>
              </w:rPr>
              <w:t>Analyze the prospect-to-member conversion funnel; identify drop-off points and recommend improvements</w:t>
            </w:r>
          </w:p>
        </w:tc>
      </w:tr>
      <w:tr w:rsidR="0062142B" w14:paraId="63A5495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841273" w14:textId="77777777" w:rsidR="0062142B" w:rsidRDefault="00000000">
            <w:pPr>
              <w:jc w:val="center"/>
            </w:pPr>
            <w:r>
              <w:rPr>
                <w:sz w:val="20"/>
                <w:szCs w:val="20"/>
              </w:rPr>
              <w:t>v.</w:t>
            </w:r>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C4ADB5" w14:textId="77777777" w:rsidR="0062142B" w:rsidRDefault="00000000">
            <w:r>
              <w:rPr>
                <w:b/>
                <w:bCs/>
                <w:sz w:val="20"/>
                <w:szCs w:val="20"/>
              </w:rPr>
              <w:t>Revenue, Billing &amp; AR Analysis</w:t>
            </w:r>
          </w:p>
        </w:tc>
        <w:tc>
          <w:tcPr>
            <w:tcW w:w="5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48A9C2" w14:textId="77777777" w:rsidR="0062142B" w:rsidRDefault="00000000">
            <w:r>
              <w:rPr>
                <w:sz w:val="20"/>
                <w:szCs w:val="20"/>
              </w:rPr>
              <w:t>Review annual fee defaults, payment processing, and AR reconciliation; bridge technical and financial analysis</w:t>
            </w:r>
          </w:p>
        </w:tc>
      </w:tr>
      <w:tr w:rsidR="0062142B" w14:paraId="3B0C1AA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3B0C1AA2" w14:textId="77777777" w:rsidR="0062142B" w:rsidRDefault="00000000">
            <w:pPr>
              <w:jc w:val="center"/>
            </w:pPr>
            <w:r>
              <w:rPr>
                <w:sz w:val="20"/>
                <w:szCs w:val="20"/>
              </w:rPr>
              <w:t>vi.</w:t>
            </w:r>
          </w:p>
        </w:tc>
        <w:tc>
          <w:tcPr>
            <w:tcW w:w="336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3B0C1AA3" w14:textId="77777777" w:rsidR="0062142B" w:rsidRDefault="00000000">
            <w:r>
              <w:rPr>
                <w:b/>
                <w:bCs/>
                <w:sz w:val="20"/>
                <w:szCs w:val="20"/>
              </w:rPr>
              <w:t>Billing Logic &amp; Transaction Analysis</w:t>
            </w:r>
          </w:p>
        </w:tc>
        <w:tc>
          <w:tcPr>
            <w:tcW w:w="54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3B0C1AA4" w14:textId="77777777" w:rsidR="0062142B" w:rsidRDefault="00000000">
            <w:r>
              <w:rPr>
                <w:sz w:val="20"/>
                <w:szCs w:val="20"/>
              </w:rPr>
              <w:t>Review and document core billing logic, fee triggers, and transaction tables</w:t>
            </w:r>
          </w:p>
        </w:tc>
      </w:tr>
      <w:tr w:rsidR="0062142B" w14:paraId="2A0A1BB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FCAFCE" w14:textId="77777777" w:rsidR="0062142B" w:rsidRDefault="00000000">
            <w:pPr>
              <w:jc w:val="center"/>
            </w:pPr>
            <w:r>
              <w:rPr>
                <w:sz w:val="20"/>
                <w:szCs w:val="20"/>
              </w:rPr>
              <w:t>vii.</w:t>
            </w:r>
          </w:p>
        </w:tc>
        <w:tc>
          <w:tcPr>
            <w:tcW w:w="336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36F15A10" w14:textId="77777777" w:rsidR="0062142B" w:rsidRDefault="00000000">
            <w:r>
              <w:rPr>
                <w:b/>
                <w:bCs/>
                <w:sz w:val="20"/>
                <w:szCs w:val="20"/>
              </w:rPr>
              <w:t>Business Process Review</w:t>
            </w:r>
          </w:p>
        </w:tc>
        <w:tc>
          <w:tcPr>
            <w:tcW w:w="54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6418E4B0" w14:textId="77777777" w:rsidR="0062142B" w:rsidRDefault="00000000">
            <w:r>
              <w:rPr>
                <w:sz w:val="20"/>
                <w:szCs w:val="20"/>
              </w:rPr>
              <w:t>Review org chart, key roles, and operational workflows as they relate to technology</w:t>
            </w:r>
          </w:p>
        </w:tc>
      </w:tr>
      <w:tr w:rsidR="0062142B" w14:paraId="135119C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D604E9" w14:textId="77777777" w:rsidR="0062142B" w:rsidRDefault="00000000">
            <w:pPr>
              <w:jc w:val="center"/>
            </w:pPr>
            <w:r>
              <w:rPr>
                <w:sz w:val="20"/>
                <w:szCs w:val="20"/>
              </w:rPr>
              <w:t>viii.</w:t>
            </w:r>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8738C9" w14:textId="77777777" w:rsidR="0062142B" w:rsidRDefault="00000000">
            <w:r>
              <w:rPr>
                <w:b/>
                <w:bCs/>
                <w:sz w:val="20"/>
                <w:szCs w:val="20"/>
              </w:rPr>
              <w:t>Platform Decision Analysis</w:t>
            </w:r>
          </w:p>
        </w:tc>
        <w:tc>
          <w:tcPr>
            <w:tcW w:w="5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9A3E34" w14:textId="77777777" w:rsidR="0062142B" w:rsidRDefault="00000000">
            <w:r>
              <w:rPr>
                <w:sz w:val="20"/>
                <w:szCs w:val="20"/>
              </w:rPr>
              <w:t>Evaluate build vs. buy vs. invest options for the core membership/billing platform; deliver scored framework</w:t>
            </w:r>
          </w:p>
        </w:tc>
      </w:tr>
      <w:tr w:rsidR="0062142B" w14:paraId="70AB4CF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295776D6" w14:textId="77777777" w:rsidR="0062142B" w:rsidRDefault="00000000">
            <w:pPr>
              <w:jc w:val="center"/>
            </w:pPr>
            <w:r>
              <w:rPr>
                <w:sz w:val="20"/>
                <w:szCs w:val="20"/>
              </w:rPr>
              <w:t>ix.</w:t>
            </w:r>
          </w:p>
        </w:tc>
        <w:tc>
          <w:tcPr>
            <w:tcW w:w="336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1B76AD69" w14:textId="77777777" w:rsidR="0062142B" w:rsidRDefault="00000000">
            <w:r>
              <w:rPr>
                <w:b/>
                <w:bCs/>
                <w:sz w:val="20"/>
                <w:szCs w:val="20"/>
              </w:rPr>
              <w:t>Risk &amp; Compliance Overview</w:t>
            </w:r>
          </w:p>
        </w:tc>
        <w:tc>
          <w:tcPr>
            <w:tcW w:w="54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32E75B6E" w14:textId="77777777" w:rsidR="0062142B" w:rsidRDefault="00000000">
            <w:r>
              <w:rPr>
                <w:sz w:val="20"/>
                <w:szCs w:val="20"/>
              </w:rPr>
              <w:t>High-level review of data privacy posture, security risks, and outstanding compliance items</w:t>
            </w:r>
          </w:p>
        </w:tc>
      </w:tr>
      <w:tr w:rsidR="0062142B" w14:paraId="0E276D9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B4C744" w14:textId="77777777" w:rsidR="0062142B" w:rsidRDefault="00000000">
            <w:pPr>
              <w:jc w:val="center"/>
            </w:pPr>
            <w:r>
              <w:rPr>
                <w:sz w:val="20"/>
                <w:szCs w:val="20"/>
              </w:rPr>
              <w:t>x.</w:t>
            </w:r>
          </w:p>
        </w:tc>
        <w:tc>
          <w:tcPr>
            <w:tcW w:w="3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4D819A" w14:textId="77777777" w:rsidR="0062142B" w:rsidRDefault="00000000">
            <w:r>
              <w:rPr>
                <w:b/>
                <w:bCs/>
                <w:sz w:val="20"/>
                <w:szCs w:val="20"/>
              </w:rPr>
              <w:t>Deliverable Packaging</w:t>
            </w:r>
          </w:p>
        </w:tc>
        <w:tc>
          <w:tcPr>
            <w:tcW w:w="5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71BB34" w14:textId="77777777" w:rsidR="0062142B" w:rsidRDefault="00000000">
            <w:r>
              <w:rPr>
                <w:sz w:val="20"/>
                <w:szCs w:val="20"/>
              </w:rPr>
              <w:t>Compile findings into the Deck; prepare executive summary, recommendations, and key decisions for leadership</w:t>
            </w:r>
          </w:p>
        </w:tc>
      </w:tr>
    </w:tbl>
    <w:p w14:paraId="19A4206F" w14:textId="77777777" w:rsidR="0062142B" w:rsidRDefault="00000000">
      <w:r>
        <w:br w:type="page"/>
      </w:r>
    </w:p>
    <w:p w14:paraId="487D0F5A" w14:textId="77777777" w:rsidR="0062142B" w:rsidRDefault="00000000">
      <w:pPr>
        <w:spacing w:after="200"/>
        <w:jc w:val="center"/>
      </w:pPr>
      <w:r>
        <w:rPr>
          <w:b/>
          <w:bCs/>
          <w:sz w:val="28"/>
          <w:szCs w:val="28"/>
        </w:rPr>
        <w:lastRenderedPageBreak/>
        <w:t>APPENDIX B</w:t>
      </w:r>
    </w:p>
    <w:p w14:paraId="00C2BF0C" w14:textId="77777777" w:rsidR="0062142B" w:rsidRDefault="00000000">
      <w:pPr>
        <w:spacing w:after="300"/>
        <w:jc w:val="center"/>
      </w:pPr>
      <w:r>
        <w:rPr>
          <w:b/>
          <w:bCs/>
          <w:sz w:val="24"/>
          <w:szCs w:val="24"/>
        </w:rPr>
        <w:t>Roles &amp; Rates</w:t>
      </w:r>
    </w:p>
    <w:p w14:paraId="4A27F08C" w14:textId="77777777" w:rsidR="0062142B" w:rsidRDefault="00000000">
      <w:pPr>
        <w:spacing w:after="200" w:line="276" w:lineRule="auto"/>
      </w:pPr>
      <w:r>
        <w:t>The fixed bid for this SOW No. 01 covers all consulting time. Should additional work be required beyond the scope of this SOW, or should the Client request ad-hoc advisory services, the following rates shall apply upon mutual written agreement: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62142B" w14:paraId="31FAB71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2B4C7E"/>
            <w:tcMar>
              <w:top w:w="60" w:type="dxa"/>
              <w:left w:w="100" w:type="dxa"/>
              <w:bottom w:w="60" w:type="dxa"/>
              <w:right w:w="100" w:type="dxa"/>
            </w:tcMar>
          </w:tcPr>
          <w:p w14:paraId="794405BF" w14:textId="77777777" w:rsidR="0062142B" w:rsidRDefault="00000000">
            <w:r>
              <w:rPr>
                <w:b/>
                <w:bCs/>
                <w:color w:val="FFFFFF"/>
                <w:sz w:val="20"/>
                <w:szCs w:val="20"/>
              </w:rPr>
              <w:t>Role / Category</w:t>
            </w:r>
          </w:p>
        </w:tc>
        <w:tc>
          <w:tcPr>
            <w:tcW w:w="2340" w:type="dxa"/>
            <w:tcBorders>
              <w:top w:val="single" w:sz="1" w:space="0" w:color="AAAAAA"/>
              <w:left w:val="single" w:sz="1" w:space="0" w:color="AAAAAA"/>
              <w:bottom w:val="single" w:sz="1" w:space="0" w:color="AAAAAA"/>
              <w:right w:val="single" w:sz="1" w:space="0" w:color="AAAAAA"/>
            </w:tcBorders>
            <w:shd w:val="clear" w:color="auto" w:fill="2B4C7E"/>
            <w:tcMar>
              <w:top w:w="60" w:type="dxa"/>
              <w:left w:w="100" w:type="dxa"/>
              <w:bottom w:w="60" w:type="dxa"/>
              <w:right w:w="100" w:type="dxa"/>
            </w:tcMar>
          </w:tcPr>
          <w:p w14:paraId="419D625A" w14:textId="77777777" w:rsidR="0062142B" w:rsidRDefault="00000000">
            <w:pPr>
              <w:jc w:val="center"/>
            </w:pPr>
            <w:r>
              <w:rPr>
                <w:b/>
                <w:bCs/>
                <w:color w:val="FFFFFF"/>
                <w:sz w:val="20"/>
                <w:szCs w:val="20"/>
              </w:rPr>
              <w:t>Hourly Rate</w:t>
            </w:r>
          </w:p>
        </w:tc>
        <w:tc>
          <w:tcPr>
            <w:tcW w:w="2340" w:type="dxa"/>
            <w:tcBorders>
              <w:top w:val="single" w:sz="1" w:space="0" w:color="AAAAAA"/>
              <w:left w:val="single" w:sz="1" w:space="0" w:color="AAAAAA"/>
              <w:bottom w:val="single" w:sz="1" w:space="0" w:color="AAAAAA"/>
              <w:right w:val="single" w:sz="1" w:space="0" w:color="AAAAAA"/>
            </w:tcBorders>
            <w:shd w:val="clear" w:color="auto" w:fill="2B4C7E"/>
            <w:tcMar>
              <w:top w:w="60" w:type="dxa"/>
              <w:left w:w="100" w:type="dxa"/>
              <w:bottom w:w="60" w:type="dxa"/>
              <w:right w:w="100" w:type="dxa"/>
            </w:tcMar>
          </w:tcPr>
          <w:p w14:paraId="4DD2FB2C" w14:textId="77777777" w:rsidR="0062142B" w:rsidRDefault="00000000">
            <w:pPr>
              <w:jc w:val="center"/>
            </w:pPr>
            <w:r>
              <w:rPr>
                <w:b/>
                <w:bCs/>
                <w:color w:val="FFFFFF"/>
                <w:sz w:val="20"/>
                <w:szCs w:val="20"/>
              </w:rPr>
              <w:t>Day Rate</w:t>
            </w:r>
          </w:p>
        </w:tc>
      </w:tr>
      <w:tr w:rsidR="0062142B" w14:paraId="41205C8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4E49E9" w14:textId="77777777" w:rsidR="0062142B" w:rsidRDefault="00000000">
            <w:r>
              <w:rPr>
                <w:sz w:val="20"/>
                <w:szCs w:val="20"/>
              </w:rPr>
              <w:t>Executive Consulting / Advisory</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767312" w14:textId="77777777" w:rsidR="0062142B" w:rsidRDefault="00000000">
            <w:pPr>
              <w:jc w:val="center"/>
            </w:pPr>
            <w:r>
              <w:rPr>
                <w:sz w:val="20"/>
                <w:szCs w:val="20"/>
              </w:rPr>
              <w:t>$200.00</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2943F1" w14:textId="77777777" w:rsidR="0062142B" w:rsidRDefault="00000000">
            <w:pPr>
              <w:jc w:val="center"/>
            </w:pPr>
            <w:r>
              <w:rPr>
                <w:sz w:val="20"/>
                <w:szCs w:val="20"/>
              </w:rPr>
              <w:t>$1,600.00</w:t>
            </w:r>
          </w:p>
        </w:tc>
      </w:tr>
      <w:tr w:rsidR="0062142B" w14:paraId="0E7D8B1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118B6B8F" w14:textId="77777777" w:rsidR="0062142B" w:rsidRDefault="00000000">
            <w:r>
              <w:rPr>
                <w:sz w:val="20"/>
                <w:szCs w:val="20"/>
              </w:rPr>
              <w:t>Solutions Architecture</w:t>
            </w:r>
          </w:p>
        </w:tc>
        <w:tc>
          <w:tcPr>
            <w:tcW w:w="234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2CAA1ABA" w14:textId="77777777" w:rsidR="0062142B" w:rsidRDefault="00000000">
            <w:pPr>
              <w:jc w:val="center"/>
            </w:pPr>
            <w:r>
              <w:rPr>
                <w:sz w:val="20"/>
                <w:szCs w:val="20"/>
              </w:rPr>
              <w:t>$175.00</w:t>
            </w:r>
          </w:p>
        </w:tc>
        <w:tc>
          <w:tcPr>
            <w:tcW w:w="234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14D019E1" w14:textId="77777777" w:rsidR="0062142B" w:rsidRDefault="00000000">
            <w:pPr>
              <w:jc w:val="center"/>
            </w:pPr>
            <w:r>
              <w:rPr>
                <w:sz w:val="20"/>
                <w:szCs w:val="20"/>
              </w:rPr>
              <w:t>$1,400.00</w:t>
            </w:r>
          </w:p>
        </w:tc>
      </w:tr>
      <w:tr w:rsidR="0062142B" w14:paraId="7EDA249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4D5CE7" w14:textId="77777777" w:rsidR="0062142B" w:rsidRDefault="00000000">
            <w:r>
              <w:rPr>
                <w:sz w:val="20"/>
                <w:szCs w:val="20"/>
              </w:rPr>
              <w:t>Technical Analysis / Engineering</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F1CD35" w14:textId="77777777" w:rsidR="0062142B" w:rsidRDefault="00000000">
            <w:pPr>
              <w:jc w:val="center"/>
            </w:pPr>
            <w:r>
              <w:rPr>
                <w:sz w:val="20"/>
                <w:szCs w:val="20"/>
              </w:rPr>
              <w:t>$150.00</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5A2214" w14:textId="77777777" w:rsidR="0062142B" w:rsidRDefault="00000000">
            <w:pPr>
              <w:jc w:val="center"/>
            </w:pPr>
            <w:r>
              <w:rPr>
                <w:sz w:val="20"/>
                <w:szCs w:val="20"/>
              </w:rPr>
              <w:t>$1,200.00</w:t>
            </w:r>
          </w:p>
        </w:tc>
      </w:tr>
      <w:tr w:rsidR="0062142B" w14:paraId="2141ACD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11BB2D8C" w14:textId="77777777" w:rsidR="0062142B" w:rsidRDefault="00000000">
            <w:r>
              <w:rPr>
                <w:sz w:val="20"/>
                <w:szCs w:val="20"/>
              </w:rPr>
              <w:t>Business Analysis / Process Review</w:t>
            </w:r>
          </w:p>
        </w:tc>
        <w:tc>
          <w:tcPr>
            <w:tcW w:w="234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54CF023D" w14:textId="77777777" w:rsidR="0062142B" w:rsidRDefault="00000000">
            <w:pPr>
              <w:jc w:val="center"/>
            </w:pPr>
            <w:r>
              <w:rPr>
                <w:sz w:val="20"/>
                <w:szCs w:val="20"/>
              </w:rPr>
              <w:t>$125.00</w:t>
            </w:r>
          </w:p>
        </w:tc>
        <w:tc>
          <w:tcPr>
            <w:tcW w:w="234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2495C8B6" w14:textId="77777777" w:rsidR="0062142B" w:rsidRDefault="00000000">
            <w:pPr>
              <w:jc w:val="center"/>
            </w:pPr>
            <w:r>
              <w:rPr>
                <w:sz w:val="20"/>
                <w:szCs w:val="20"/>
              </w:rPr>
              <w:t>$1,000.00</w:t>
            </w:r>
          </w:p>
        </w:tc>
      </w:tr>
      <w:tr w:rsidR="0062142B" w14:paraId="502E750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90427D" w14:textId="77777777" w:rsidR="0062142B" w:rsidRDefault="00000000">
            <w:r>
              <w:rPr>
                <w:sz w:val="20"/>
                <w:szCs w:val="20"/>
              </w:rPr>
              <w:t>Project Management</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53B0D2" w14:textId="77777777" w:rsidR="0062142B" w:rsidRDefault="00000000">
            <w:pPr>
              <w:jc w:val="center"/>
            </w:pPr>
            <w:r>
              <w:rPr>
                <w:sz w:val="20"/>
                <w:szCs w:val="20"/>
              </w:rPr>
              <w:t>$125.00</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B32210" w14:textId="77777777" w:rsidR="0062142B" w:rsidRDefault="00000000">
            <w:pPr>
              <w:jc w:val="center"/>
            </w:pPr>
            <w:r>
              <w:rPr>
                <w:sz w:val="20"/>
                <w:szCs w:val="20"/>
              </w:rPr>
              <w:t>$1,000.00</w:t>
            </w:r>
          </w:p>
        </w:tc>
      </w:tr>
    </w:tbl>
    <w:p w14:paraId="214BCC96" w14:textId="77777777" w:rsidR="0062142B" w:rsidRDefault="00000000">
      <w:pPr>
        <w:spacing w:before="200" w:after="200" w:line="276" w:lineRule="auto"/>
      </w:pPr>
      <w:r>
        <w:rPr>
          <w:i/>
          <w:iCs/>
        </w:rPr>
        <w:t>If the SOW Fee is a fixed bid, these rates shall not apply unless a change order for such work is executed by both Parties.</w:t>
      </w:r>
    </w:p>
    <w:sectPr w:rsidR="0062142B">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3EF10" w14:textId="77777777" w:rsidR="0095737B" w:rsidRDefault="0095737B">
      <w:r>
        <w:separator/>
      </w:r>
    </w:p>
  </w:endnote>
  <w:endnote w:type="continuationSeparator" w:id="0">
    <w:p w14:paraId="2209E4EE" w14:textId="77777777" w:rsidR="0095737B" w:rsidRDefault="00957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26107" w14:textId="77777777" w:rsidR="0062142B"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735CB2">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5B078" w14:textId="77777777" w:rsidR="0095737B" w:rsidRDefault="0095737B">
      <w:r>
        <w:separator/>
      </w:r>
    </w:p>
  </w:footnote>
  <w:footnote w:type="continuationSeparator" w:id="0">
    <w:p w14:paraId="58F94209" w14:textId="77777777" w:rsidR="0095737B" w:rsidRDefault="009573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25F74" w14:textId="77777777" w:rsidR="0062142B" w:rsidRDefault="00000000">
    <w:pPr>
      <w:jc w:val="right"/>
    </w:pPr>
    <w:r>
      <w:rPr>
        <w:i/>
        <w:iCs/>
        <w:color w:val="999999"/>
        <w:sz w:val="18"/>
        <w:szCs w:val="18"/>
      </w:rPr>
      <w:t xml:space="preserve">SOW No. 01 — Phase 0: Audit &amp; Discovery — </w:t>
    </w:r>
    <w:proofErr w:type="spellStart"/>
    <w:r>
      <w:rPr>
        <w:i/>
        <w:iCs/>
        <w:color w:val="999999"/>
        <w:sz w:val="18"/>
        <w:szCs w:val="18"/>
      </w:rPr>
      <w:t>FitStack</w:t>
    </w:r>
    <w:proofErr w:type="spellEnd"/>
    <w:r>
      <w:rPr>
        <w:i/>
        <w:iCs/>
        <w:color w:val="999999"/>
        <w:sz w:val="18"/>
        <w:szCs w:val="18"/>
      </w:rPr>
      <w:t xml:space="preserve"> AI / LVAC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4051B"/>
    <w:multiLevelType w:val="hybridMultilevel"/>
    <w:tmpl w:val="E774EE64"/>
    <w:lvl w:ilvl="0" w:tplc="FC2266C4">
      <w:start w:val="1"/>
      <w:numFmt w:val="bullet"/>
      <w:lvlText w:val="●"/>
      <w:lvlJc w:val="left"/>
      <w:pPr>
        <w:ind w:left="720" w:hanging="360"/>
      </w:pPr>
    </w:lvl>
    <w:lvl w:ilvl="1" w:tplc="0E2A9DC0">
      <w:start w:val="1"/>
      <w:numFmt w:val="bullet"/>
      <w:lvlText w:val="○"/>
      <w:lvlJc w:val="left"/>
      <w:pPr>
        <w:ind w:left="1440" w:hanging="360"/>
      </w:pPr>
    </w:lvl>
    <w:lvl w:ilvl="2" w:tplc="7C263C04">
      <w:start w:val="1"/>
      <w:numFmt w:val="bullet"/>
      <w:lvlText w:val="■"/>
      <w:lvlJc w:val="left"/>
      <w:pPr>
        <w:ind w:left="2160" w:hanging="360"/>
      </w:pPr>
    </w:lvl>
    <w:lvl w:ilvl="3" w:tplc="EB8036E0">
      <w:start w:val="1"/>
      <w:numFmt w:val="bullet"/>
      <w:lvlText w:val="●"/>
      <w:lvlJc w:val="left"/>
      <w:pPr>
        <w:ind w:left="2880" w:hanging="360"/>
      </w:pPr>
    </w:lvl>
    <w:lvl w:ilvl="4" w:tplc="9814A9DC">
      <w:start w:val="1"/>
      <w:numFmt w:val="bullet"/>
      <w:lvlText w:val="○"/>
      <w:lvlJc w:val="left"/>
      <w:pPr>
        <w:ind w:left="3600" w:hanging="360"/>
      </w:pPr>
    </w:lvl>
    <w:lvl w:ilvl="5" w:tplc="04966214">
      <w:start w:val="1"/>
      <w:numFmt w:val="bullet"/>
      <w:lvlText w:val="■"/>
      <w:lvlJc w:val="left"/>
      <w:pPr>
        <w:ind w:left="4320" w:hanging="360"/>
      </w:pPr>
    </w:lvl>
    <w:lvl w:ilvl="6" w:tplc="EEF49858">
      <w:start w:val="1"/>
      <w:numFmt w:val="bullet"/>
      <w:lvlText w:val="●"/>
      <w:lvlJc w:val="left"/>
      <w:pPr>
        <w:ind w:left="5040" w:hanging="360"/>
      </w:pPr>
    </w:lvl>
    <w:lvl w:ilvl="7" w:tplc="0CC643FE">
      <w:start w:val="1"/>
      <w:numFmt w:val="bullet"/>
      <w:lvlText w:val="●"/>
      <w:lvlJc w:val="left"/>
      <w:pPr>
        <w:ind w:left="5760" w:hanging="360"/>
      </w:pPr>
    </w:lvl>
    <w:lvl w:ilvl="8" w:tplc="E0803B00">
      <w:start w:val="1"/>
      <w:numFmt w:val="bullet"/>
      <w:lvlText w:val="●"/>
      <w:lvlJc w:val="left"/>
      <w:pPr>
        <w:ind w:left="6480" w:hanging="360"/>
      </w:pPr>
    </w:lvl>
  </w:abstractNum>
  <w:abstractNum w:abstractNumId="1" w15:restartNumberingAfterBreak="0">
    <w:nsid w:val="6349285D"/>
    <w:multiLevelType w:val="hybridMultilevel"/>
    <w:tmpl w:val="5B80C204"/>
    <w:lvl w:ilvl="0" w:tplc="BBF09702">
      <w:start w:val="1"/>
      <w:numFmt w:val="bullet"/>
      <w:lvlText w:val="•"/>
      <w:lvlJc w:val="left"/>
      <w:pPr>
        <w:ind w:left="720" w:hanging="360"/>
      </w:pPr>
    </w:lvl>
    <w:lvl w:ilvl="1" w:tplc="AEBE308C">
      <w:numFmt w:val="decimal"/>
      <w:lvlText w:val=""/>
      <w:lvlJc w:val="left"/>
    </w:lvl>
    <w:lvl w:ilvl="2" w:tplc="F02E9374">
      <w:numFmt w:val="decimal"/>
      <w:lvlText w:val=""/>
      <w:lvlJc w:val="left"/>
    </w:lvl>
    <w:lvl w:ilvl="3" w:tplc="6996FF1A">
      <w:numFmt w:val="decimal"/>
      <w:lvlText w:val=""/>
      <w:lvlJc w:val="left"/>
    </w:lvl>
    <w:lvl w:ilvl="4" w:tplc="19229BFC">
      <w:numFmt w:val="decimal"/>
      <w:lvlText w:val=""/>
      <w:lvlJc w:val="left"/>
    </w:lvl>
    <w:lvl w:ilvl="5" w:tplc="8FAAD990">
      <w:numFmt w:val="decimal"/>
      <w:lvlText w:val=""/>
      <w:lvlJc w:val="left"/>
    </w:lvl>
    <w:lvl w:ilvl="6" w:tplc="22940A0C">
      <w:numFmt w:val="decimal"/>
      <w:lvlText w:val=""/>
      <w:lvlJc w:val="left"/>
    </w:lvl>
    <w:lvl w:ilvl="7" w:tplc="CDCA416A">
      <w:numFmt w:val="decimal"/>
      <w:lvlText w:val=""/>
      <w:lvlJc w:val="left"/>
    </w:lvl>
    <w:lvl w:ilvl="8" w:tplc="DB5A9916">
      <w:numFmt w:val="decimal"/>
      <w:lvlText w:val=""/>
      <w:lvlJc w:val="left"/>
    </w:lvl>
  </w:abstractNum>
  <w:num w:numId="1" w16cid:durableId="1369062377">
    <w:abstractNumId w:val="0"/>
    <w:lvlOverride w:ilvl="0">
      <w:startOverride w:val="1"/>
    </w:lvlOverride>
  </w:num>
  <w:num w:numId="2" w16cid:durableId="13943110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42B"/>
    <w:rsid w:val="0062142B"/>
    <w:rsid w:val="00735CB2"/>
    <w:rsid w:val="0095737B"/>
    <w:rsid w:val="00A60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7F77AE"/>
  <w15:docId w15:val="{AFF213D5-BA32-2F40-882C-858C5EAD5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9" ma:contentTypeDescription="Create a new document." ma:contentTypeScope="" ma:versionID="185a819d8b29fb1c5c69deeb9ddc6f6b">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3b7aed2052f969993216002cb5cd1016"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49859C-5A77-4562-BF28-1623AFE03E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c2ad31-6081-47b0-9a1c-493171cf57bb"/>
    <ds:schemaRef ds:uri="f804db37-045c-4be0-9a8e-7e159ca899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4F37F0-D103-4202-8EF4-C6CCF7ACB939}">
  <ds:schemaRefs>
    <ds:schemaRef ds:uri="http://schemas.microsoft.com/office/2006/metadata/properties"/>
    <ds:schemaRef ds:uri="http://schemas.microsoft.com/office/infopath/2007/PartnerControls"/>
    <ds:schemaRef ds:uri="45c2ad31-6081-47b0-9a1c-493171cf57bb"/>
    <ds:schemaRef ds:uri="f804db37-045c-4be0-9a8e-7e159ca899d9"/>
  </ds:schemaRefs>
</ds:datastoreItem>
</file>

<file path=customXml/itemProps3.xml><?xml version="1.0" encoding="utf-8"?>
<ds:datastoreItem xmlns:ds="http://schemas.openxmlformats.org/officeDocument/2006/customXml" ds:itemID="{5651CF10-0BB0-4B48-B1B9-CF8EED8995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1727</Words>
  <Characters>9844</Characters>
  <Application>Microsoft Office Word</Application>
  <DocSecurity>0</DocSecurity>
  <Lines>82</Lines>
  <Paragraphs>23</Paragraphs>
  <ScaleCrop>false</ScaleCrop>
  <Company/>
  <LinksUpToDate>false</LinksUpToDate>
  <CharactersWithSpaces>11548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Masteller</cp:lastModifiedBy>
  <cp:revision>2</cp:revision>
  <dcterms:created xsi:type="dcterms:W3CDTF">2026-02-16T19:10:00Z</dcterms:created>
  <dcterms:modified xsi:type="dcterms:W3CDTF">2026-02-16T19:30:00Z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0x010100A2BA95BF13F2874EA53C62090463B696</vt:lpwstr>
  </property>
</Properties>
</file>