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5EFD37" w14:textId="77777777" w:rsidR="006165AA" w:rsidRPr="00BA7C33" w:rsidRDefault="00000000">
      <w:pPr>
        <w:pStyle w:val="Heading1"/>
        <w:spacing w:after="200"/>
        <w:rPr>
          <w:rFonts w:ascii="Calibri" w:hAnsi="Calibri" w:cs="Calibri"/>
        </w:rPr>
      </w:pPr>
      <w:r w:rsidRPr="00BA7C33">
        <w:rPr>
          <w:rFonts w:ascii="Calibri" w:hAnsi="Calibri" w:cs="Calibri"/>
        </w:rPr>
        <w:t xml:space="preserve">RFP Response — 2026 </w:t>
      </w:r>
      <w:proofErr w:type="spellStart"/>
      <w:r w:rsidRPr="00BA7C33">
        <w:rPr>
          <w:rFonts w:ascii="Calibri" w:hAnsi="Calibri" w:cs="Calibri"/>
        </w:rPr>
        <w:t>GoldsGym</w:t>
      </w:r>
      <w:proofErr w:type="spellEnd"/>
      <w:r w:rsidRPr="00BA7C33">
        <w:rPr>
          <w:rFonts w:ascii="Calibri" w:hAnsi="Calibri" w:cs="Calibri"/>
        </w:rPr>
        <w:t xml:space="preserve"> RFI Document Final</w:t>
      </w:r>
    </w:p>
    <w:p w14:paraId="3324CC39" w14:textId="77777777" w:rsidR="006165AA" w:rsidRPr="00BA7C33" w:rsidRDefault="00000000">
      <w:pPr>
        <w:spacing w:after="400"/>
        <w:rPr>
          <w:rFonts w:ascii="Calibri" w:hAnsi="Calibri" w:cs="Calibri"/>
        </w:rPr>
      </w:pPr>
      <w:r w:rsidRPr="00BA7C33">
        <w:rPr>
          <w:rFonts w:ascii="Calibri" w:hAnsi="Calibri" w:cs="Calibri"/>
          <w:color w:val="666666"/>
        </w:rPr>
        <w:t>Generated: 9 July 2026    |    Questions answered: 58</w:t>
      </w:r>
    </w:p>
    <w:p w14:paraId="25BB64C0"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B887719" w14:textId="77777777">
        <w:tblPrEx>
          <w:tblCellMar>
            <w:top w:w="0" w:type="dxa"/>
            <w:bottom w:w="0" w:type="dxa"/>
          </w:tblCellMar>
        </w:tblPrEx>
        <w:trPr>
          <w:tblHeader/>
        </w:trPr>
        <w:tc>
          <w:tcPr>
            <w:tcW w:w="250" w:type="pct"/>
            <w:shd w:val="clear" w:color="auto" w:fill="F3F4F6"/>
          </w:tcPr>
          <w:p w14:paraId="2114DC83"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385C615C"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4B0FE31C"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3377B57A" w14:textId="77777777">
        <w:tblPrEx>
          <w:tblCellMar>
            <w:top w:w="0" w:type="dxa"/>
            <w:bottom w:w="0" w:type="dxa"/>
          </w:tblCellMar>
        </w:tblPrEx>
        <w:tc>
          <w:tcPr>
            <w:tcW w:w="250" w:type="pct"/>
          </w:tcPr>
          <w:p w14:paraId="7D4DD052" w14:textId="77777777" w:rsidR="006165AA" w:rsidRPr="00BA7C33" w:rsidRDefault="00000000">
            <w:pPr>
              <w:rPr>
                <w:rFonts w:ascii="Calibri" w:hAnsi="Calibri" w:cs="Calibri"/>
              </w:rPr>
            </w:pPr>
            <w:r w:rsidRPr="00BA7C33">
              <w:rPr>
                <w:rFonts w:ascii="Calibri" w:hAnsi="Calibri" w:cs="Calibri"/>
                <w:b/>
                <w:bCs/>
              </w:rPr>
              <w:t>1</w:t>
            </w:r>
          </w:p>
        </w:tc>
        <w:tc>
          <w:tcPr>
            <w:tcW w:w="2750" w:type="pct"/>
          </w:tcPr>
          <w:p w14:paraId="2D3DDC9E" w14:textId="77777777" w:rsidR="006165AA" w:rsidRPr="00BA7C33" w:rsidRDefault="00000000">
            <w:pPr>
              <w:rPr>
                <w:rFonts w:ascii="Calibri" w:hAnsi="Calibri" w:cs="Calibri"/>
              </w:rPr>
            </w:pPr>
            <w:r w:rsidRPr="00BA7C33">
              <w:rPr>
                <w:rFonts w:ascii="Calibri" w:hAnsi="Calibri" w:cs="Calibri"/>
              </w:rPr>
              <w:t>Departmental Discovery &amp; Demonstration Sessions — Demonstration flow (a): Live join-online flow — web form to active member in under 5 minutes, on a sandbox Gold's can access afterward. Primary area: Core / API.</w:t>
            </w:r>
          </w:p>
        </w:tc>
        <w:tc>
          <w:tcPr>
            <w:tcW w:w="2000" w:type="pct"/>
          </w:tcPr>
          <w:p w14:paraId="3945526B" w14:textId="77777777" w:rsidR="006165AA" w:rsidRPr="00BA7C33" w:rsidRDefault="00000000">
            <w:pPr>
              <w:rPr>
                <w:rFonts w:ascii="Calibri" w:hAnsi="Calibri" w:cs="Calibri"/>
              </w:rPr>
            </w:pPr>
            <w:r w:rsidRPr="00BA7C33">
              <w:rPr>
                <w:rFonts w:ascii="Calibri" w:hAnsi="Calibri" w:cs="Calibri"/>
                <w:color w:val="000000"/>
              </w:rPr>
              <w:t xml:space="preserve">Yes. Hapana can demonstrate a live join-online flow — from web form submission to active member status — within a 5-minute window during a live session. A sandbox environment accessible to Gold's Gym </w:t>
            </w:r>
            <w:proofErr w:type="gramStart"/>
            <w:r w:rsidRPr="00BA7C33">
              <w:rPr>
                <w:rFonts w:ascii="Calibri" w:hAnsi="Calibri" w:cs="Calibri"/>
                <w:color w:val="000000"/>
              </w:rPr>
              <w:t>stakeholders</w:t>
            </w:r>
            <w:proofErr w:type="gramEnd"/>
            <w:r w:rsidRPr="00BA7C33">
              <w:rPr>
                <w:rFonts w:ascii="Calibri" w:hAnsi="Calibri" w:cs="Calibri"/>
                <w:color w:val="000000"/>
              </w:rPr>
              <w:t xml:space="preserve"> post-demonstration can be provisioned for a mutually agreed duration, allowing your team to explore the full member creation and onboarding flow independently.</w:t>
            </w:r>
          </w:p>
        </w:tc>
      </w:tr>
    </w:tbl>
    <w:p w14:paraId="1279E4A9" w14:textId="77777777" w:rsidR="006165AA" w:rsidRPr="00BA7C33" w:rsidRDefault="00000000">
      <w:pPr>
        <w:pStyle w:val="Heading2"/>
        <w:spacing w:before="400" w:after="200"/>
        <w:rPr>
          <w:rFonts w:ascii="Calibri" w:hAnsi="Calibri" w:cs="Calibri"/>
        </w:rPr>
      </w:pPr>
      <w:r w:rsidRPr="00BA7C33">
        <w:rPr>
          <w:rFonts w:ascii="Calibri" w:hAnsi="Calibri" w:cs="Calibri"/>
        </w:rPr>
        <w:t>Membership Management</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166D158E" w14:textId="77777777">
        <w:tblPrEx>
          <w:tblCellMar>
            <w:top w:w="0" w:type="dxa"/>
            <w:bottom w:w="0" w:type="dxa"/>
          </w:tblCellMar>
        </w:tblPrEx>
        <w:trPr>
          <w:tblHeader/>
        </w:trPr>
        <w:tc>
          <w:tcPr>
            <w:tcW w:w="250" w:type="pct"/>
            <w:shd w:val="clear" w:color="auto" w:fill="F3F4F6"/>
          </w:tcPr>
          <w:p w14:paraId="6945EAFA"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3A5472E1"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4C7F775"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3BE30D0A" w14:textId="77777777">
        <w:tblPrEx>
          <w:tblCellMar>
            <w:top w:w="0" w:type="dxa"/>
            <w:bottom w:w="0" w:type="dxa"/>
          </w:tblCellMar>
        </w:tblPrEx>
        <w:tc>
          <w:tcPr>
            <w:tcW w:w="250" w:type="pct"/>
          </w:tcPr>
          <w:p w14:paraId="71E09816" w14:textId="77777777" w:rsidR="006165AA" w:rsidRPr="00BA7C33" w:rsidRDefault="00000000">
            <w:pPr>
              <w:rPr>
                <w:rFonts w:ascii="Calibri" w:hAnsi="Calibri" w:cs="Calibri"/>
              </w:rPr>
            </w:pPr>
            <w:r w:rsidRPr="00BA7C33">
              <w:rPr>
                <w:rFonts w:ascii="Calibri" w:hAnsi="Calibri" w:cs="Calibri"/>
                <w:b/>
                <w:bCs/>
              </w:rPr>
              <w:t>2</w:t>
            </w:r>
          </w:p>
        </w:tc>
        <w:tc>
          <w:tcPr>
            <w:tcW w:w="2750" w:type="pct"/>
          </w:tcPr>
          <w:p w14:paraId="50378A57" w14:textId="77777777" w:rsidR="006165AA" w:rsidRPr="00BA7C33" w:rsidRDefault="00000000">
            <w:pPr>
              <w:rPr>
                <w:rFonts w:ascii="Calibri" w:hAnsi="Calibri" w:cs="Calibri"/>
              </w:rPr>
            </w:pPr>
            <w:r w:rsidRPr="00BA7C33">
              <w:rPr>
                <w:rFonts w:ascii="Calibri" w:hAnsi="Calibri" w:cs="Calibri"/>
              </w:rPr>
              <w:t>Departmental Discovery &amp; Demonstration Sessions — Demonstration flow (b): Multi-location member check-in — travel-pass scenario; one member, two locations, verified entitlement. Primary area: Core / Franchise.</w:t>
            </w:r>
          </w:p>
        </w:tc>
        <w:tc>
          <w:tcPr>
            <w:tcW w:w="2000" w:type="pct"/>
          </w:tcPr>
          <w:p w14:paraId="7DC2F94D" w14:textId="77777777" w:rsidR="006165AA" w:rsidRPr="00BA7C33" w:rsidRDefault="00000000">
            <w:pPr>
              <w:rPr>
                <w:rFonts w:ascii="Calibri" w:hAnsi="Calibri" w:cs="Calibri"/>
              </w:rPr>
            </w:pPr>
            <w:r w:rsidRPr="00BA7C33">
              <w:rPr>
                <w:rFonts w:ascii="Calibri" w:hAnsi="Calibri" w:cs="Calibri"/>
                <w:color w:val="000000"/>
              </w:rPr>
              <w:t>Hapana supports multi-location access configurations, allowing a member's entitlement to be scoped to all connected locations, a defined group of locations, or their home location only. In a travel-pass scenario, a member with network-wide or multi-location entitlement can check in at a visited location, with the system verifying their active membership and access rights at that club. Note that while check-in and entitlement verification across locations is supported, cross-club service delivery (e.g., booking a class at Location A and having it fulfilled at Location B) is not currently supported — the visit and booking must originate at the same location.</w:t>
            </w:r>
          </w:p>
        </w:tc>
      </w:tr>
    </w:tbl>
    <w:p w14:paraId="1077FB19" w14:textId="77777777" w:rsidR="006165AA" w:rsidRPr="00BA7C33" w:rsidRDefault="00000000">
      <w:pPr>
        <w:pStyle w:val="Heading2"/>
        <w:spacing w:before="400" w:after="200"/>
        <w:rPr>
          <w:rFonts w:ascii="Calibri" w:hAnsi="Calibri" w:cs="Calibri"/>
        </w:rPr>
      </w:pPr>
      <w:r w:rsidRPr="00BA7C33">
        <w:rPr>
          <w:rFonts w:ascii="Calibri" w:hAnsi="Calibri" w:cs="Calibri"/>
        </w:rPr>
        <w:t>Billing &amp; Payments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163975C" w14:textId="77777777">
        <w:tblPrEx>
          <w:tblCellMar>
            <w:top w:w="0" w:type="dxa"/>
            <w:bottom w:w="0" w:type="dxa"/>
          </w:tblCellMar>
        </w:tblPrEx>
        <w:trPr>
          <w:tblHeader/>
        </w:trPr>
        <w:tc>
          <w:tcPr>
            <w:tcW w:w="250" w:type="pct"/>
            <w:shd w:val="clear" w:color="auto" w:fill="F3F4F6"/>
          </w:tcPr>
          <w:p w14:paraId="65E8A5FA"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293454FE"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7AD60B3"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7AFD6999" w14:textId="77777777">
        <w:tblPrEx>
          <w:tblCellMar>
            <w:top w:w="0" w:type="dxa"/>
            <w:bottom w:w="0" w:type="dxa"/>
          </w:tblCellMar>
        </w:tblPrEx>
        <w:tc>
          <w:tcPr>
            <w:tcW w:w="250" w:type="pct"/>
          </w:tcPr>
          <w:p w14:paraId="54B26037" w14:textId="77777777" w:rsidR="006165AA" w:rsidRPr="00BA7C33" w:rsidRDefault="00000000">
            <w:pPr>
              <w:rPr>
                <w:rFonts w:ascii="Calibri" w:hAnsi="Calibri" w:cs="Calibri"/>
              </w:rPr>
            </w:pPr>
            <w:r w:rsidRPr="00BA7C33">
              <w:rPr>
                <w:rFonts w:ascii="Calibri" w:hAnsi="Calibri" w:cs="Calibri"/>
                <w:b/>
                <w:bCs/>
              </w:rPr>
              <w:t>3</w:t>
            </w:r>
          </w:p>
        </w:tc>
        <w:tc>
          <w:tcPr>
            <w:tcW w:w="2750" w:type="pct"/>
          </w:tcPr>
          <w:p w14:paraId="5A21F5DF" w14:textId="77777777" w:rsidR="006165AA" w:rsidRPr="00BA7C33" w:rsidRDefault="00000000">
            <w:pPr>
              <w:rPr>
                <w:rFonts w:ascii="Calibri" w:hAnsi="Calibri" w:cs="Calibri"/>
              </w:rPr>
            </w:pPr>
            <w:r w:rsidRPr="00BA7C33">
              <w:rPr>
                <w:rFonts w:ascii="Calibri" w:hAnsi="Calibri" w:cs="Calibri"/>
              </w:rPr>
              <w:t>Departmental Discovery &amp; Demonstration Sessions — Demonstration flow (c): ACH failure / dunning sequence — retry cadence, branded communications, recovery. Primary area: Core / Billing.</w:t>
            </w:r>
          </w:p>
        </w:tc>
        <w:tc>
          <w:tcPr>
            <w:tcW w:w="2000" w:type="pct"/>
          </w:tcPr>
          <w:p w14:paraId="63E24852" w14:textId="77777777" w:rsidR="006165AA" w:rsidRPr="00BA7C33" w:rsidRDefault="00000000">
            <w:pPr>
              <w:rPr>
                <w:rFonts w:ascii="Calibri" w:hAnsi="Calibri" w:cs="Calibri"/>
              </w:rPr>
            </w:pPr>
            <w:r w:rsidRPr="00BA7C33">
              <w:rPr>
                <w:rFonts w:ascii="Calibri" w:hAnsi="Calibri" w:cs="Calibri"/>
                <w:color w:val="000000"/>
              </w:rPr>
              <w:t xml:space="preserve">Hapana supports automated ACH/failed payment retry sequences with configurable retry </w:t>
            </w:r>
            <w:proofErr w:type="gramStart"/>
            <w:r w:rsidRPr="00BA7C33">
              <w:rPr>
                <w:rFonts w:ascii="Calibri" w:hAnsi="Calibri" w:cs="Calibri"/>
                <w:color w:val="000000"/>
              </w:rPr>
              <w:t>attempts, and</w:t>
            </w:r>
            <w:proofErr w:type="gramEnd"/>
            <w:r w:rsidRPr="00BA7C33">
              <w:rPr>
                <w:rFonts w:ascii="Calibri" w:hAnsi="Calibri" w:cs="Calibri"/>
                <w:color w:val="000000"/>
              </w:rPr>
              <w:t xml:space="preserve"> tracks all failed payments along with the reason for failure. Failed payments can be set to retry automatically or managed manually via the payments screen. Hapana also supports a Failed Payment Recovery Fee, which automatically charges a fee to the member's account upon a declined payment. Branded member communications (e.g., dunning emails) are supported through the platform's </w:t>
            </w:r>
            <w:r w:rsidRPr="00BA7C33">
              <w:rPr>
                <w:rFonts w:ascii="Calibri" w:hAnsi="Calibri" w:cs="Calibri"/>
                <w:color w:val="000000"/>
              </w:rPr>
              <w:lastRenderedPageBreak/>
              <w:t>messaging tools. Full automation of the retry cadence is currently in active development (In Current Sprint, P1).</w:t>
            </w:r>
          </w:p>
        </w:tc>
      </w:tr>
    </w:tbl>
    <w:p w14:paraId="66C8FD6D"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Reporting &amp; Analytics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259BBFA2" w14:textId="77777777">
        <w:tblPrEx>
          <w:tblCellMar>
            <w:top w:w="0" w:type="dxa"/>
            <w:bottom w:w="0" w:type="dxa"/>
          </w:tblCellMar>
        </w:tblPrEx>
        <w:trPr>
          <w:tblHeader/>
        </w:trPr>
        <w:tc>
          <w:tcPr>
            <w:tcW w:w="250" w:type="pct"/>
            <w:shd w:val="clear" w:color="auto" w:fill="F3F4F6"/>
          </w:tcPr>
          <w:p w14:paraId="47AF3F8D"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2925CEDA"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2A7D57BD"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79CE5886" w14:textId="77777777">
        <w:tblPrEx>
          <w:tblCellMar>
            <w:top w:w="0" w:type="dxa"/>
            <w:bottom w:w="0" w:type="dxa"/>
          </w:tblCellMar>
        </w:tblPrEx>
        <w:tc>
          <w:tcPr>
            <w:tcW w:w="250" w:type="pct"/>
          </w:tcPr>
          <w:p w14:paraId="631378C0" w14:textId="77777777" w:rsidR="006165AA" w:rsidRPr="00BA7C33" w:rsidRDefault="00000000">
            <w:pPr>
              <w:rPr>
                <w:rFonts w:ascii="Calibri" w:hAnsi="Calibri" w:cs="Calibri"/>
              </w:rPr>
            </w:pPr>
            <w:r w:rsidRPr="00BA7C33">
              <w:rPr>
                <w:rFonts w:ascii="Calibri" w:hAnsi="Calibri" w:cs="Calibri"/>
                <w:b/>
                <w:bCs/>
              </w:rPr>
              <w:t>4</w:t>
            </w:r>
          </w:p>
        </w:tc>
        <w:tc>
          <w:tcPr>
            <w:tcW w:w="2750" w:type="pct"/>
          </w:tcPr>
          <w:p w14:paraId="7D0C41DA" w14:textId="77777777" w:rsidR="006165AA" w:rsidRPr="00BA7C33" w:rsidRDefault="00000000">
            <w:pPr>
              <w:rPr>
                <w:rFonts w:ascii="Calibri" w:hAnsi="Calibri" w:cs="Calibri"/>
              </w:rPr>
            </w:pPr>
            <w:r w:rsidRPr="00BA7C33">
              <w:rPr>
                <w:rFonts w:ascii="Calibri" w:hAnsi="Calibri" w:cs="Calibri"/>
              </w:rPr>
              <w:t>Departmental Discovery &amp; Demonstration Sessions — Demonstration flow (d): Franchisee scorecard — corporate → franchisee → location drill-down; explain refresh latency. Primary area: Franchise / Data.</w:t>
            </w:r>
          </w:p>
        </w:tc>
        <w:tc>
          <w:tcPr>
            <w:tcW w:w="2000" w:type="pct"/>
          </w:tcPr>
          <w:p w14:paraId="5A473BCF" w14:textId="77777777" w:rsidR="006165AA" w:rsidRPr="00BA7C33" w:rsidRDefault="00000000">
            <w:pPr>
              <w:rPr>
                <w:rFonts w:ascii="Calibri" w:hAnsi="Calibri" w:cs="Calibri"/>
              </w:rPr>
            </w:pPr>
            <w:r w:rsidRPr="00BA7C33">
              <w:rPr>
                <w:rFonts w:ascii="Calibri" w:hAnsi="Calibri" w:cs="Calibri"/>
                <w:color w:val="000000"/>
              </w:rPr>
              <w:t xml:space="preserve">Our reporting architecture is designed to support the full hierarchy of a multi-club organization, from enterprise corporate level down to individual club, staff member, and member views. The platform enforces role-based data access through a permission layer built on our operational database, meaning corporate administrators see aggregated performance across all locations, regional or master franchisee users see their scoped subset of clubs, club managers see their individual location's data, and staff and members see only what is relevant to them. This is not simply a filter applied to a single report — access scope is structurally enforced at the query level, making cross-tenant or cross-scope data leakage structurally impossible.  The analytics stack is built on a GCP-native data platform using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as the analytics warehouse, with near-real-time data freshness delivered via Change Data Capture pipelines from our operational database. A self-hosted semantic layer serves as the single source of truth for all measures and dimensions — covering Prospect, Member, Club, Training, Staff, and Revenue data domains — and powers every dashboard and AI-assisted insight in the platform. Pre-built embedded dashboards cover Revenue Overview, Member Analytics, Booking Analytics with Staff Performance, Marketing, and Operations in development. Alongside these, a custom dashboard builder is currently in active development, as is a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data warehouse integration for clients who wish to connect their own BI tooling. Our AI-powered insights capability is also in active development </w:t>
            </w:r>
            <w:proofErr w:type="spellStart"/>
            <w:r w:rsidRPr="00BA7C33">
              <w:rPr>
                <w:rFonts w:ascii="Calibri" w:hAnsi="Calibri" w:cs="Calibri"/>
                <w:color w:val="000000"/>
              </w:rPr>
              <w:t>fro</w:t>
            </w:r>
            <w:proofErr w:type="spellEnd"/>
            <w:r w:rsidRPr="00BA7C33">
              <w:rPr>
                <w:rFonts w:ascii="Calibri" w:hAnsi="Calibri" w:cs="Calibri"/>
                <w:color w:val="000000"/>
              </w:rPr>
              <w:t xml:space="preserve"> 2026, targeting proactive, role-specific intelligence including churn prediction, revenue forecasting, attendance trends, and anomaly detection — consumable via dashboards, alerts, or mobile briefing cards depending on the user's role and workflow.</w:t>
            </w:r>
          </w:p>
        </w:tc>
      </w:tr>
    </w:tbl>
    <w:p w14:paraId="7C271532"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DA8A3FC" w14:textId="77777777">
        <w:tblPrEx>
          <w:tblCellMar>
            <w:top w:w="0" w:type="dxa"/>
            <w:bottom w:w="0" w:type="dxa"/>
          </w:tblCellMar>
        </w:tblPrEx>
        <w:trPr>
          <w:tblHeader/>
        </w:trPr>
        <w:tc>
          <w:tcPr>
            <w:tcW w:w="250" w:type="pct"/>
            <w:shd w:val="clear" w:color="auto" w:fill="F3F4F6"/>
          </w:tcPr>
          <w:p w14:paraId="02651D6C"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7C266E41"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6960B264"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45A8612F" w14:textId="77777777">
        <w:tblPrEx>
          <w:tblCellMar>
            <w:top w:w="0" w:type="dxa"/>
            <w:bottom w:w="0" w:type="dxa"/>
          </w:tblCellMar>
        </w:tblPrEx>
        <w:tc>
          <w:tcPr>
            <w:tcW w:w="250" w:type="pct"/>
          </w:tcPr>
          <w:p w14:paraId="09A7C57B" w14:textId="77777777" w:rsidR="006165AA" w:rsidRPr="00BA7C33" w:rsidRDefault="00000000">
            <w:pPr>
              <w:rPr>
                <w:rFonts w:ascii="Calibri" w:hAnsi="Calibri" w:cs="Calibri"/>
              </w:rPr>
            </w:pPr>
            <w:r w:rsidRPr="00BA7C33">
              <w:rPr>
                <w:rFonts w:ascii="Calibri" w:hAnsi="Calibri" w:cs="Calibri"/>
                <w:b/>
                <w:bCs/>
              </w:rPr>
              <w:t>5</w:t>
            </w:r>
          </w:p>
        </w:tc>
        <w:tc>
          <w:tcPr>
            <w:tcW w:w="2750" w:type="pct"/>
          </w:tcPr>
          <w:p w14:paraId="044FA560" w14:textId="77777777" w:rsidR="006165AA" w:rsidRPr="00BA7C33" w:rsidRDefault="00000000">
            <w:pPr>
              <w:rPr>
                <w:rFonts w:ascii="Calibri" w:hAnsi="Calibri" w:cs="Calibri"/>
              </w:rPr>
            </w:pPr>
            <w:r w:rsidRPr="00BA7C33">
              <w:rPr>
                <w:rFonts w:ascii="Calibri" w:hAnsi="Calibri" w:cs="Calibri"/>
              </w:rPr>
              <w:t>Departmental Discovery &amp; Demonstration Sessions — Demonstration flow (e): API and webhook demonstration — trigger a real-time event and consume it in a sandbox external system. Primary area: API &amp; Integration.</w:t>
            </w:r>
          </w:p>
        </w:tc>
        <w:tc>
          <w:tcPr>
            <w:tcW w:w="2000" w:type="pct"/>
          </w:tcPr>
          <w:p w14:paraId="7E88155C" w14:textId="77777777" w:rsidR="006165AA" w:rsidRPr="00BA7C33" w:rsidRDefault="00000000">
            <w:pPr>
              <w:rPr>
                <w:rFonts w:ascii="Calibri" w:hAnsi="Calibri" w:cs="Calibri"/>
              </w:rPr>
            </w:pPr>
            <w:r w:rsidRPr="00BA7C33">
              <w:rPr>
                <w:rFonts w:ascii="Calibri" w:hAnsi="Calibri" w:cs="Calibri"/>
                <w:color w:val="000000"/>
              </w:rPr>
              <w:t xml:space="preserve">Hapana supports a live API and webhook demonstration in a sandbox environment. During a discovery session, we can trigger a real-time event — such as a member join, class booking, or check-in — via our platform or public </w:t>
            </w:r>
            <w:proofErr w:type="gramStart"/>
            <w:r w:rsidRPr="00BA7C33">
              <w:rPr>
                <w:rFonts w:ascii="Calibri" w:hAnsi="Calibri" w:cs="Calibri"/>
                <w:color w:val="000000"/>
              </w:rPr>
              <w:t>API, and</w:t>
            </w:r>
            <w:proofErr w:type="gramEnd"/>
            <w:r w:rsidRPr="00BA7C33">
              <w:rPr>
                <w:rFonts w:ascii="Calibri" w:hAnsi="Calibri" w:cs="Calibri"/>
                <w:color w:val="000000"/>
              </w:rPr>
              <w:t xml:space="preserve"> show that event being consumed by an external sandbox system through a configured webhook endpoint. Our integration framework facilitates bidirectional communication: external systems can both receive outbound webhook payloads from Hapana and push certain inbound events to Hapana to update member records and initiate automated workflows. Note that payment collection requires interaction with Hapana-hosted UI elements, so a fully headless end-to-end payment flow is not demonstrated in this context; however, all other key lifecycle and engagement events are available for real-time demonstration.</w:t>
            </w:r>
          </w:p>
        </w:tc>
      </w:tr>
    </w:tbl>
    <w:p w14:paraId="67A51E2A" w14:textId="77777777" w:rsidR="006165AA" w:rsidRPr="00BA7C33" w:rsidRDefault="00000000">
      <w:pPr>
        <w:pStyle w:val="Heading2"/>
        <w:spacing w:before="400" w:after="200"/>
        <w:rPr>
          <w:rFonts w:ascii="Calibri" w:hAnsi="Calibri" w:cs="Calibri"/>
        </w:rPr>
      </w:pPr>
      <w:r w:rsidRPr="00BA7C33">
        <w:rPr>
          <w:rFonts w:ascii="Calibri" w:hAnsi="Calibri" w:cs="Calibri"/>
        </w:rPr>
        <w:t>Operations &amp; Facilities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05A0144A" w14:textId="77777777">
        <w:tblPrEx>
          <w:tblCellMar>
            <w:top w:w="0" w:type="dxa"/>
            <w:bottom w:w="0" w:type="dxa"/>
          </w:tblCellMar>
        </w:tblPrEx>
        <w:trPr>
          <w:tblHeader/>
        </w:trPr>
        <w:tc>
          <w:tcPr>
            <w:tcW w:w="250" w:type="pct"/>
            <w:shd w:val="clear" w:color="auto" w:fill="F3F4F6"/>
          </w:tcPr>
          <w:p w14:paraId="44832625"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765B4110"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25DC0B09"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4FB7A6B3" w14:textId="77777777">
        <w:tblPrEx>
          <w:tblCellMar>
            <w:top w:w="0" w:type="dxa"/>
            <w:bottom w:w="0" w:type="dxa"/>
          </w:tblCellMar>
        </w:tblPrEx>
        <w:tc>
          <w:tcPr>
            <w:tcW w:w="250" w:type="pct"/>
          </w:tcPr>
          <w:p w14:paraId="69372150" w14:textId="77777777" w:rsidR="006165AA" w:rsidRPr="00BA7C33" w:rsidRDefault="00000000">
            <w:pPr>
              <w:rPr>
                <w:rFonts w:ascii="Calibri" w:hAnsi="Calibri" w:cs="Calibri"/>
              </w:rPr>
            </w:pPr>
            <w:r w:rsidRPr="00BA7C33">
              <w:rPr>
                <w:rFonts w:ascii="Calibri" w:hAnsi="Calibri" w:cs="Calibri"/>
                <w:b/>
                <w:bCs/>
              </w:rPr>
              <w:t>6</w:t>
            </w:r>
          </w:p>
        </w:tc>
        <w:tc>
          <w:tcPr>
            <w:tcW w:w="2750" w:type="pct"/>
          </w:tcPr>
          <w:p w14:paraId="0305F061" w14:textId="77777777" w:rsidR="006165AA" w:rsidRPr="00BA7C33" w:rsidRDefault="00000000">
            <w:pPr>
              <w:rPr>
                <w:rFonts w:ascii="Calibri" w:hAnsi="Calibri" w:cs="Calibri"/>
              </w:rPr>
            </w:pPr>
            <w:r w:rsidRPr="00BA7C33">
              <w:rPr>
                <w:rFonts w:ascii="Calibri" w:hAnsi="Calibri" w:cs="Calibri"/>
              </w:rPr>
              <w:t>Departmental Discovery &amp; Demonstration Sessions — Demonstration flow (f): POS transaction tied to member account — show it in member profile, location daily report, and corporate roll-up. Primary area: Core.</w:t>
            </w:r>
          </w:p>
        </w:tc>
        <w:tc>
          <w:tcPr>
            <w:tcW w:w="2000" w:type="pct"/>
          </w:tcPr>
          <w:p w14:paraId="15E36573" w14:textId="77777777" w:rsidR="006165AA" w:rsidRPr="00BA7C33" w:rsidRDefault="00000000">
            <w:pPr>
              <w:rPr>
                <w:rFonts w:ascii="Calibri" w:hAnsi="Calibri" w:cs="Calibri"/>
              </w:rPr>
            </w:pPr>
            <w:r w:rsidRPr="00BA7C33">
              <w:rPr>
                <w:rFonts w:ascii="Calibri" w:hAnsi="Calibri" w:cs="Calibri"/>
                <w:color w:val="000000"/>
              </w:rPr>
              <w:t>Yes. When a POS transaction is processed, it is immediately written to the member's Billing History in their profile. Hapana is a singular platform, so that same transaction data flows into location-level daily reporting and is accessible for corporate roll-up across all locations. Members can be identified at POS by name, phone, email, or barcode, with photo confirmation, and all processing is handled via Stripe terminal with tokenized, PCI-safe card-on-file.</w:t>
            </w:r>
          </w:p>
        </w:tc>
      </w:tr>
    </w:tbl>
    <w:p w14:paraId="5382FB2A"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675CD6B" w14:textId="77777777">
        <w:tblPrEx>
          <w:tblCellMar>
            <w:top w:w="0" w:type="dxa"/>
            <w:bottom w:w="0" w:type="dxa"/>
          </w:tblCellMar>
        </w:tblPrEx>
        <w:trPr>
          <w:tblHeader/>
        </w:trPr>
        <w:tc>
          <w:tcPr>
            <w:tcW w:w="250" w:type="pct"/>
            <w:shd w:val="clear" w:color="auto" w:fill="F3F4F6"/>
          </w:tcPr>
          <w:p w14:paraId="62EA67CD"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559D12BD"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05E4D2C0"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71B7713B" w14:textId="77777777">
        <w:tblPrEx>
          <w:tblCellMar>
            <w:top w:w="0" w:type="dxa"/>
            <w:bottom w:w="0" w:type="dxa"/>
          </w:tblCellMar>
        </w:tblPrEx>
        <w:tc>
          <w:tcPr>
            <w:tcW w:w="250" w:type="pct"/>
          </w:tcPr>
          <w:p w14:paraId="60564827" w14:textId="77777777" w:rsidR="006165AA" w:rsidRPr="00BA7C33" w:rsidRDefault="00000000">
            <w:pPr>
              <w:rPr>
                <w:rFonts w:ascii="Calibri" w:hAnsi="Calibri" w:cs="Calibri"/>
              </w:rPr>
            </w:pPr>
            <w:r w:rsidRPr="00BA7C33">
              <w:rPr>
                <w:rFonts w:ascii="Calibri" w:hAnsi="Calibri" w:cs="Calibri"/>
                <w:b/>
                <w:bCs/>
              </w:rPr>
              <w:t>7</w:t>
            </w:r>
          </w:p>
        </w:tc>
        <w:tc>
          <w:tcPr>
            <w:tcW w:w="2750" w:type="pct"/>
          </w:tcPr>
          <w:p w14:paraId="691AE88A" w14:textId="77777777" w:rsidR="006165AA" w:rsidRPr="00BA7C33" w:rsidRDefault="00000000">
            <w:pPr>
              <w:rPr>
                <w:rFonts w:ascii="Calibri" w:hAnsi="Calibri" w:cs="Calibri"/>
              </w:rPr>
            </w:pPr>
            <w:r w:rsidRPr="00BA7C33">
              <w:rPr>
                <w:rFonts w:ascii="Calibri" w:hAnsi="Calibri" w:cs="Calibri"/>
              </w:rPr>
              <w:t>Departmental Discovery &amp; Demonstration Sessions — Demonstration flow (g): Headless / Gold's-owned UX on vendor APIs — full member journey (join → check-in → freeze → cancel) entirely via APIs, no vendor UI. Primary area: API &amp; Integration / Data.</w:t>
            </w:r>
          </w:p>
        </w:tc>
        <w:tc>
          <w:tcPr>
            <w:tcW w:w="2000" w:type="pct"/>
          </w:tcPr>
          <w:p w14:paraId="4857F74F" w14:textId="77777777" w:rsidR="006165AA" w:rsidRPr="00BA7C33" w:rsidRDefault="00000000">
            <w:pPr>
              <w:rPr>
                <w:rFonts w:ascii="Calibri" w:hAnsi="Calibri" w:cs="Calibri"/>
              </w:rPr>
            </w:pPr>
            <w:r w:rsidRPr="00BA7C33">
              <w:rPr>
                <w:rFonts w:ascii="Calibri" w:hAnsi="Calibri" w:cs="Calibri"/>
                <w:color w:val="000000"/>
              </w:rPr>
              <w:t xml:space="preserve">Hapana exposes a comprehensive API layer that supports a fully headless member journey. Key lifecycle actions — join/sign up, class booking, check-in, membership freeze, and cancellation — are all available via API, allowing Gold's to build and own the end-to-end UX without surfacing any Hapana UI. The custom-branded app Hapana ships natively (booking, gift cards, referrals, waitlist, cancellations, etc.) is itself built on these same APIs, confirming the full stack is API-accessible. </w:t>
            </w:r>
          </w:p>
        </w:tc>
      </w:tr>
      <w:tr w:rsidR="006165AA" w:rsidRPr="00BA7C33" w14:paraId="61579067" w14:textId="77777777">
        <w:tblPrEx>
          <w:tblCellMar>
            <w:top w:w="0" w:type="dxa"/>
            <w:bottom w:w="0" w:type="dxa"/>
          </w:tblCellMar>
        </w:tblPrEx>
        <w:tc>
          <w:tcPr>
            <w:tcW w:w="250" w:type="pct"/>
          </w:tcPr>
          <w:p w14:paraId="257FD4FA" w14:textId="77777777" w:rsidR="006165AA" w:rsidRPr="00BA7C33" w:rsidRDefault="00000000">
            <w:pPr>
              <w:rPr>
                <w:rFonts w:ascii="Calibri" w:hAnsi="Calibri" w:cs="Calibri"/>
              </w:rPr>
            </w:pPr>
            <w:r w:rsidRPr="00BA7C33">
              <w:rPr>
                <w:rFonts w:ascii="Calibri" w:hAnsi="Calibri" w:cs="Calibri"/>
                <w:b/>
                <w:bCs/>
              </w:rPr>
              <w:lastRenderedPageBreak/>
              <w:t>8</w:t>
            </w:r>
          </w:p>
        </w:tc>
        <w:tc>
          <w:tcPr>
            <w:tcW w:w="2750" w:type="pct"/>
          </w:tcPr>
          <w:p w14:paraId="341A4DEB" w14:textId="77777777" w:rsidR="006165AA" w:rsidRPr="00BA7C33" w:rsidRDefault="00000000">
            <w:pPr>
              <w:rPr>
                <w:rFonts w:ascii="Calibri" w:hAnsi="Calibri" w:cs="Calibri"/>
              </w:rPr>
            </w:pPr>
            <w:r w:rsidRPr="00BA7C33">
              <w:rPr>
                <w:rFonts w:ascii="Calibri" w:hAnsi="Calibri" w:cs="Calibri"/>
              </w:rPr>
              <w:t>Integration Inventory — HubSpot / Salesforce (CRM): Does your system support bi-directional API/webhook integration with HubSpot or Salesforce CRM in real-time?</w:t>
            </w:r>
          </w:p>
        </w:tc>
        <w:tc>
          <w:tcPr>
            <w:tcW w:w="2000" w:type="pct"/>
          </w:tcPr>
          <w:p w14:paraId="702BF4B4" w14:textId="77777777" w:rsidR="006165AA" w:rsidRPr="00BA7C33" w:rsidRDefault="00000000">
            <w:pPr>
              <w:rPr>
                <w:rFonts w:ascii="Calibri" w:hAnsi="Calibri" w:cs="Calibri"/>
              </w:rPr>
            </w:pPr>
            <w:r w:rsidRPr="00BA7C33">
              <w:rPr>
                <w:rFonts w:ascii="Calibri" w:hAnsi="Calibri" w:cs="Calibri"/>
                <w:color w:val="000000"/>
              </w:rPr>
              <w:t>Hapana currently supports a native one-way (unidirectional) integration with HubSpot, pushing data from Hapana to HubSpot. A bi-directional sync with HubSpot is actively in development. In the meantime, Hapana's public APIs and webhooks can be used to push key events and data — such as sign-ups, purchases, status changes, and check-ins — into HubSpot or Salesforce to support near real-time CRM updates. Full bi-directional, real-time API/webhook integration is partially supported today and expanding for HubSpot.</w:t>
            </w:r>
          </w:p>
        </w:tc>
      </w:tr>
      <w:tr w:rsidR="006165AA" w:rsidRPr="00BA7C33" w14:paraId="0CFC5F0E" w14:textId="77777777">
        <w:tblPrEx>
          <w:tblCellMar>
            <w:top w:w="0" w:type="dxa"/>
            <w:bottom w:w="0" w:type="dxa"/>
          </w:tblCellMar>
        </w:tblPrEx>
        <w:tc>
          <w:tcPr>
            <w:tcW w:w="250" w:type="pct"/>
          </w:tcPr>
          <w:p w14:paraId="774BB8B9" w14:textId="77777777" w:rsidR="006165AA" w:rsidRPr="00BA7C33" w:rsidRDefault="00000000">
            <w:pPr>
              <w:rPr>
                <w:rFonts w:ascii="Calibri" w:hAnsi="Calibri" w:cs="Calibri"/>
              </w:rPr>
            </w:pPr>
            <w:r w:rsidRPr="00BA7C33">
              <w:rPr>
                <w:rFonts w:ascii="Calibri" w:hAnsi="Calibri" w:cs="Calibri"/>
                <w:b/>
                <w:bCs/>
              </w:rPr>
              <w:t>9</w:t>
            </w:r>
          </w:p>
        </w:tc>
        <w:tc>
          <w:tcPr>
            <w:tcW w:w="2750" w:type="pct"/>
          </w:tcPr>
          <w:p w14:paraId="2EFA9455" w14:textId="77777777" w:rsidR="006165AA" w:rsidRPr="00BA7C33" w:rsidRDefault="00000000">
            <w:pPr>
              <w:rPr>
                <w:rFonts w:ascii="Calibri" w:hAnsi="Calibri" w:cs="Calibri"/>
              </w:rPr>
            </w:pPr>
            <w:r w:rsidRPr="00BA7C33">
              <w:rPr>
                <w:rFonts w:ascii="Calibri" w:hAnsi="Calibri" w:cs="Calibri"/>
              </w:rPr>
              <w:t>Integration Inventory — Motion Vibe (Member App): Does your system support bi-directional API integration with Motion Vibe member app in real-time?</w:t>
            </w:r>
          </w:p>
        </w:tc>
        <w:tc>
          <w:tcPr>
            <w:tcW w:w="2000" w:type="pct"/>
          </w:tcPr>
          <w:p w14:paraId="5E1955C5" w14:textId="77777777" w:rsidR="006165AA" w:rsidRPr="00BA7C33" w:rsidRDefault="00000000">
            <w:pPr>
              <w:rPr>
                <w:rFonts w:ascii="Calibri" w:hAnsi="Calibri" w:cs="Calibri"/>
              </w:rPr>
            </w:pPr>
            <w:r w:rsidRPr="00BA7C33">
              <w:rPr>
                <w:rFonts w:ascii="Calibri" w:hAnsi="Calibri" w:cs="Calibri"/>
                <w:color w:val="000000"/>
              </w:rPr>
              <w:t>Hapana does not have a documented bi-directional API integration with Motion Vibe, though we are open to discussing integration options if this is a priority. In many cases, the Hapana-provided member app eliminates the need for a third-party solution entirely. The Hapana app is a fully branded, white-label mobile application that gives members access to class scheduling and booking, membership management, push notifications, digital check-in, and in-app purchases — all in real time and tightly integrated with the core platform. If specific Motion Vibe functionality is required, we welcome a discovery conversation to assess the best path forward.</w:t>
            </w:r>
          </w:p>
        </w:tc>
      </w:tr>
      <w:tr w:rsidR="006165AA" w:rsidRPr="00BA7C33" w14:paraId="5026D186" w14:textId="77777777">
        <w:tblPrEx>
          <w:tblCellMar>
            <w:top w:w="0" w:type="dxa"/>
            <w:bottom w:w="0" w:type="dxa"/>
          </w:tblCellMar>
        </w:tblPrEx>
        <w:tc>
          <w:tcPr>
            <w:tcW w:w="250" w:type="pct"/>
          </w:tcPr>
          <w:p w14:paraId="48D7528F" w14:textId="77777777" w:rsidR="006165AA" w:rsidRPr="00BA7C33" w:rsidRDefault="00000000">
            <w:pPr>
              <w:rPr>
                <w:rFonts w:ascii="Calibri" w:hAnsi="Calibri" w:cs="Calibri"/>
              </w:rPr>
            </w:pPr>
            <w:r w:rsidRPr="00BA7C33">
              <w:rPr>
                <w:rFonts w:ascii="Calibri" w:hAnsi="Calibri" w:cs="Calibri"/>
                <w:b/>
                <w:bCs/>
              </w:rPr>
              <w:t>10</w:t>
            </w:r>
          </w:p>
        </w:tc>
        <w:tc>
          <w:tcPr>
            <w:tcW w:w="2750" w:type="pct"/>
          </w:tcPr>
          <w:p w14:paraId="078713D1" w14:textId="77777777" w:rsidR="006165AA" w:rsidRPr="00BA7C33" w:rsidRDefault="00000000">
            <w:pPr>
              <w:rPr>
                <w:rFonts w:ascii="Calibri" w:hAnsi="Calibri" w:cs="Calibri"/>
              </w:rPr>
            </w:pPr>
            <w:r w:rsidRPr="00BA7C33">
              <w:rPr>
                <w:rFonts w:ascii="Calibri" w:hAnsi="Calibri" w:cs="Calibri"/>
              </w:rPr>
              <w:t>Integration Inventory — Gate-control hardware (Access Control): Does your system support inbound/outbound API and device protocol integration with gate-control hardware in real-time?</w:t>
            </w:r>
          </w:p>
        </w:tc>
        <w:tc>
          <w:tcPr>
            <w:tcW w:w="2000" w:type="pct"/>
          </w:tcPr>
          <w:p w14:paraId="640FE090" w14:textId="77777777" w:rsidR="006165AA" w:rsidRPr="00BA7C33" w:rsidRDefault="00000000">
            <w:pPr>
              <w:rPr>
                <w:rFonts w:ascii="Calibri" w:hAnsi="Calibri" w:cs="Calibri"/>
              </w:rPr>
            </w:pPr>
            <w:r w:rsidRPr="00BA7C33">
              <w:rPr>
                <w:rFonts w:ascii="Calibri" w:hAnsi="Calibri" w:cs="Calibri"/>
                <w:color w:val="000000"/>
              </w:rPr>
              <w:t xml:space="preserve">Yes. Hapana natively integrates with Inception and Avigilon Alta for real-time access control, validating membership status, session bookings, and payment standing before granting physical entry. For facilities using other hardware, our proprietary Member Access Control (MAC) device bridges Hapana with virtually any third-party access control system. Additionally, integration with Kisi and </w:t>
            </w:r>
            <w:proofErr w:type="spellStart"/>
            <w:r w:rsidRPr="00BA7C33">
              <w:rPr>
                <w:rFonts w:ascii="Calibri" w:hAnsi="Calibri" w:cs="Calibri"/>
                <w:color w:val="000000"/>
              </w:rPr>
              <w:t>Brivo</w:t>
            </w:r>
            <w:proofErr w:type="spellEnd"/>
            <w:r w:rsidRPr="00BA7C33">
              <w:rPr>
                <w:rFonts w:ascii="Calibri" w:hAnsi="Calibri" w:cs="Calibri"/>
                <w:color w:val="000000"/>
              </w:rPr>
              <w:t xml:space="preserve"> is currently on our product roadmap (In Progress, P1).</w:t>
            </w:r>
          </w:p>
        </w:tc>
      </w:tr>
      <w:tr w:rsidR="006165AA" w:rsidRPr="00BA7C33" w14:paraId="579A2924" w14:textId="77777777">
        <w:tblPrEx>
          <w:tblCellMar>
            <w:top w:w="0" w:type="dxa"/>
            <w:bottom w:w="0" w:type="dxa"/>
          </w:tblCellMar>
        </w:tblPrEx>
        <w:tc>
          <w:tcPr>
            <w:tcW w:w="250" w:type="pct"/>
          </w:tcPr>
          <w:p w14:paraId="7C40DA04" w14:textId="77777777" w:rsidR="006165AA" w:rsidRPr="00BA7C33" w:rsidRDefault="00000000">
            <w:pPr>
              <w:rPr>
                <w:rFonts w:ascii="Calibri" w:hAnsi="Calibri" w:cs="Calibri"/>
              </w:rPr>
            </w:pPr>
            <w:r w:rsidRPr="00BA7C33">
              <w:rPr>
                <w:rFonts w:ascii="Calibri" w:hAnsi="Calibri" w:cs="Calibri"/>
                <w:b/>
                <w:bCs/>
              </w:rPr>
              <w:t>11</w:t>
            </w:r>
          </w:p>
        </w:tc>
        <w:tc>
          <w:tcPr>
            <w:tcW w:w="2750" w:type="pct"/>
          </w:tcPr>
          <w:p w14:paraId="5EF8D193" w14:textId="77777777" w:rsidR="006165AA" w:rsidRPr="00BA7C33" w:rsidRDefault="00000000">
            <w:pPr>
              <w:rPr>
                <w:rFonts w:ascii="Calibri" w:hAnsi="Calibri" w:cs="Calibri"/>
              </w:rPr>
            </w:pPr>
            <w:r w:rsidRPr="00BA7C33">
              <w:rPr>
                <w:rFonts w:ascii="Calibri" w:hAnsi="Calibri" w:cs="Calibri"/>
              </w:rPr>
              <w:t>Integration Inventory — Payment Processor (Billing): Does your system support bi-directional API integration with payment processors in real-time?</w:t>
            </w:r>
          </w:p>
        </w:tc>
        <w:tc>
          <w:tcPr>
            <w:tcW w:w="2000" w:type="pct"/>
          </w:tcPr>
          <w:p w14:paraId="0A8CD37D" w14:textId="77777777" w:rsidR="006165AA" w:rsidRPr="00BA7C33" w:rsidRDefault="00000000">
            <w:pPr>
              <w:rPr>
                <w:rFonts w:ascii="Calibri" w:hAnsi="Calibri" w:cs="Calibri"/>
              </w:rPr>
            </w:pPr>
            <w:r w:rsidRPr="00BA7C33">
              <w:rPr>
                <w:rFonts w:ascii="Calibri" w:hAnsi="Calibri" w:cs="Calibri"/>
                <w:color w:val="000000"/>
              </w:rPr>
              <w:t xml:space="preserve">Yes. Hapana supports real-time API integration with payment processors, including native integrations with </w:t>
            </w:r>
            <w:proofErr w:type="spellStart"/>
            <w:r w:rsidRPr="00BA7C33">
              <w:rPr>
                <w:rFonts w:ascii="Calibri" w:hAnsi="Calibri" w:cs="Calibri"/>
                <w:color w:val="000000"/>
              </w:rPr>
              <w:t>EzyPay</w:t>
            </w:r>
            <w:proofErr w:type="spellEnd"/>
            <w:r w:rsidRPr="00BA7C33">
              <w:rPr>
                <w:rFonts w:ascii="Calibri" w:hAnsi="Calibri" w:cs="Calibri"/>
                <w:color w:val="000000"/>
              </w:rPr>
              <w:t xml:space="preserve"> and Stripe. Payment events such as charges, failures, and recovery fees are processed in real time, with webhook-based communication enabling bi-directional data flow between Hapana and supported gateways.</w:t>
            </w:r>
          </w:p>
        </w:tc>
      </w:tr>
      <w:tr w:rsidR="006165AA" w:rsidRPr="00BA7C33" w14:paraId="4146B7DB" w14:textId="77777777">
        <w:tblPrEx>
          <w:tblCellMar>
            <w:top w:w="0" w:type="dxa"/>
            <w:bottom w:w="0" w:type="dxa"/>
          </w:tblCellMar>
        </w:tblPrEx>
        <w:tc>
          <w:tcPr>
            <w:tcW w:w="250" w:type="pct"/>
          </w:tcPr>
          <w:p w14:paraId="502935E6" w14:textId="77777777" w:rsidR="006165AA" w:rsidRPr="00BA7C33" w:rsidRDefault="00000000">
            <w:pPr>
              <w:rPr>
                <w:rFonts w:ascii="Calibri" w:hAnsi="Calibri" w:cs="Calibri"/>
              </w:rPr>
            </w:pPr>
            <w:r w:rsidRPr="00BA7C33">
              <w:rPr>
                <w:rFonts w:ascii="Calibri" w:hAnsi="Calibri" w:cs="Calibri"/>
                <w:b/>
                <w:bCs/>
              </w:rPr>
              <w:t>12</w:t>
            </w:r>
          </w:p>
        </w:tc>
        <w:tc>
          <w:tcPr>
            <w:tcW w:w="2750" w:type="pct"/>
          </w:tcPr>
          <w:p w14:paraId="5805A101" w14:textId="77777777" w:rsidR="006165AA" w:rsidRPr="00BA7C33" w:rsidRDefault="00000000">
            <w:pPr>
              <w:rPr>
                <w:rFonts w:ascii="Calibri" w:hAnsi="Calibri" w:cs="Calibri"/>
              </w:rPr>
            </w:pPr>
            <w:r w:rsidRPr="00BA7C33">
              <w:rPr>
                <w:rFonts w:ascii="Calibri" w:hAnsi="Calibri" w:cs="Calibri"/>
              </w:rPr>
              <w:t>Integration Inventory — Email / SMS (Communications): Does your system support outbound API integration with email and SMS communications platforms in real-time?</w:t>
            </w:r>
          </w:p>
        </w:tc>
        <w:tc>
          <w:tcPr>
            <w:tcW w:w="2000" w:type="pct"/>
          </w:tcPr>
          <w:p w14:paraId="6AFE8524" w14:textId="77777777" w:rsidR="006165AA" w:rsidRPr="00BA7C33" w:rsidRDefault="00000000">
            <w:pPr>
              <w:rPr>
                <w:rFonts w:ascii="Calibri" w:hAnsi="Calibri" w:cs="Calibri"/>
              </w:rPr>
            </w:pPr>
            <w:r w:rsidRPr="00BA7C33">
              <w:rPr>
                <w:rFonts w:ascii="Calibri" w:hAnsi="Calibri" w:cs="Calibri"/>
                <w:color w:val="000000"/>
              </w:rPr>
              <w:t xml:space="preserve">Yes. Hapana supports outbound API integration with email and SMS communications platforms in real-time. External systems can push events into our </w:t>
            </w:r>
            <w:r w:rsidRPr="00BA7C33">
              <w:rPr>
                <w:rFonts w:ascii="Calibri" w:hAnsi="Calibri" w:cs="Calibri"/>
                <w:color w:val="000000"/>
              </w:rPr>
              <w:lastRenderedPageBreak/>
              <w:t>platform to initiate automated communication workflows, and our public API and webhooks enable bidirectional data flow — including real-time triggers for SMS reminders, email campaigns, and opt-out preference syncing back from external platforms.</w:t>
            </w:r>
          </w:p>
        </w:tc>
      </w:tr>
      <w:tr w:rsidR="006165AA" w:rsidRPr="00BA7C33" w14:paraId="1697C23B" w14:textId="77777777">
        <w:tblPrEx>
          <w:tblCellMar>
            <w:top w:w="0" w:type="dxa"/>
            <w:bottom w:w="0" w:type="dxa"/>
          </w:tblCellMar>
        </w:tblPrEx>
        <w:tc>
          <w:tcPr>
            <w:tcW w:w="250" w:type="pct"/>
          </w:tcPr>
          <w:p w14:paraId="5108171D" w14:textId="77777777" w:rsidR="006165AA" w:rsidRPr="00BA7C33" w:rsidRDefault="00000000">
            <w:pPr>
              <w:rPr>
                <w:rFonts w:ascii="Calibri" w:hAnsi="Calibri" w:cs="Calibri"/>
              </w:rPr>
            </w:pPr>
            <w:r w:rsidRPr="00BA7C33">
              <w:rPr>
                <w:rFonts w:ascii="Calibri" w:hAnsi="Calibri" w:cs="Calibri"/>
                <w:b/>
                <w:bCs/>
              </w:rPr>
              <w:lastRenderedPageBreak/>
              <w:t>13</w:t>
            </w:r>
          </w:p>
        </w:tc>
        <w:tc>
          <w:tcPr>
            <w:tcW w:w="2750" w:type="pct"/>
          </w:tcPr>
          <w:p w14:paraId="3E6B831C" w14:textId="77777777" w:rsidR="006165AA" w:rsidRPr="00BA7C33" w:rsidRDefault="00000000">
            <w:pPr>
              <w:rPr>
                <w:rFonts w:ascii="Calibri" w:hAnsi="Calibri" w:cs="Calibri"/>
              </w:rPr>
            </w:pPr>
            <w:r w:rsidRPr="00BA7C33">
              <w:rPr>
                <w:rFonts w:ascii="Calibri" w:hAnsi="Calibri" w:cs="Calibri"/>
              </w:rPr>
              <w:t>Integration Inventory — Unified Data Layer (Analytics): Does your system support outbound API, webhook, and CDC integration with a unified analytics data layer in real-time?</w:t>
            </w:r>
          </w:p>
        </w:tc>
        <w:tc>
          <w:tcPr>
            <w:tcW w:w="2000" w:type="pct"/>
          </w:tcPr>
          <w:p w14:paraId="3D919F44" w14:textId="77777777" w:rsidR="006165AA" w:rsidRPr="00BA7C33" w:rsidRDefault="00000000">
            <w:pPr>
              <w:rPr>
                <w:rFonts w:ascii="Calibri" w:hAnsi="Calibri" w:cs="Calibri"/>
              </w:rPr>
            </w:pPr>
            <w:r w:rsidRPr="00BA7C33">
              <w:rPr>
                <w:rFonts w:ascii="Calibri" w:hAnsi="Calibri" w:cs="Calibri"/>
                <w:color w:val="000000"/>
              </w:rPr>
              <w:t xml:space="preserve">Hapana supports outbound API access, event-driven webhooks (covering account creation, profile changes, membership status, and purchase transactions), and Zapier for no-code automation. For analytics, our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data warehouse integration enables structured, scalable export of operational data for BI use — built on a dual-destination architecture with tenant isolation for near real-time data access and reporting.</w:t>
            </w:r>
          </w:p>
        </w:tc>
      </w:tr>
    </w:tbl>
    <w:p w14:paraId="570312B2" w14:textId="77777777" w:rsidR="006165AA" w:rsidRPr="00BA7C33" w:rsidRDefault="00000000">
      <w:pPr>
        <w:pStyle w:val="Heading2"/>
        <w:spacing w:before="400" w:after="200"/>
        <w:rPr>
          <w:rFonts w:ascii="Calibri" w:hAnsi="Calibri" w:cs="Calibri"/>
        </w:rPr>
      </w:pPr>
      <w:r w:rsidRPr="00BA7C33">
        <w:rPr>
          <w:rFonts w:ascii="Calibri" w:hAnsi="Calibri" w:cs="Calibri"/>
        </w:rPr>
        <w:t>Data &amp; Privacy</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0DFFDBD2" w14:textId="77777777">
        <w:tblPrEx>
          <w:tblCellMar>
            <w:top w:w="0" w:type="dxa"/>
            <w:bottom w:w="0" w:type="dxa"/>
          </w:tblCellMar>
        </w:tblPrEx>
        <w:trPr>
          <w:tblHeader/>
        </w:trPr>
        <w:tc>
          <w:tcPr>
            <w:tcW w:w="250" w:type="pct"/>
            <w:shd w:val="clear" w:color="auto" w:fill="F3F4F6"/>
          </w:tcPr>
          <w:p w14:paraId="2BF11886"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5B4688B2"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3BF70176"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21DB9DC3" w14:textId="77777777">
        <w:tblPrEx>
          <w:tblCellMar>
            <w:top w:w="0" w:type="dxa"/>
            <w:bottom w:w="0" w:type="dxa"/>
          </w:tblCellMar>
        </w:tblPrEx>
        <w:tc>
          <w:tcPr>
            <w:tcW w:w="250" w:type="pct"/>
          </w:tcPr>
          <w:p w14:paraId="2BA0B380" w14:textId="77777777" w:rsidR="006165AA" w:rsidRPr="00BA7C33" w:rsidRDefault="00000000">
            <w:pPr>
              <w:rPr>
                <w:rFonts w:ascii="Calibri" w:hAnsi="Calibri" w:cs="Calibri"/>
              </w:rPr>
            </w:pPr>
            <w:r w:rsidRPr="00BA7C33">
              <w:rPr>
                <w:rFonts w:ascii="Calibri" w:hAnsi="Calibri" w:cs="Calibri"/>
                <w:b/>
                <w:bCs/>
              </w:rPr>
              <w:t>14</w:t>
            </w:r>
          </w:p>
        </w:tc>
        <w:tc>
          <w:tcPr>
            <w:tcW w:w="2750" w:type="pct"/>
          </w:tcPr>
          <w:p w14:paraId="4F12EF6B" w14:textId="77777777" w:rsidR="006165AA" w:rsidRPr="00BA7C33" w:rsidRDefault="00000000">
            <w:pPr>
              <w:rPr>
                <w:rFonts w:ascii="Calibri" w:hAnsi="Calibri" w:cs="Calibri"/>
              </w:rPr>
            </w:pPr>
            <w:r w:rsidRPr="00BA7C33">
              <w:rPr>
                <w:rFonts w:ascii="Calibri" w:hAnsi="Calibri" w:cs="Calibri"/>
              </w:rPr>
              <w:t>Appendix C Foundational Requirements — 4.1: Does your platform provide full data ownership (contractual)? Mark Yes / Partial / No with a brief note.</w:t>
            </w:r>
          </w:p>
        </w:tc>
        <w:tc>
          <w:tcPr>
            <w:tcW w:w="2000" w:type="pct"/>
          </w:tcPr>
          <w:p w14:paraId="2477C55F" w14:textId="77777777" w:rsidR="006165AA" w:rsidRPr="00BA7C33" w:rsidRDefault="00000000">
            <w:pPr>
              <w:rPr>
                <w:rFonts w:ascii="Calibri" w:hAnsi="Calibri" w:cs="Calibri"/>
              </w:rPr>
            </w:pPr>
            <w:r w:rsidRPr="00BA7C33">
              <w:rPr>
                <w:rFonts w:ascii="Calibri" w:hAnsi="Calibri" w:cs="Calibri"/>
                <w:color w:val="000000"/>
              </w:rPr>
              <w:t>Yes</w:t>
            </w:r>
          </w:p>
        </w:tc>
      </w:tr>
    </w:tbl>
    <w:p w14:paraId="014009ED"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6C5FC372" w14:textId="77777777">
        <w:tblPrEx>
          <w:tblCellMar>
            <w:top w:w="0" w:type="dxa"/>
            <w:bottom w:w="0" w:type="dxa"/>
          </w:tblCellMar>
        </w:tblPrEx>
        <w:trPr>
          <w:tblHeader/>
        </w:trPr>
        <w:tc>
          <w:tcPr>
            <w:tcW w:w="250" w:type="pct"/>
            <w:shd w:val="clear" w:color="auto" w:fill="F3F4F6"/>
          </w:tcPr>
          <w:p w14:paraId="10C97289"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1B3BB668"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CD18171"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0B71EEE7" w14:textId="77777777">
        <w:tblPrEx>
          <w:tblCellMar>
            <w:top w:w="0" w:type="dxa"/>
            <w:bottom w:w="0" w:type="dxa"/>
          </w:tblCellMar>
        </w:tblPrEx>
        <w:tc>
          <w:tcPr>
            <w:tcW w:w="250" w:type="pct"/>
          </w:tcPr>
          <w:p w14:paraId="30D9EA85" w14:textId="77777777" w:rsidR="006165AA" w:rsidRPr="00BA7C33" w:rsidRDefault="00000000">
            <w:pPr>
              <w:rPr>
                <w:rFonts w:ascii="Calibri" w:hAnsi="Calibri" w:cs="Calibri"/>
              </w:rPr>
            </w:pPr>
            <w:r w:rsidRPr="00BA7C33">
              <w:rPr>
                <w:rFonts w:ascii="Calibri" w:hAnsi="Calibri" w:cs="Calibri"/>
                <w:b/>
                <w:bCs/>
              </w:rPr>
              <w:t>15</w:t>
            </w:r>
          </w:p>
        </w:tc>
        <w:tc>
          <w:tcPr>
            <w:tcW w:w="2750" w:type="pct"/>
          </w:tcPr>
          <w:p w14:paraId="3306BEC4" w14:textId="77777777" w:rsidR="006165AA" w:rsidRPr="00BA7C33" w:rsidRDefault="00000000">
            <w:pPr>
              <w:rPr>
                <w:rFonts w:ascii="Calibri" w:hAnsi="Calibri" w:cs="Calibri"/>
              </w:rPr>
            </w:pPr>
            <w:r w:rsidRPr="00BA7C33">
              <w:rPr>
                <w:rFonts w:ascii="Calibri" w:hAnsi="Calibri" w:cs="Calibri"/>
              </w:rPr>
              <w:t>Appendix C Foundational Requirements — 4.2: Does your platform provide real-time API access (REST + webhooks)? Mark Yes / Partial / No with a brief note.</w:t>
            </w:r>
          </w:p>
        </w:tc>
        <w:tc>
          <w:tcPr>
            <w:tcW w:w="2000" w:type="pct"/>
          </w:tcPr>
          <w:p w14:paraId="24D145DD" w14:textId="77777777" w:rsidR="006165AA" w:rsidRPr="00BA7C33" w:rsidRDefault="00000000">
            <w:pPr>
              <w:rPr>
                <w:rFonts w:ascii="Calibri" w:hAnsi="Calibri" w:cs="Calibri"/>
              </w:rPr>
            </w:pPr>
            <w:r w:rsidRPr="00BA7C33">
              <w:rPr>
                <w:rFonts w:ascii="Calibri" w:hAnsi="Calibri" w:cs="Calibri"/>
                <w:color w:val="000000"/>
              </w:rPr>
              <w:t>Yes</w:t>
            </w:r>
          </w:p>
        </w:tc>
      </w:tr>
    </w:tbl>
    <w:p w14:paraId="2CE6CF90" w14:textId="77777777" w:rsidR="006165AA" w:rsidRPr="00BA7C33" w:rsidRDefault="00000000">
      <w:pPr>
        <w:pStyle w:val="Heading2"/>
        <w:spacing w:before="400" w:after="200"/>
        <w:rPr>
          <w:rFonts w:ascii="Calibri" w:hAnsi="Calibri" w:cs="Calibri"/>
        </w:rPr>
      </w:pPr>
      <w:r w:rsidRPr="00BA7C33">
        <w:rPr>
          <w:rFonts w:ascii="Calibri" w:hAnsi="Calibri" w:cs="Calibri"/>
        </w:rPr>
        <w:t>Operations &amp; Facilities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0C926E61" w14:textId="77777777">
        <w:tblPrEx>
          <w:tblCellMar>
            <w:top w:w="0" w:type="dxa"/>
            <w:bottom w:w="0" w:type="dxa"/>
          </w:tblCellMar>
        </w:tblPrEx>
        <w:trPr>
          <w:tblHeader/>
        </w:trPr>
        <w:tc>
          <w:tcPr>
            <w:tcW w:w="250" w:type="pct"/>
            <w:shd w:val="clear" w:color="auto" w:fill="F3F4F6"/>
          </w:tcPr>
          <w:p w14:paraId="2DB59145"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2992C242"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7E332EAC"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50163AE8" w14:textId="77777777">
        <w:tblPrEx>
          <w:tblCellMar>
            <w:top w:w="0" w:type="dxa"/>
            <w:bottom w:w="0" w:type="dxa"/>
          </w:tblCellMar>
        </w:tblPrEx>
        <w:tc>
          <w:tcPr>
            <w:tcW w:w="250" w:type="pct"/>
          </w:tcPr>
          <w:p w14:paraId="68A1364F" w14:textId="77777777" w:rsidR="006165AA" w:rsidRPr="00BA7C33" w:rsidRDefault="00000000">
            <w:pPr>
              <w:rPr>
                <w:rFonts w:ascii="Calibri" w:hAnsi="Calibri" w:cs="Calibri"/>
              </w:rPr>
            </w:pPr>
            <w:r w:rsidRPr="00BA7C33">
              <w:rPr>
                <w:rFonts w:ascii="Calibri" w:hAnsi="Calibri" w:cs="Calibri"/>
                <w:b/>
                <w:bCs/>
              </w:rPr>
              <w:t>16</w:t>
            </w:r>
          </w:p>
        </w:tc>
        <w:tc>
          <w:tcPr>
            <w:tcW w:w="2750" w:type="pct"/>
          </w:tcPr>
          <w:p w14:paraId="0BAD61F3" w14:textId="77777777" w:rsidR="006165AA" w:rsidRPr="00BA7C33" w:rsidRDefault="00000000">
            <w:pPr>
              <w:rPr>
                <w:rFonts w:ascii="Calibri" w:hAnsi="Calibri" w:cs="Calibri"/>
              </w:rPr>
            </w:pPr>
            <w:r w:rsidRPr="00BA7C33">
              <w:rPr>
                <w:rFonts w:ascii="Calibri" w:hAnsi="Calibri" w:cs="Calibri"/>
              </w:rPr>
              <w:t>Appendix C Foundational Requirements — 4.3: Does your platform support multi-location franchise architecture natively? Mark Yes / Partial / No with a brief note.</w:t>
            </w:r>
          </w:p>
        </w:tc>
        <w:tc>
          <w:tcPr>
            <w:tcW w:w="2000" w:type="pct"/>
          </w:tcPr>
          <w:p w14:paraId="15935450" w14:textId="77777777" w:rsidR="006165AA" w:rsidRPr="00BA7C33" w:rsidRDefault="00000000">
            <w:pPr>
              <w:rPr>
                <w:rFonts w:ascii="Calibri" w:hAnsi="Calibri" w:cs="Calibri"/>
              </w:rPr>
            </w:pPr>
            <w:r w:rsidRPr="00BA7C33">
              <w:rPr>
                <w:rFonts w:ascii="Calibri" w:hAnsi="Calibri" w:cs="Calibri"/>
                <w:color w:val="000000"/>
              </w:rPr>
              <w:t>Yes</w:t>
            </w:r>
          </w:p>
        </w:tc>
      </w:tr>
    </w:tbl>
    <w:p w14:paraId="7FDEB8CF" w14:textId="77777777" w:rsidR="006165AA" w:rsidRPr="00BA7C33" w:rsidRDefault="00000000">
      <w:pPr>
        <w:pStyle w:val="Heading2"/>
        <w:spacing w:before="400" w:after="200"/>
        <w:rPr>
          <w:rFonts w:ascii="Calibri" w:hAnsi="Calibri" w:cs="Calibri"/>
        </w:rPr>
      </w:pPr>
      <w:r w:rsidRPr="00BA7C33">
        <w:rPr>
          <w:rFonts w:ascii="Calibri" w:hAnsi="Calibri" w:cs="Calibri"/>
        </w:rPr>
        <w:t>Data &amp; Privacy</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1A4027D0" w14:textId="77777777">
        <w:tblPrEx>
          <w:tblCellMar>
            <w:top w:w="0" w:type="dxa"/>
            <w:bottom w:w="0" w:type="dxa"/>
          </w:tblCellMar>
        </w:tblPrEx>
        <w:trPr>
          <w:tblHeader/>
        </w:trPr>
        <w:tc>
          <w:tcPr>
            <w:tcW w:w="250" w:type="pct"/>
            <w:shd w:val="clear" w:color="auto" w:fill="F3F4F6"/>
          </w:tcPr>
          <w:p w14:paraId="1E64D7EF"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1DBCB388"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6B403BB9"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46DD20AC" w14:textId="77777777">
        <w:tblPrEx>
          <w:tblCellMar>
            <w:top w:w="0" w:type="dxa"/>
            <w:bottom w:w="0" w:type="dxa"/>
          </w:tblCellMar>
        </w:tblPrEx>
        <w:tc>
          <w:tcPr>
            <w:tcW w:w="250" w:type="pct"/>
          </w:tcPr>
          <w:p w14:paraId="2A4416ED" w14:textId="77777777" w:rsidR="006165AA" w:rsidRPr="00BA7C33" w:rsidRDefault="00000000">
            <w:pPr>
              <w:rPr>
                <w:rFonts w:ascii="Calibri" w:hAnsi="Calibri" w:cs="Calibri"/>
              </w:rPr>
            </w:pPr>
            <w:r w:rsidRPr="00BA7C33">
              <w:rPr>
                <w:rFonts w:ascii="Calibri" w:hAnsi="Calibri" w:cs="Calibri"/>
                <w:b/>
                <w:bCs/>
              </w:rPr>
              <w:t>17</w:t>
            </w:r>
          </w:p>
        </w:tc>
        <w:tc>
          <w:tcPr>
            <w:tcW w:w="2750" w:type="pct"/>
          </w:tcPr>
          <w:p w14:paraId="11305D10" w14:textId="77777777" w:rsidR="006165AA" w:rsidRPr="00BA7C33" w:rsidRDefault="00000000">
            <w:pPr>
              <w:rPr>
                <w:rFonts w:ascii="Calibri" w:hAnsi="Calibri" w:cs="Calibri"/>
              </w:rPr>
            </w:pPr>
            <w:r w:rsidRPr="00BA7C33">
              <w:rPr>
                <w:rFonts w:ascii="Calibri" w:hAnsi="Calibri" w:cs="Calibri"/>
              </w:rPr>
              <w:t>Appendix C Foundational Requirements — 4.4: Does your platform support documented data export and migration? Mark Yes / Partial / No with a brief note.</w:t>
            </w:r>
          </w:p>
        </w:tc>
        <w:tc>
          <w:tcPr>
            <w:tcW w:w="2000" w:type="pct"/>
          </w:tcPr>
          <w:p w14:paraId="076EF5EC" w14:textId="77777777" w:rsidR="006165AA" w:rsidRPr="00BA7C33" w:rsidRDefault="00000000">
            <w:pPr>
              <w:rPr>
                <w:rFonts w:ascii="Calibri" w:hAnsi="Calibri" w:cs="Calibri"/>
              </w:rPr>
            </w:pPr>
            <w:r w:rsidRPr="00BA7C33">
              <w:rPr>
                <w:rFonts w:ascii="Calibri" w:hAnsi="Calibri" w:cs="Calibri"/>
                <w:color w:val="000000"/>
              </w:rPr>
              <w:t>Partial</w:t>
            </w:r>
          </w:p>
        </w:tc>
      </w:tr>
    </w:tbl>
    <w:p w14:paraId="2C3B3A55" w14:textId="77777777" w:rsidR="006165AA" w:rsidRPr="00BA7C33" w:rsidRDefault="00000000">
      <w:pPr>
        <w:pStyle w:val="Heading2"/>
        <w:spacing w:before="400" w:after="200"/>
        <w:rPr>
          <w:rFonts w:ascii="Calibri" w:hAnsi="Calibri" w:cs="Calibri"/>
        </w:rPr>
      </w:pPr>
      <w:r w:rsidRPr="00BA7C33">
        <w:rPr>
          <w:rFonts w:ascii="Calibri" w:hAnsi="Calibri" w:cs="Calibri"/>
        </w:rPr>
        <w:t>Operations &amp; Facilities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7D34C9E2" w14:textId="77777777">
        <w:tblPrEx>
          <w:tblCellMar>
            <w:top w:w="0" w:type="dxa"/>
            <w:bottom w:w="0" w:type="dxa"/>
          </w:tblCellMar>
        </w:tblPrEx>
        <w:trPr>
          <w:tblHeader/>
        </w:trPr>
        <w:tc>
          <w:tcPr>
            <w:tcW w:w="250" w:type="pct"/>
            <w:shd w:val="clear" w:color="auto" w:fill="F3F4F6"/>
          </w:tcPr>
          <w:p w14:paraId="77398C2B" w14:textId="77777777" w:rsidR="006165AA" w:rsidRPr="00BA7C33" w:rsidRDefault="00000000">
            <w:pPr>
              <w:rPr>
                <w:rFonts w:ascii="Calibri" w:hAnsi="Calibri" w:cs="Calibri"/>
              </w:rPr>
            </w:pPr>
            <w:r w:rsidRPr="00BA7C33">
              <w:rPr>
                <w:rFonts w:ascii="Calibri" w:hAnsi="Calibri" w:cs="Calibri"/>
                <w:b/>
                <w:bCs/>
              </w:rPr>
              <w:lastRenderedPageBreak/>
              <w:t>#</w:t>
            </w:r>
          </w:p>
        </w:tc>
        <w:tc>
          <w:tcPr>
            <w:tcW w:w="2750" w:type="pct"/>
            <w:shd w:val="clear" w:color="auto" w:fill="F3F4F6"/>
          </w:tcPr>
          <w:p w14:paraId="75C33DC9"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E264513"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59716AF1" w14:textId="77777777">
        <w:tblPrEx>
          <w:tblCellMar>
            <w:top w:w="0" w:type="dxa"/>
            <w:bottom w:w="0" w:type="dxa"/>
          </w:tblCellMar>
        </w:tblPrEx>
        <w:tc>
          <w:tcPr>
            <w:tcW w:w="250" w:type="pct"/>
          </w:tcPr>
          <w:p w14:paraId="6D31D717" w14:textId="77777777" w:rsidR="006165AA" w:rsidRPr="00BA7C33" w:rsidRDefault="00000000">
            <w:pPr>
              <w:rPr>
                <w:rFonts w:ascii="Calibri" w:hAnsi="Calibri" w:cs="Calibri"/>
              </w:rPr>
            </w:pPr>
            <w:r w:rsidRPr="00BA7C33">
              <w:rPr>
                <w:rFonts w:ascii="Calibri" w:hAnsi="Calibri" w:cs="Calibri"/>
                <w:b/>
                <w:bCs/>
              </w:rPr>
              <w:t>18</w:t>
            </w:r>
          </w:p>
        </w:tc>
        <w:tc>
          <w:tcPr>
            <w:tcW w:w="2750" w:type="pct"/>
          </w:tcPr>
          <w:p w14:paraId="2C156E17" w14:textId="77777777" w:rsidR="006165AA" w:rsidRPr="00BA7C33" w:rsidRDefault="00000000">
            <w:pPr>
              <w:rPr>
                <w:rFonts w:ascii="Calibri" w:hAnsi="Calibri" w:cs="Calibri"/>
              </w:rPr>
            </w:pPr>
            <w:r w:rsidRPr="00BA7C33">
              <w:rPr>
                <w:rFonts w:ascii="Calibri" w:hAnsi="Calibri" w:cs="Calibri"/>
              </w:rPr>
              <w:t>Appendix C Foundational Requirements — 4.5: Does your platform provide U.S. market support? Mark Yes / Partial / No with a brief note.</w:t>
            </w:r>
          </w:p>
        </w:tc>
        <w:tc>
          <w:tcPr>
            <w:tcW w:w="2000" w:type="pct"/>
          </w:tcPr>
          <w:p w14:paraId="4D2D2F03" w14:textId="77777777" w:rsidR="006165AA" w:rsidRPr="00BA7C33" w:rsidRDefault="00000000">
            <w:pPr>
              <w:rPr>
                <w:rFonts w:ascii="Calibri" w:hAnsi="Calibri" w:cs="Calibri"/>
              </w:rPr>
            </w:pPr>
            <w:r w:rsidRPr="00BA7C33">
              <w:rPr>
                <w:rFonts w:ascii="Calibri" w:hAnsi="Calibri" w:cs="Calibri"/>
                <w:color w:val="000000"/>
              </w:rPr>
              <w:t>Yes</w:t>
            </w:r>
          </w:p>
        </w:tc>
      </w:tr>
    </w:tbl>
    <w:p w14:paraId="6F208C1F" w14:textId="77777777" w:rsidR="006165AA" w:rsidRPr="00BA7C33" w:rsidRDefault="00000000">
      <w:pPr>
        <w:pStyle w:val="Heading2"/>
        <w:spacing w:before="400" w:after="200"/>
        <w:rPr>
          <w:rFonts w:ascii="Calibri" w:hAnsi="Calibri" w:cs="Calibri"/>
        </w:rPr>
      </w:pPr>
      <w:r w:rsidRPr="00BA7C33">
        <w:rPr>
          <w:rFonts w:ascii="Calibri" w:hAnsi="Calibri" w:cs="Calibri"/>
        </w:rPr>
        <w:t>Billing &amp; Payments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2240F797" w14:textId="77777777">
        <w:tblPrEx>
          <w:tblCellMar>
            <w:top w:w="0" w:type="dxa"/>
            <w:bottom w:w="0" w:type="dxa"/>
          </w:tblCellMar>
        </w:tblPrEx>
        <w:trPr>
          <w:tblHeader/>
        </w:trPr>
        <w:tc>
          <w:tcPr>
            <w:tcW w:w="250" w:type="pct"/>
            <w:shd w:val="clear" w:color="auto" w:fill="F3F4F6"/>
          </w:tcPr>
          <w:p w14:paraId="4EAC62AB"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4652190E"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6980D3E"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525FE5C5" w14:textId="77777777">
        <w:tblPrEx>
          <w:tblCellMar>
            <w:top w:w="0" w:type="dxa"/>
            <w:bottom w:w="0" w:type="dxa"/>
          </w:tblCellMar>
        </w:tblPrEx>
        <w:tc>
          <w:tcPr>
            <w:tcW w:w="250" w:type="pct"/>
          </w:tcPr>
          <w:p w14:paraId="31671D32" w14:textId="77777777" w:rsidR="006165AA" w:rsidRPr="00BA7C33" w:rsidRDefault="00000000">
            <w:pPr>
              <w:rPr>
                <w:rFonts w:ascii="Calibri" w:hAnsi="Calibri" w:cs="Calibri"/>
              </w:rPr>
            </w:pPr>
            <w:r w:rsidRPr="00BA7C33">
              <w:rPr>
                <w:rFonts w:ascii="Calibri" w:hAnsi="Calibri" w:cs="Calibri"/>
                <w:b/>
                <w:bCs/>
              </w:rPr>
              <w:t>19</w:t>
            </w:r>
          </w:p>
        </w:tc>
        <w:tc>
          <w:tcPr>
            <w:tcW w:w="2750" w:type="pct"/>
          </w:tcPr>
          <w:p w14:paraId="5BD7C9A0" w14:textId="77777777" w:rsidR="006165AA" w:rsidRPr="00BA7C33" w:rsidRDefault="00000000">
            <w:pPr>
              <w:rPr>
                <w:rFonts w:ascii="Calibri" w:hAnsi="Calibri" w:cs="Calibri"/>
              </w:rPr>
            </w:pPr>
            <w:r w:rsidRPr="00BA7C33">
              <w:rPr>
                <w:rFonts w:ascii="Calibri" w:hAnsi="Calibri" w:cs="Calibri"/>
              </w:rPr>
              <w:t>Appendix C Foundational Requirements — 4.6: Is POS / retail functionality integrated or tightly coupled within your platform? Mark Yes / Partial / No with a brief note.</w:t>
            </w:r>
          </w:p>
        </w:tc>
        <w:tc>
          <w:tcPr>
            <w:tcW w:w="2000" w:type="pct"/>
          </w:tcPr>
          <w:p w14:paraId="005EDD64" w14:textId="77777777" w:rsidR="006165AA" w:rsidRPr="00BA7C33" w:rsidRDefault="00000000">
            <w:pPr>
              <w:rPr>
                <w:rFonts w:ascii="Calibri" w:hAnsi="Calibri" w:cs="Calibri"/>
              </w:rPr>
            </w:pPr>
            <w:r w:rsidRPr="00BA7C33">
              <w:rPr>
                <w:rFonts w:ascii="Calibri" w:hAnsi="Calibri" w:cs="Calibri"/>
                <w:color w:val="000000"/>
              </w:rPr>
              <w:t>Yes</w:t>
            </w:r>
          </w:p>
        </w:tc>
      </w:tr>
    </w:tbl>
    <w:p w14:paraId="43FEA95C"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28B6586A" w14:textId="77777777">
        <w:tblPrEx>
          <w:tblCellMar>
            <w:top w:w="0" w:type="dxa"/>
            <w:bottom w:w="0" w:type="dxa"/>
          </w:tblCellMar>
        </w:tblPrEx>
        <w:trPr>
          <w:tblHeader/>
        </w:trPr>
        <w:tc>
          <w:tcPr>
            <w:tcW w:w="250" w:type="pct"/>
            <w:shd w:val="clear" w:color="auto" w:fill="F3F4F6"/>
          </w:tcPr>
          <w:p w14:paraId="1BB3FAC7"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62A85B4A"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6FC30C28"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43BBF1D1" w14:textId="77777777">
        <w:tblPrEx>
          <w:tblCellMar>
            <w:top w:w="0" w:type="dxa"/>
            <w:bottom w:w="0" w:type="dxa"/>
          </w:tblCellMar>
        </w:tblPrEx>
        <w:tc>
          <w:tcPr>
            <w:tcW w:w="250" w:type="pct"/>
          </w:tcPr>
          <w:p w14:paraId="766A93FA" w14:textId="77777777" w:rsidR="006165AA" w:rsidRPr="00BA7C33" w:rsidRDefault="00000000">
            <w:pPr>
              <w:rPr>
                <w:rFonts w:ascii="Calibri" w:hAnsi="Calibri" w:cs="Calibri"/>
              </w:rPr>
            </w:pPr>
            <w:r w:rsidRPr="00BA7C33">
              <w:rPr>
                <w:rFonts w:ascii="Calibri" w:hAnsi="Calibri" w:cs="Calibri"/>
                <w:b/>
                <w:bCs/>
              </w:rPr>
              <w:t>20</w:t>
            </w:r>
          </w:p>
        </w:tc>
        <w:tc>
          <w:tcPr>
            <w:tcW w:w="2750" w:type="pct"/>
          </w:tcPr>
          <w:p w14:paraId="71BBC3DF" w14:textId="77777777" w:rsidR="006165AA" w:rsidRPr="00BA7C33" w:rsidRDefault="00000000">
            <w:pPr>
              <w:rPr>
                <w:rFonts w:ascii="Calibri" w:hAnsi="Calibri" w:cs="Calibri"/>
              </w:rPr>
            </w:pPr>
            <w:r w:rsidRPr="00BA7C33">
              <w:rPr>
                <w:rFonts w:ascii="Calibri" w:hAnsi="Calibri" w:cs="Calibri"/>
              </w:rPr>
              <w:t>Appendix C Foundational Requirements — 4.7: Does your platform support an open ecosystem / headless compatibility? Mark Yes / Partial / No with a brief note.</w:t>
            </w:r>
          </w:p>
        </w:tc>
        <w:tc>
          <w:tcPr>
            <w:tcW w:w="2000" w:type="pct"/>
          </w:tcPr>
          <w:p w14:paraId="4B562AFC" w14:textId="77777777" w:rsidR="006165AA" w:rsidRPr="00BA7C33" w:rsidRDefault="00000000">
            <w:pPr>
              <w:rPr>
                <w:rFonts w:ascii="Calibri" w:hAnsi="Calibri" w:cs="Calibri"/>
              </w:rPr>
            </w:pPr>
            <w:r w:rsidRPr="00BA7C33">
              <w:rPr>
                <w:rFonts w:ascii="Calibri" w:hAnsi="Calibri" w:cs="Calibri"/>
                <w:color w:val="000000"/>
              </w:rPr>
              <w:t>Partial</w:t>
            </w:r>
          </w:p>
        </w:tc>
      </w:tr>
    </w:tbl>
    <w:p w14:paraId="1C38CAD3" w14:textId="77777777" w:rsidR="006165AA" w:rsidRPr="00BA7C33" w:rsidRDefault="00000000">
      <w:pPr>
        <w:pStyle w:val="Heading2"/>
        <w:spacing w:before="400" w:after="200"/>
        <w:rPr>
          <w:rFonts w:ascii="Calibri" w:hAnsi="Calibri" w:cs="Calibri"/>
        </w:rPr>
      </w:pPr>
      <w:r w:rsidRPr="00BA7C33">
        <w:rPr>
          <w:rFonts w:ascii="Calibri" w:hAnsi="Calibri" w:cs="Calibri"/>
        </w:rPr>
        <w:t>Architecture &amp; Hosting</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14E4C2A5" w14:textId="77777777">
        <w:tblPrEx>
          <w:tblCellMar>
            <w:top w:w="0" w:type="dxa"/>
            <w:bottom w:w="0" w:type="dxa"/>
          </w:tblCellMar>
        </w:tblPrEx>
        <w:trPr>
          <w:tblHeader/>
        </w:trPr>
        <w:tc>
          <w:tcPr>
            <w:tcW w:w="250" w:type="pct"/>
            <w:shd w:val="clear" w:color="auto" w:fill="F3F4F6"/>
          </w:tcPr>
          <w:p w14:paraId="49C9C9B5"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5D4C026A"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4805784B"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7134ACF7" w14:textId="77777777">
        <w:tblPrEx>
          <w:tblCellMar>
            <w:top w:w="0" w:type="dxa"/>
            <w:bottom w:w="0" w:type="dxa"/>
          </w:tblCellMar>
        </w:tblPrEx>
        <w:tc>
          <w:tcPr>
            <w:tcW w:w="250" w:type="pct"/>
          </w:tcPr>
          <w:p w14:paraId="270BEEE9" w14:textId="77777777" w:rsidR="006165AA" w:rsidRPr="00BA7C33" w:rsidRDefault="00000000">
            <w:pPr>
              <w:rPr>
                <w:rFonts w:ascii="Calibri" w:hAnsi="Calibri" w:cs="Calibri"/>
              </w:rPr>
            </w:pPr>
            <w:r w:rsidRPr="00BA7C33">
              <w:rPr>
                <w:rFonts w:ascii="Calibri" w:hAnsi="Calibri" w:cs="Calibri"/>
                <w:b/>
                <w:bCs/>
              </w:rPr>
              <w:t>21</w:t>
            </w:r>
          </w:p>
        </w:tc>
        <w:tc>
          <w:tcPr>
            <w:tcW w:w="2750" w:type="pct"/>
          </w:tcPr>
          <w:p w14:paraId="0FD9389D" w14:textId="77777777" w:rsidR="006165AA" w:rsidRPr="00BA7C33" w:rsidRDefault="00000000">
            <w:pPr>
              <w:rPr>
                <w:rFonts w:ascii="Calibri" w:hAnsi="Calibri" w:cs="Calibri"/>
              </w:rPr>
            </w:pPr>
            <w:r w:rsidRPr="00BA7C33">
              <w:rPr>
                <w:rFonts w:ascii="Calibri" w:hAnsi="Calibri" w:cs="Calibri"/>
              </w:rPr>
              <w:t>Appendix C Foundational Requirements — 4.8: Does your platform guarantee product continuity with no forced migration? Mark Yes / Partial / No with a brief note.</w:t>
            </w:r>
          </w:p>
        </w:tc>
        <w:tc>
          <w:tcPr>
            <w:tcW w:w="2000" w:type="pct"/>
          </w:tcPr>
          <w:p w14:paraId="1B5D9BF4" w14:textId="77777777" w:rsidR="006165AA" w:rsidRPr="00BA7C33" w:rsidRDefault="00000000">
            <w:pPr>
              <w:rPr>
                <w:rFonts w:ascii="Calibri" w:hAnsi="Calibri" w:cs="Calibri"/>
              </w:rPr>
            </w:pPr>
            <w:r w:rsidRPr="00BA7C33">
              <w:rPr>
                <w:rFonts w:ascii="Calibri" w:hAnsi="Calibri" w:cs="Calibri"/>
                <w:color w:val="000000"/>
              </w:rPr>
              <w:t>Yes</w:t>
            </w:r>
          </w:p>
        </w:tc>
      </w:tr>
    </w:tbl>
    <w:p w14:paraId="0CDC6AF5" w14:textId="77777777" w:rsidR="006165AA" w:rsidRPr="00BA7C33" w:rsidRDefault="00000000">
      <w:pPr>
        <w:pStyle w:val="Heading2"/>
        <w:spacing w:before="400" w:after="200"/>
        <w:rPr>
          <w:rFonts w:ascii="Calibri" w:hAnsi="Calibri" w:cs="Calibri"/>
        </w:rPr>
      </w:pPr>
      <w:r w:rsidRPr="00BA7C33">
        <w:rPr>
          <w:rFonts w:ascii="Calibri" w:hAnsi="Calibri" w:cs="Calibri"/>
        </w:rPr>
        <w:t>Data &amp; Privacy</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7892AAB3" w14:textId="77777777">
        <w:tblPrEx>
          <w:tblCellMar>
            <w:top w:w="0" w:type="dxa"/>
            <w:bottom w:w="0" w:type="dxa"/>
          </w:tblCellMar>
        </w:tblPrEx>
        <w:trPr>
          <w:tblHeader/>
        </w:trPr>
        <w:tc>
          <w:tcPr>
            <w:tcW w:w="250" w:type="pct"/>
            <w:shd w:val="clear" w:color="auto" w:fill="F3F4F6"/>
          </w:tcPr>
          <w:p w14:paraId="7EFFE9C7"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3AB88103"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33A2462"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0F7AA128" w14:textId="77777777">
        <w:tblPrEx>
          <w:tblCellMar>
            <w:top w:w="0" w:type="dxa"/>
            <w:bottom w:w="0" w:type="dxa"/>
          </w:tblCellMar>
        </w:tblPrEx>
        <w:tc>
          <w:tcPr>
            <w:tcW w:w="250" w:type="pct"/>
          </w:tcPr>
          <w:p w14:paraId="2DAB92D5" w14:textId="77777777" w:rsidR="006165AA" w:rsidRPr="00BA7C33" w:rsidRDefault="00000000">
            <w:pPr>
              <w:rPr>
                <w:rFonts w:ascii="Calibri" w:hAnsi="Calibri" w:cs="Calibri"/>
              </w:rPr>
            </w:pPr>
            <w:r w:rsidRPr="00BA7C33">
              <w:rPr>
                <w:rFonts w:ascii="Calibri" w:hAnsi="Calibri" w:cs="Calibri"/>
                <w:b/>
                <w:bCs/>
              </w:rPr>
              <w:t>22</w:t>
            </w:r>
          </w:p>
        </w:tc>
        <w:tc>
          <w:tcPr>
            <w:tcW w:w="2750" w:type="pct"/>
          </w:tcPr>
          <w:p w14:paraId="2A2CCE52" w14:textId="77777777" w:rsidR="006165AA" w:rsidRPr="00BA7C33" w:rsidRDefault="00000000">
            <w:pPr>
              <w:rPr>
                <w:rFonts w:ascii="Calibri" w:hAnsi="Calibri" w:cs="Calibri"/>
              </w:rPr>
            </w:pPr>
            <w:r w:rsidRPr="00BA7C33">
              <w:rPr>
                <w:rFonts w:ascii="Calibri" w:hAnsi="Calibri" w:cs="Calibri"/>
              </w:rPr>
              <w:t>4.1 Full data ownership — Gold's owns all member data, schema, derived data, and outputs; the vendor holds usage rights for service delivery only. Should be contractual. Confirm your position on this and describe how it is enforced.</w:t>
            </w:r>
          </w:p>
        </w:tc>
        <w:tc>
          <w:tcPr>
            <w:tcW w:w="2000" w:type="pct"/>
          </w:tcPr>
          <w:p w14:paraId="13F3EA92" w14:textId="77777777" w:rsidR="006165AA" w:rsidRPr="00BA7C33" w:rsidRDefault="00000000">
            <w:pPr>
              <w:rPr>
                <w:rFonts w:ascii="Calibri" w:hAnsi="Calibri" w:cs="Calibri"/>
              </w:rPr>
            </w:pPr>
            <w:r w:rsidRPr="00BA7C33">
              <w:rPr>
                <w:rFonts w:ascii="Calibri" w:hAnsi="Calibri" w:cs="Calibri"/>
                <w:color w:val="000000"/>
              </w:rPr>
              <w:t>Hapana confirms that all member data, schema, derived data, and outputs are owned by the customer — Hapana holds usage rights solely for service delivery purposes. This position is consistent with our data architecture: each customer receives a fully isolated, dedicated Google Cloud Spanner database with no shared schema or co-mingled data with other tenants. Customer data is not shared with any third party without the customer's direction. We are prepared to incorporate explicit contractual data ownership language into the Master Services Agreement confirming Gold's Gym retains full ownership of all data and that Hapana's rights are limited to delivering the contracted services. Enforcement is reinforced at the architectural level through tenant-level database isolation, role-based access controls, and our internal data handling policies.</w:t>
            </w:r>
          </w:p>
        </w:tc>
      </w:tr>
    </w:tbl>
    <w:p w14:paraId="6E854542"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2119C3D1" w14:textId="77777777">
        <w:tblPrEx>
          <w:tblCellMar>
            <w:top w:w="0" w:type="dxa"/>
            <w:bottom w:w="0" w:type="dxa"/>
          </w:tblCellMar>
        </w:tblPrEx>
        <w:trPr>
          <w:tblHeader/>
        </w:trPr>
        <w:tc>
          <w:tcPr>
            <w:tcW w:w="250" w:type="pct"/>
            <w:shd w:val="clear" w:color="auto" w:fill="F3F4F6"/>
          </w:tcPr>
          <w:p w14:paraId="09BEEAFE" w14:textId="77777777" w:rsidR="006165AA" w:rsidRPr="00BA7C33" w:rsidRDefault="00000000">
            <w:pPr>
              <w:rPr>
                <w:rFonts w:ascii="Calibri" w:hAnsi="Calibri" w:cs="Calibri"/>
              </w:rPr>
            </w:pPr>
            <w:r w:rsidRPr="00BA7C33">
              <w:rPr>
                <w:rFonts w:ascii="Calibri" w:hAnsi="Calibri" w:cs="Calibri"/>
                <w:b/>
                <w:bCs/>
              </w:rPr>
              <w:lastRenderedPageBreak/>
              <w:t>#</w:t>
            </w:r>
          </w:p>
        </w:tc>
        <w:tc>
          <w:tcPr>
            <w:tcW w:w="2750" w:type="pct"/>
            <w:shd w:val="clear" w:color="auto" w:fill="F3F4F6"/>
          </w:tcPr>
          <w:p w14:paraId="7C49C90B"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35B2A2BC"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24073EAB" w14:textId="77777777">
        <w:tblPrEx>
          <w:tblCellMar>
            <w:top w:w="0" w:type="dxa"/>
            <w:bottom w:w="0" w:type="dxa"/>
          </w:tblCellMar>
        </w:tblPrEx>
        <w:tc>
          <w:tcPr>
            <w:tcW w:w="250" w:type="pct"/>
          </w:tcPr>
          <w:p w14:paraId="7479E145" w14:textId="77777777" w:rsidR="006165AA" w:rsidRPr="00BA7C33" w:rsidRDefault="00000000">
            <w:pPr>
              <w:rPr>
                <w:rFonts w:ascii="Calibri" w:hAnsi="Calibri" w:cs="Calibri"/>
              </w:rPr>
            </w:pPr>
            <w:r w:rsidRPr="00BA7C33">
              <w:rPr>
                <w:rFonts w:ascii="Calibri" w:hAnsi="Calibri" w:cs="Calibri"/>
                <w:b/>
                <w:bCs/>
              </w:rPr>
              <w:t>23</w:t>
            </w:r>
          </w:p>
        </w:tc>
        <w:tc>
          <w:tcPr>
            <w:tcW w:w="2750" w:type="pct"/>
          </w:tcPr>
          <w:p w14:paraId="02C404B0" w14:textId="77777777" w:rsidR="006165AA" w:rsidRPr="00BA7C33" w:rsidRDefault="00000000">
            <w:pPr>
              <w:rPr>
                <w:rFonts w:ascii="Calibri" w:hAnsi="Calibri" w:cs="Calibri"/>
              </w:rPr>
            </w:pPr>
            <w:r w:rsidRPr="00BA7C33">
              <w:rPr>
                <w:rFonts w:ascii="Calibri" w:hAnsi="Calibri" w:cs="Calibri"/>
              </w:rPr>
              <w:t>4.2 Real-time API access — Describe your REST APIs and webhooks supporting event-driven, real-time synchronization. Describe whether any flows are batch-only.</w:t>
            </w:r>
          </w:p>
        </w:tc>
        <w:tc>
          <w:tcPr>
            <w:tcW w:w="2000" w:type="pct"/>
          </w:tcPr>
          <w:p w14:paraId="34F487B7" w14:textId="77777777" w:rsidR="006165AA" w:rsidRPr="00BA7C33" w:rsidRDefault="00000000">
            <w:pPr>
              <w:rPr>
                <w:rFonts w:ascii="Calibri" w:hAnsi="Calibri" w:cs="Calibri"/>
              </w:rPr>
            </w:pPr>
            <w:r w:rsidRPr="00BA7C33">
              <w:rPr>
                <w:rFonts w:ascii="Calibri" w:hAnsi="Calibri" w:cs="Calibri"/>
                <w:color w:val="000000"/>
              </w:rPr>
              <w:t>Hapana's Public API layer is REST-based and operates in real time, with synchronous endpoints covering member profiles, class and appointment scheduling, attendance, membership management, payment processing, and facility access controls. Connected systems always receive live platform data, making the API well-suited for event-driven integration with CRMs, marketing automation tools, access hardware, and custom applications. Webhooks for event-driven flows are in development now (</w:t>
            </w:r>
            <w:proofErr w:type="gramStart"/>
            <w:r w:rsidRPr="00BA7C33">
              <w:rPr>
                <w:rFonts w:ascii="Calibri" w:hAnsi="Calibri" w:cs="Calibri"/>
                <w:color w:val="000000"/>
              </w:rPr>
              <w:t>similar to</w:t>
            </w:r>
            <w:proofErr w:type="gramEnd"/>
            <w:r w:rsidRPr="00BA7C33">
              <w:rPr>
                <w:rFonts w:ascii="Calibri" w:hAnsi="Calibri" w:cs="Calibri"/>
                <w:color w:val="000000"/>
              </w:rPr>
              <w:t xml:space="preserve"> our v1 solution). For bulk data needs for enterprise </w:t>
            </w:r>
            <w:proofErr w:type="gramStart"/>
            <w:r w:rsidRPr="00BA7C33">
              <w:rPr>
                <w:rFonts w:ascii="Calibri" w:hAnsi="Calibri" w:cs="Calibri"/>
                <w:color w:val="000000"/>
              </w:rPr>
              <w:t>customers</w:t>
            </w:r>
            <w:proofErr w:type="gramEnd"/>
            <w:r w:rsidRPr="00BA7C33">
              <w:rPr>
                <w:rFonts w:ascii="Calibri" w:hAnsi="Calibri" w:cs="Calibri"/>
                <w:color w:val="000000"/>
              </w:rPr>
              <w:t xml:space="preserve"> we recommend access via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sharing.</w:t>
            </w:r>
          </w:p>
        </w:tc>
      </w:tr>
    </w:tbl>
    <w:p w14:paraId="44FBDFAB" w14:textId="77777777" w:rsidR="006165AA" w:rsidRPr="00BA7C33" w:rsidRDefault="00000000">
      <w:pPr>
        <w:pStyle w:val="Heading2"/>
        <w:spacing w:before="400" w:after="200"/>
        <w:rPr>
          <w:rFonts w:ascii="Calibri" w:hAnsi="Calibri" w:cs="Calibri"/>
        </w:rPr>
      </w:pPr>
      <w:r w:rsidRPr="00BA7C33">
        <w:rPr>
          <w:rFonts w:ascii="Calibri" w:hAnsi="Calibri" w:cs="Calibri"/>
        </w:rPr>
        <w:t>Architecture &amp; Hosting</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701A87F" w14:textId="77777777">
        <w:tblPrEx>
          <w:tblCellMar>
            <w:top w:w="0" w:type="dxa"/>
            <w:bottom w:w="0" w:type="dxa"/>
          </w:tblCellMar>
        </w:tblPrEx>
        <w:trPr>
          <w:tblHeader/>
        </w:trPr>
        <w:tc>
          <w:tcPr>
            <w:tcW w:w="250" w:type="pct"/>
            <w:shd w:val="clear" w:color="auto" w:fill="F3F4F6"/>
          </w:tcPr>
          <w:p w14:paraId="0DC069C8"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29A6DC26"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01586404"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1AB2B48C" w14:textId="77777777">
        <w:tblPrEx>
          <w:tblCellMar>
            <w:top w:w="0" w:type="dxa"/>
            <w:bottom w:w="0" w:type="dxa"/>
          </w:tblCellMar>
        </w:tblPrEx>
        <w:tc>
          <w:tcPr>
            <w:tcW w:w="250" w:type="pct"/>
          </w:tcPr>
          <w:p w14:paraId="55A9EF12" w14:textId="77777777" w:rsidR="006165AA" w:rsidRPr="00BA7C33" w:rsidRDefault="00000000">
            <w:pPr>
              <w:rPr>
                <w:rFonts w:ascii="Calibri" w:hAnsi="Calibri" w:cs="Calibri"/>
              </w:rPr>
            </w:pPr>
            <w:r w:rsidRPr="00BA7C33">
              <w:rPr>
                <w:rFonts w:ascii="Calibri" w:hAnsi="Calibri" w:cs="Calibri"/>
                <w:b/>
                <w:bCs/>
              </w:rPr>
              <w:t>24</w:t>
            </w:r>
          </w:p>
        </w:tc>
        <w:tc>
          <w:tcPr>
            <w:tcW w:w="2750" w:type="pct"/>
          </w:tcPr>
          <w:p w14:paraId="73457029" w14:textId="77777777" w:rsidR="006165AA" w:rsidRPr="00BA7C33" w:rsidRDefault="00000000">
            <w:pPr>
              <w:rPr>
                <w:rFonts w:ascii="Calibri" w:hAnsi="Calibri" w:cs="Calibri"/>
              </w:rPr>
            </w:pPr>
            <w:r w:rsidRPr="00BA7C33">
              <w:rPr>
                <w:rFonts w:ascii="Calibri" w:hAnsi="Calibri" w:cs="Calibri"/>
              </w:rPr>
              <w:t xml:space="preserve">4.3 </w:t>
            </w:r>
            <w:proofErr w:type="gramStart"/>
            <w:r w:rsidRPr="00BA7C33">
              <w:rPr>
                <w:rFonts w:ascii="Calibri" w:hAnsi="Calibri" w:cs="Calibri"/>
              </w:rPr>
              <w:t>Multi-location</w:t>
            </w:r>
            <w:proofErr w:type="gramEnd"/>
            <w:r w:rsidRPr="00BA7C33">
              <w:rPr>
                <w:rFonts w:ascii="Calibri" w:hAnsi="Calibri" w:cs="Calibri"/>
              </w:rPr>
              <w:t xml:space="preserve"> franchise architecture — Is your platform built for franchise/multi-location from the ground up, or is it a single-club product with multi-location added on? Describe the architecture.</w:t>
            </w:r>
          </w:p>
        </w:tc>
        <w:tc>
          <w:tcPr>
            <w:tcW w:w="2000" w:type="pct"/>
          </w:tcPr>
          <w:p w14:paraId="49ECC0F1" w14:textId="77777777" w:rsidR="006165AA" w:rsidRPr="00BA7C33" w:rsidRDefault="00000000">
            <w:pPr>
              <w:rPr>
                <w:rFonts w:ascii="Calibri" w:hAnsi="Calibri" w:cs="Calibri"/>
              </w:rPr>
            </w:pPr>
            <w:r w:rsidRPr="00BA7C33">
              <w:rPr>
                <w:rFonts w:ascii="Calibri" w:hAnsi="Calibri" w:cs="Calibri"/>
                <w:color w:val="000000"/>
              </w:rPr>
              <w:t xml:space="preserve">Hapana is purpose-built for multi-location franchise operators — not a single-club product retrofitted with multi-location features. The architecture uses a four-tier hierarchical model (Corporate → Brand → Region → Site) where a single admin dashboard spans the entire network simultaneously. Each location carries its own independent configurations (hours, fees, </w:t>
            </w:r>
            <w:proofErr w:type="spellStart"/>
            <w:r w:rsidRPr="00BA7C33">
              <w:rPr>
                <w:rFonts w:ascii="Calibri" w:hAnsi="Calibri" w:cs="Calibri"/>
                <w:color w:val="000000"/>
              </w:rPr>
              <w:t>timezone</w:t>
            </w:r>
            <w:proofErr w:type="spellEnd"/>
            <w:r w:rsidRPr="00BA7C33">
              <w:rPr>
                <w:rFonts w:ascii="Calibri" w:hAnsi="Calibri" w:cs="Calibri"/>
                <w:color w:val="000000"/>
              </w:rPr>
              <w:t>, currency, Stripe payout account) without requiring separate platform instances. Staff permissions mirror this hierarchy with three RBAC levels — platform-wide, cross-site, and per-location — enabling centralized control with local delegation. Adding a new location requires no architectural changes; a new site record inherits parent defaults, and the underlying data model uses interleaved parent-child tables (Google Spanner) optimized for query performance as location count scales.</w:t>
            </w:r>
          </w:p>
        </w:tc>
      </w:tr>
    </w:tbl>
    <w:p w14:paraId="54C50DEA" w14:textId="77777777" w:rsidR="006165AA" w:rsidRPr="00BA7C33" w:rsidRDefault="00000000">
      <w:pPr>
        <w:pStyle w:val="Heading2"/>
        <w:spacing w:before="400" w:after="200"/>
        <w:rPr>
          <w:rFonts w:ascii="Calibri" w:hAnsi="Calibri" w:cs="Calibri"/>
        </w:rPr>
      </w:pPr>
      <w:r w:rsidRPr="00BA7C33">
        <w:rPr>
          <w:rFonts w:ascii="Calibri" w:hAnsi="Calibri" w:cs="Calibri"/>
        </w:rPr>
        <w:t>Data &amp; Privacy</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1E473E24" w14:textId="77777777">
        <w:tblPrEx>
          <w:tblCellMar>
            <w:top w:w="0" w:type="dxa"/>
            <w:bottom w:w="0" w:type="dxa"/>
          </w:tblCellMar>
        </w:tblPrEx>
        <w:trPr>
          <w:tblHeader/>
        </w:trPr>
        <w:tc>
          <w:tcPr>
            <w:tcW w:w="250" w:type="pct"/>
            <w:shd w:val="clear" w:color="auto" w:fill="F3F4F6"/>
          </w:tcPr>
          <w:p w14:paraId="26B3A68C"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550908D9"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6A54B51"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31F0E671" w14:textId="77777777">
        <w:tblPrEx>
          <w:tblCellMar>
            <w:top w:w="0" w:type="dxa"/>
            <w:bottom w:w="0" w:type="dxa"/>
          </w:tblCellMar>
        </w:tblPrEx>
        <w:tc>
          <w:tcPr>
            <w:tcW w:w="250" w:type="pct"/>
          </w:tcPr>
          <w:p w14:paraId="2E27AB25" w14:textId="77777777" w:rsidR="006165AA" w:rsidRPr="00BA7C33" w:rsidRDefault="00000000">
            <w:pPr>
              <w:rPr>
                <w:rFonts w:ascii="Calibri" w:hAnsi="Calibri" w:cs="Calibri"/>
              </w:rPr>
            </w:pPr>
            <w:r w:rsidRPr="00BA7C33">
              <w:rPr>
                <w:rFonts w:ascii="Calibri" w:hAnsi="Calibri" w:cs="Calibri"/>
                <w:b/>
                <w:bCs/>
              </w:rPr>
              <w:t>25</w:t>
            </w:r>
          </w:p>
        </w:tc>
        <w:tc>
          <w:tcPr>
            <w:tcW w:w="2750" w:type="pct"/>
          </w:tcPr>
          <w:p w14:paraId="42DD6988" w14:textId="77777777" w:rsidR="006165AA" w:rsidRPr="00BA7C33" w:rsidRDefault="00000000">
            <w:pPr>
              <w:rPr>
                <w:rFonts w:ascii="Calibri" w:hAnsi="Calibri" w:cs="Calibri"/>
              </w:rPr>
            </w:pPr>
            <w:r w:rsidRPr="00BA7C33">
              <w:rPr>
                <w:rFonts w:ascii="Calibri" w:hAnsi="Calibri" w:cs="Calibri"/>
              </w:rPr>
              <w:t>4.4 Documented data export and migration — Describe your support for full historical export in standard formats (CSV, JSON, Parquet) on demand, and cooperation with any future migration away from your platform.</w:t>
            </w:r>
          </w:p>
        </w:tc>
        <w:tc>
          <w:tcPr>
            <w:tcW w:w="2000" w:type="pct"/>
          </w:tcPr>
          <w:p w14:paraId="43265DFF" w14:textId="77777777" w:rsidR="006165AA" w:rsidRPr="00BA7C33" w:rsidRDefault="00000000">
            <w:pPr>
              <w:rPr>
                <w:rFonts w:ascii="Calibri" w:hAnsi="Calibri" w:cs="Calibri"/>
              </w:rPr>
            </w:pPr>
            <w:r w:rsidRPr="00BA7C33">
              <w:rPr>
                <w:rFonts w:ascii="Calibri" w:hAnsi="Calibri" w:cs="Calibri"/>
                <w:color w:val="000000"/>
              </w:rPr>
              <w:t xml:space="preserve">Hapana supports data export in CSV format via our normal export reports and cooperates fully with migration projects, including a dedicated discovery phase to assess, scope, and validate data packages when clients onboard from or depart to another platform. Full historical data is made available as part of any migration engagement via standard CSV exit files. For </w:t>
            </w:r>
            <w:r w:rsidRPr="00BA7C33">
              <w:rPr>
                <w:rFonts w:ascii="Calibri" w:hAnsi="Calibri" w:cs="Calibri"/>
                <w:color w:val="000000"/>
              </w:rPr>
              <w:lastRenderedPageBreak/>
              <w:t>future migrations away from the platform, Hapana commits to structured cooperation, including data package review and sign-off processes.  On the roadmap for Q3 2026 is the exposure of exit files direct within Hapana core, activated as part of a migration process.  This will enable customer to plan and control exit timing and processing.</w:t>
            </w:r>
          </w:p>
        </w:tc>
      </w:tr>
    </w:tbl>
    <w:p w14:paraId="01C5389F"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Operations &amp; Facilities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484640E" w14:textId="77777777">
        <w:tblPrEx>
          <w:tblCellMar>
            <w:top w:w="0" w:type="dxa"/>
            <w:bottom w:w="0" w:type="dxa"/>
          </w:tblCellMar>
        </w:tblPrEx>
        <w:trPr>
          <w:tblHeader/>
        </w:trPr>
        <w:tc>
          <w:tcPr>
            <w:tcW w:w="250" w:type="pct"/>
            <w:shd w:val="clear" w:color="auto" w:fill="F3F4F6"/>
          </w:tcPr>
          <w:p w14:paraId="0619EEC0"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2BE8FE11"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24679323"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57FDD334" w14:textId="77777777">
        <w:tblPrEx>
          <w:tblCellMar>
            <w:top w:w="0" w:type="dxa"/>
            <w:bottom w:w="0" w:type="dxa"/>
          </w:tblCellMar>
        </w:tblPrEx>
        <w:tc>
          <w:tcPr>
            <w:tcW w:w="250" w:type="pct"/>
          </w:tcPr>
          <w:p w14:paraId="55FF4BB8" w14:textId="77777777" w:rsidR="006165AA" w:rsidRPr="00BA7C33" w:rsidRDefault="00000000">
            <w:pPr>
              <w:rPr>
                <w:rFonts w:ascii="Calibri" w:hAnsi="Calibri" w:cs="Calibri"/>
              </w:rPr>
            </w:pPr>
            <w:r w:rsidRPr="00BA7C33">
              <w:rPr>
                <w:rFonts w:ascii="Calibri" w:hAnsi="Calibri" w:cs="Calibri"/>
                <w:b/>
                <w:bCs/>
              </w:rPr>
              <w:t>26</w:t>
            </w:r>
          </w:p>
        </w:tc>
        <w:tc>
          <w:tcPr>
            <w:tcW w:w="2750" w:type="pct"/>
          </w:tcPr>
          <w:p w14:paraId="3E08BB7E" w14:textId="77777777" w:rsidR="006165AA" w:rsidRPr="00BA7C33" w:rsidRDefault="00000000">
            <w:pPr>
              <w:rPr>
                <w:rFonts w:ascii="Calibri" w:hAnsi="Calibri" w:cs="Calibri"/>
              </w:rPr>
            </w:pPr>
            <w:r w:rsidRPr="00BA7C33">
              <w:rPr>
                <w:rFonts w:ascii="Calibri" w:hAnsi="Calibri" w:cs="Calibri"/>
              </w:rPr>
              <w:t>4.5 U.S. market support — Describe your coverage, regulatory familiarity, and support hours as aligned to U.S. operations.</w:t>
            </w:r>
          </w:p>
        </w:tc>
        <w:tc>
          <w:tcPr>
            <w:tcW w:w="2000" w:type="pct"/>
          </w:tcPr>
          <w:p w14:paraId="700DAEF5" w14:textId="77777777" w:rsidR="006165AA" w:rsidRPr="00BA7C33" w:rsidRDefault="00000000">
            <w:pPr>
              <w:rPr>
                <w:rFonts w:ascii="Calibri" w:hAnsi="Calibri" w:cs="Calibri"/>
              </w:rPr>
            </w:pPr>
            <w:r w:rsidRPr="00BA7C33">
              <w:rPr>
                <w:rFonts w:ascii="Calibri" w:hAnsi="Calibri" w:cs="Calibri"/>
                <w:color w:val="000000"/>
              </w:rPr>
              <w:t>Hapana USA Corp. is incorporated as a C Corp in the United States, with a registered office at 88 Froehlich Farm Blvd, 3rd Floor, Woodbury, NY 11797. Our US operations comply with applicable federal and state employment regulations, including Title VII, ADA, and OSHA standards. Support is available 24 hours per day, Monday through Friday, via email (support@hapana.com), our CORE web portal, phone, and live chat — with global coverage across US and Australian time zones ensuring strong alignment to North American business hours. Enterprise clients receive a dedicated Account Manager and Quarterly Business Reviews for proactive operational support.</w:t>
            </w:r>
          </w:p>
        </w:tc>
      </w:tr>
    </w:tbl>
    <w:p w14:paraId="3F9C68CD" w14:textId="77777777" w:rsidR="006165AA" w:rsidRPr="00BA7C33" w:rsidRDefault="00000000">
      <w:pPr>
        <w:pStyle w:val="Heading2"/>
        <w:spacing w:before="400" w:after="200"/>
        <w:rPr>
          <w:rFonts w:ascii="Calibri" w:hAnsi="Calibri" w:cs="Calibri"/>
        </w:rPr>
      </w:pPr>
      <w:r w:rsidRPr="00BA7C33">
        <w:rPr>
          <w:rFonts w:ascii="Calibri" w:hAnsi="Calibri" w:cs="Calibri"/>
        </w:rPr>
        <w:t>Billing &amp; Payments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5A0FAA7B" w14:textId="77777777">
        <w:tblPrEx>
          <w:tblCellMar>
            <w:top w:w="0" w:type="dxa"/>
            <w:bottom w:w="0" w:type="dxa"/>
          </w:tblCellMar>
        </w:tblPrEx>
        <w:trPr>
          <w:tblHeader/>
        </w:trPr>
        <w:tc>
          <w:tcPr>
            <w:tcW w:w="250" w:type="pct"/>
            <w:shd w:val="clear" w:color="auto" w:fill="F3F4F6"/>
          </w:tcPr>
          <w:p w14:paraId="6E6D646D"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75B28F46"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E2F5D00"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041290DE" w14:textId="77777777">
        <w:tblPrEx>
          <w:tblCellMar>
            <w:top w:w="0" w:type="dxa"/>
            <w:bottom w:w="0" w:type="dxa"/>
          </w:tblCellMar>
        </w:tblPrEx>
        <w:tc>
          <w:tcPr>
            <w:tcW w:w="250" w:type="pct"/>
          </w:tcPr>
          <w:p w14:paraId="260C1697" w14:textId="77777777" w:rsidR="006165AA" w:rsidRPr="00BA7C33" w:rsidRDefault="00000000">
            <w:pPr>
              <w:rPr>
                <w:rFonts w:ascii="Calibri" w:hAnsi="Calibri" w:cs="Calibri"/>
              </w:rPr>
            </w:pPr>
            <w:r w:rsidRPr="00BA7C33">
              <w:rPr>
                <w:rFonts w:ascii="Calibri" w:hAnsi="Calibri" w:cs="Calibri"/>
                <w:b/>
                <w:bCs/>
              </w:rPr>
              <w:t>27</w:t>
            </w:r>
          </w:p>
        </w:tc>
        <w:tc>
          <w:tcPr>
            <w:tcW w:w="2750" w:type="pct"/>
          </w:tcPr>
          <w:p w14:paraId="38CB5388" w14:textId="77777777" w:rsidR="006165AA" w:rsidRPr="00BA7C33" w:rsidRDefault="00000000">
            <w:pPr>
              <w:rPr>
                <w:rFonts w:ascii="Calibri" w:hAnsi="Calibri" w:cs="Calibri"/>
              </w:rPr>
            </w:pPr>
            <w:r w:rsidRPr="00BA7C33">
              <w:rPr>
                <w:rFonts w:ascii="Calibri" w:hAnsi="Calibri" w:cs="Calibri"/>
              </w:rPr>
              <w:t>4.6 POS / retail capability — Describe your retail POS capability and how it is integrated into or tightly coupled with the MMS so that members and retail transactions share one account of truth.</w:t>
            </w:r>
          </w:p>
        </w:tc>
        <w:tc>
          <w:tcPr>
            <w:tcW w:w="2000" w:type="pct"/>
          </w:tcPr>
          <w:p w14:paraId="6B50567B" w14:textId="77777777" w:rsidR="006165AA" w:rsidRPr="00BA7C33" w:rsidRDefault="00000000">
            <w:pPr>
              <w:rPr>
                <w:rFonts w:ascii="Calibri" w:hAnsi="Calibri" w:cs="Calibri"/>
              </w:rPr>
            </w:pPr>
            <w:r w:rsidRPr="00BA7C33">
              <w:rPr>
                <w:rFonts w:ascii="Calibri" w:hAnsi="Calibri" w:cs="Calibri"/>
                <w:color w:val="000000"/>
              </w:rPr>
              <w:t xml:space="preserve">Hapana's POS is fully native to the platform — not a third-party integration bolted on — meaning member and retail transactions share a single account of record. Staff identify members at point of sale by name, phone, email, or barcode/FOB (with photo confirmation), then charge against the member's stored tokenized card on file with verbal approval. Transactions process in real-time via Stripe terminal, are written instantly to the member's Billing History in their </w:t>
            </w:r>
            <w:proofErr w:type="gramStart"/>
            <w:r w:rsidRPr="00BA7C33">
              <w:rPr>
                <w:rFonts w:ascii="Calibri" w:hAnsi="Calibri" w:cs="Calibri"/>
                <w:color w:val="000000"/>
              </w:rPr>
              <w:t>app, and</w:t>
            </w:r>
            <w:proofErr w:type="gramEnd"/>
            <w:r w:rsidRPr="00BA7C33">
              <w:rPr>
                <w:rFonts w:ascii="Calibri" w:hAnsi="Calibri" w:cs="Calibri"/>
                <w:color w:val="000000"/>
              </w:rPr>
              <w:t xml:space="preserve"> sit alongside recurring membership fees and annual charges in the same billing engine. This unified architecture means there is no sync delay, no duplicate profiles, and no reconciliation gap between retail and membership transactions.</w:t>
            </w:r>
          </w:p>
        </w:tc>
      </w:tr>
    </w:tbl>
    <w:p w14:paraId="574C4294"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4021CF84" w14:textId="77777777">
        <w:tblPrEx>
          <w:tblCellMar>
            <w:top w:w="0" w:type="dxa"/>
            <w:bottom w:w="0" w:type="dxa"/>
          </w:tblCellMar>
        </w:tblPrEx>
        <w:trPr>
          <w:tblHeader/>
        </w:trPr>
        <w:tc>
          <w:tcPr>
            <w:tcW w:w="250" w:type="pct"/>
            <w:shd w:val="clear" w:color="auto" w:fill="F3F4F6"/>
          </w:tcPr>
          <w:p w14:paraId="23A30EDE"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417E3217"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21547539"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1A279362" w14:textId="77777777">
        <w:tblPrEx>
          <w:tblCellMar>
            <w:top w:w="0" w:type="dxa"/>
            <w:bottom w:w="0" w:type="dxa"/>
          </w:tblCellMar>
        </w:tblPrEx>
        <w:tc>
          <w:tcPr>
            <w:tcW w:w="250" w:type="pct"/>
          </w:tcPr>
          <w:p w14:paraId="6C22E38D" w14:textId="77777777" w:rsidR="006165AA" w:rsidRPr="00BA7C33" w:rsidRDefault="00000000">
            <w:pPr>
              <w:rPr>
                <w:rFonts w:ascii="Calibri" w:hAnsi="Calibri" w:cs="Calibri"/>
              </w:rPr>
            </w:pPr>
            <w:r w:rsidRPr="00BA7C33">
              <w:rPr>
                <w:rFonts w:ascii="Calibri" w:hAnsi="Calibri" w:cs="Calibri"/>
                <w:b/>
                <w:bCs/>
              </w:rPr>
              <w:t>28</w:t>
            </w:r>
          </w:p>
        </w:tc>
        <w:tc>
          <w:tcPr>
            <w:tcW w:w="2750" w:type="pct"/>
          </w:tcPr>
          <w:p w14:paraId="118087F2" w14:textId="77777777" w:rsidR="006165AA" w:rsidRPr="00BA7C33" w:rsidRDefault="00000000">
            <w:pPr>
              <w:rPr>
                <w:rFonts w:ascii="Calibri" w:hAnsi="Calibri" w:cs="Calibri"/>
              </w:rPr>
            </w:pPr>
            <w:r w:rsidRPr="00BA7C33">
              <w:rPr>
                <w:rFonts w:ascii="Calibri" w:hAnsi="Calibri" w:cs="Calibri"/>
              </w:rPr>
              <w:t>4.7 Open ecosystem and headless compatibility — Does your platform operate as an open platform that Gold's can build on top of, rather than a closed suite requiring full-suite adoption for full value? Are APIs first-class? Can Gold's integrate third-party CRM, app, marketing, data lake and analytics, and PT tools without commercial penalty, support degradation, or roadmap de-prioritization? Can the vendor serve as a headless system of record while Gold's owns workflows and the member experience?</w:t>
            </w:r>
          </w:p>
        </w:tc>
        <w:tc>
          <w:tcPr>
            <w:tcW w:w="2000" w:type="pct"/>
          </w:tcPr>
          <w:p w14:paraId="0AEBFBCD" w14:textId="77777777" w:rsidR="006165AA" w:rsidRPr="00BA7C33" w:rsidRDefault="00000000">
            <w:pPr>
              <w:rPr>
                <w:rFonts w:ascii="Calibri" w:hAnsi="Calibri" w:cs="Calibri"/>
              </w:rPr>
            </w:pPr>
            <w:r w:rsidRPr="00BA7C33">
              <w:rPr>
                <w:rFonts w:ascii="Calibri" w:hAnsi="Calibri" w:cs="Calibri"/>
                <w:color w:val="000000"/>
              </w:rPr>
              <w:t xml:space="preserve">Hapana provides public APIs and webhooks that enable integration with third-party CRM, marketing, PT tools, and data lake/analytics platforms without commercial penalty or support degradation. The API Layer is delivered through Google Apigee to support enterprise-grade scale and management. While Hapana delivers the greatest value with full platform adoption, the open API and webhook architecture gives Gold's the flexibility to connect its preferred technology stack. Hapana is not a fully headless system of record, but member experiences can be integrated into your own environments. Payment capture and processing must flow through Hapana's native interfaces — core platform, mobile app, or embeddable website widgets — though those widgets are fully brandable and designed to sit natively within Gold's owned digital properties. Hapana also will open up </w:t>
            </w:r>
            <w:proofErr w:type="spellStart"/>
            <w:r w:rsidRPr="00BA7C33">
              <w:rPr>
                <w:rFonts w:ascii="Calibri" w:hAnsi="Calibri" w:cs="Calibri"/>
                <w:color w:val="000000"/>
              </w:rPr>
              <w:t>Biq</w:t>
            </w:r>
            <w:proofErr w:type="spellEnd"/>
            <w:r w:rsidRPr="00BA7C33">
              <w:rPr>
                <w:rFonts w:ascii="Calibri" w:hAnsi="Calibri" w:cs="Calibri"/>
                <w:color w:val="000000"/>
              </w:rPr>
              <w:t xml:space="preserve"> Query is full structured and if required unstructured data. This will enable you to use our compute and access data syncing from the run-time database in near real-time to the data warehouse without the heavy lift of moving data on your end.</w:t>
            </w:r>
          </w:p>
        </w:tc>
      </w:tr>
    </w:tbl>
    <w:p w14:paraId="7B4DDB02" w14:textId="77777777" w:rsidR="006165AA" w:rsidRPr="00BA7C33" w:rsidRDefault="00000000">
      <w:pPr>
        <w:pStyle w:val="Heading2"/>
        <w:spacing w:before="400" w:after="200"/>
        <w:rPr>
          <w:rFonts w:ascii="Calibri" w:hAnsi="Calibri" w:cs="Calibri"/>
        </w:rPr>
      </w:pPr>
      <w:r w:rsidRPr="00BA7C33">
        <w:rPr>
          <w:rFonts w:ascii="Calibri" w:hAnsi="Calibri" w:cs="Calibri"/>
        </w:rPr>
        <w:t>Security &amp; Compliance</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1DA5564B" w14:textId="77777777">
        <w:tblPrEx>
          <w:tblCellMar>
            <w:top w:w="0" w:type="dxa"/>
            <w:bottom w:w="0" w:type="dxa"/>
          </w:tblCellMar>
        </w:tblPrEx>
        <w:trPr>
          <w:tblHeader/>
        </w:trPr>
        <w:tc>
          <w:tcPr>
            <w:tcW w:w="250" w:type="pct"/>
            <w:shd w:val="clear" w:color="auto" w:fill="F3F4F6"/>
          </w:tcPr>
          <w:p w14:paraId="74D7D5B5"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172E75DF"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6C6C9BE3"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13D4DC39" w14:textId="77777777">
        <w:tblPrEx>
          <w:tblCellMar>
            <w:top w:w="0" w:type="dxa"/>
            <w:bottom w:w="0" w:type="dxa"/>
          </w:tblCellMar>
        </w:tblPrEx>
        <w:tc>
          <w:tcPr>
            <w:tcW w:w="250" w:type="pct"/>
          </w:tcPr>
          <w:p w14:paraId="6AEC3444" w14:textId="77777777" w:rsidR="006165AA" w:rsidRPr="00BA7C33" w:rsidRDefault="00000000">
            <w:pPr>
              <w:rPr>
                <w:rFonts w:ascii="Calibri" w:hAnsi="Calibri" w:cs="Calibri"/>
              </w:rPr>
            </w:pPr>
            <w:r w:rsidRPr="00BA7C33">
              <w:rPr>
                <w:rFonts w:ascii="Calibri" w:hAnsi="Calibri" w:cs="Calibri"/>
                <w:b/>
                <w:bCs/>
              </w:rPr>
              <w:t>29</w:t>
            </w:r>
          </w:p>
        </w:tc>
        <w:tc>
          <w:tcPr>
            <w:tcW w:w="2750" w:type="pct"/>
          </w:tcPr>
          <w:p w14:paraId="029DF750" w14:textId="77777777" w:rsidR="006165AA" w:rsidRPr="00BA7C33" w:rsidRDefault="00000000">
            <w:pPr>
              <w:rPr>
                <w:rFonts w:ascii="Calibri" w:hAnsi="Calibri" w:cs="Calibri"/>
              </w:rPr>
            </w:pPr>
            <w:r w:rsidRPr="00BA7C33">
              <w:rPr>
                <w:rFonts w:ascii="Calibri" w:hAnsi="Calibri" w:cs="Calibri"/>
              </w:rPr>
              <w:t>4.8 Product continuity &amp; no forced migration — Disclose any product line, platform, or feature set planned for sunset or end-of-life within 12 months, and any plan to consolidate or migrate customers from one platform to another. Can you commit that Gold's will not be force-migrated to a different platform without Gold's written consent, adequate advance notice, vendor-funded migration, and a no-penalty exit option?</w:t>
            </w:r>
          </w:p>
        </w:tc>
        <w:tc>
          <w:tcPr>
            <w:tcW w:w="2000" w:type="pct"/>
          </w:tcPr>
          <w:p w14:paraId="01256D0A" w14:textId="77777777" w:rsidR="006165AA" w:rsidRPr="00BA7C33" w:rsidRDefault="00000000">
            <w:pPr>
              <w:rPr>
                <w:rFonts w:ascii="Calibri" w:hAnsi="Calibri" w:cs="Calibri"/>
              </w:rPr>
            </w:pPr>
            <w:r w:rsidRPr="00BA7C33">
              <w:rPr>
                <w:rFonts w:ascii="Calibri" w:hAnsi="Calibri" w:cs="Calibri"/>
                <w:color w:val="000000"/>
              </w:rPr>
              <w:t>Hapana has no product lines, platforms, or feature sets planned for sunset or end-of-life within the next 12 months, and there is no active customer migration or platform consolidation program underway. Regarding the commitment requested: Hapana is prepared to contractually agree that Gold's Gym will not be force-migrated to a different platform without Gold's written consent, adequate advance notice, vendor-funded migration support, and a no-penalty exit option. We recommend this be formalized in the Master Services Agreement. Please engage your Hapana account representative to confirm the specific contractual language.</w:t>
            </w:r>
          </w:p>
        </w:tc>
      </w:tr>
    </w:tbl>
    <w:p w14:paraId="68113B09"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0282D12" w14:textId="77777777">
        <w:tblPrEx>
          <w:tblCellMar>
            <w:top w:w="0" w:type="dxa"/>
            <w:bottom w:w="0" w:type="dxa"/>
          </w:tblCellMar>
        </w:tblPrEx>
        <w:trPr>
          <w:tblHeader/>
        </w:trPr>
        <w:tc>
          <w:tcPr>
            <w:tcW w:w="250" w:type="pct"/>
            <w:shd w:val="clear" w:color="auto" w:fill="F3F4F6"/>
          </w:tcPr>
          <w:p w14:paraId="7812A828" w14:textId="77777777" w:rsidR="006165AA" w:rsidRPr="00BA7C33" w:rsidRDefault="00000000">
            <w:pPr>
              <w:rPr>
                <w:rFonts w:ascii="Calibri" w:hAnsi="Calibri" w:cs="Calibri"/>
              </w:rPr>
            </w:pPr>
            <w:r w:rsidRPr="00BA7C33">
              <w:rPr>
                <w:rFonts w:ascii="Calibri" w:hAnsi="Calibri" w:cs="Calibri"/>
                <w:b/>
                <w:bCs/>
              </w:rPr>
              <w:lastRenderedPageBreak/>
              <w:t>#</w:t>
            </w:r>
          </w:p>
        </w:tc>
        <w:tc>
          <w:tcPr>
            <w:tcW w:w="2750" w:type="pct"/>
            <w:shd w:val="clear" w:color="auto" w:fill="F3F4F6"/>
          </w:tcPr>
          <w:p w14:paraId="7EC9FB6A"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25BF1F80"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7015F0A6" w14:textId="77777777">
        <w:tblPrEx>
          <w:tblCellMar>
            <w:top w:w="0" w:type="dxa"/>
            <w:bottom w:w="0" w:type="dxa"/>
          </w:tblCellMar>
        </w:tblPrEx>
        <w:tc>
          <w:tcPr>
            <w:tcW w:w="250" w:type="pct"/>
          </w:tcPr>
          <w:p w14:paraId="1055CE87" w14:textId="77777777" w:rsidR="006165AA" w:rsidRPr="00BA7C33" w:rsidRDefault="00000000">
            <w:pPr>
              <w:rPr>
                <w:rFonts w:ascii="Calibri" w:hAnsi="Calibri" w:cs="Calibri"/>
              </w:rPr>
            </w:pPr>
            <w:r w:rsidRPr="00BA7C33">
              <w:rPr>
                <w:rFonts w:ascii="Calibri" w:hAnsi="Calibri" w:cs="Calibri"/>
                <w:b/>
                <w:bCs/>
              </w:rPr>
              <w:t>30</w:t>
            </w:r>
          </w:p>
        </w:tc>
        <w:tc>
          <w:tcPr>
            <w:tcW w:w="2750" w:type="pct"/>
          </w:tcPr>
          <w:p w14:paraId="46E0D35B" w14:textId="77777777" w:rsidR="006165AA" w:rsidRPr="00BA7C33" w:rsidRDefault="00000000">
            <w:pPr>
              <w:rPr>
                <w:rFonts w:ascii="Calibri" w:hAnsi="Calibri" w:cs="Calibri"/>
              </w:rPr>
            </w:pPr>
            <w:r w:rsidRPr="00BA7C33">
              <w:rPr>
                <w:rFonts w:ascii="Calibri" w:hAnsi="Calibri" w:cs="Calibri"/>
              </w:rPr>
              <w:t>Data movement — How is data made available to Gold's: data push, access to data feeds/streams, or a feed into a unified data layer? Describe the mechanism (API, webhook, CDC, file) and latency. Is there an overnight-batch dependency for analytics-grade data?</w:t>
            </w:r>
          </w:p>
        </w:tc>
        <w:tc>
          <w:tcPr>
            <w:tcW w:w="2000" w:type="pct"/>
          </w:tcPr>
          <w:p w14:paraId="3A191A62" w14:textId="77777777" w:rsidR="006165AA" w:rsidRPr="00BA7C33" w:rsidRDefault="00000000">
            <w:pPr>
              <w:rPr>
                <w:rFonts w:ascii="Calibri" w:hAnsi="Calibri" w:cs="Calibri"/>
              </w:rPr>
            </w:pPr>
            <w:r w:rsidRPr="00BA7C33">
              <w:rPr>
                <w:rFonts w:ascii="Calibri" w:hAnsi="Calibri" w:cs="Calibri"/>
                <w:color w:val="000000"/>
              </w:rPr>
              <w:t xml:space="preserve">Hapana supports three primary data movement mechanisms: (1) Webhooks for near-real-time, event-driven data push on key events such as account creation, profile changes, membership status changes, and purchase transactions; (2) Public REST API for on-demand data pull; and (3)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data warehouse integration for structured, analytics-grade export with tenant isolation. There is no overnight-batch dependency for analytics-grade data — the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integration uses a dual-destination architecture designed for continuous capture. Zapier hooks are also available for no-code workflow triggers. Specific latency SLAs for webhook delivery and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sync cadence can be confirmed with your Hapana solutions engineer.</w:t>
            </w:r>
          </w:p>
        </w:tc>
      </w:tr>
    </w:tbl>
    <w:p w14:paraId="14BE0259" w14:textId="77777777" w:rsidR="006165AA" w:rsidRPr="00BA7C33" w:rsidRDefault="00000000">
      <w:pPr>
        <w:pStyle w:val="Heading2"/>
        <w:spacing w:before="400" w:after="200"/>
        <w:rPr>
          <w:rFonts w:ascii="Calibri" w:hAnsi="Calibri" w:cs="Calibri"/>
        </w:rPr>
      </w:pPr>
      <w:r w:rsidRPr="00BA7C33">
        <w:rPr>
          <w:rFonts w:ascii="Calibri" w:hAnsi="Calibri" w:cs="Calibri"/>
        </w:rPr>
        <w:t>Reporting &amp; Analytics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24A51618" w14:textId="77777777">
        <w:tblPrEx>
          <w:tblCellMar>
            <w:top w:w="0" w:type="dxa"/>
            <w:bottom w:w="0" w:type="dxa"/>
          </w:tblCellMar>
        </w:tblPrEx>
        <w:trPr>
          <w:tblHeader/>
        </w:trPr>
        <w:tc>
          <w:tcPr>
            <w:tcW w:w="250" w:type="pct"/>
            <w:shd w:val="clear" w:color="auto" w:fill="F3F4F6"/>
          </w:tcPr>
          <w:p w14:paraId="586CD557"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62414F9B"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7E97E7D0"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561D2E77" w14:textId="77777777">
        <w:tblPrEx>
          <w:tblCellMar>
            <w:top w:w="0" w:type="dxa"/>
            <w:bottom w:w="0" w:type="dxa"/>
          </w:tblCellMar>
        </w:tblPrEx>
        <w:tc>
          <w:tcPr>
            <w:tcW w:w="250" w:type="pct"/>
          </w:tcPr>
          <w:p w14:paraId="6C4D5009" w14:textId="77777777" w:rsidR="006165AA" w:rsidRPr="00BA7C33" w:rsidRDefault="00000000">
            <w:pPr>
              <w:rPr>
                <w:rFonts w:ascii="Calibri" w:hAnsi="Calibri" w:cs="Calibri"/>
              </w:rPr>
            </w:pPr>
            <w:r w:rsidRPr="00BA7C33">
              <w:rPr>
                <w:rFonts w:ascii="Calibri" w:hAnsi="Calibri" w:cs="Calibri"/>
                <w:b/>
                <w:bCs/>
              </w:rPr>
              <w:t>31</w:t>
            </w:r>
          </w:p>
        </w:tc>
        <w:tc>
          <w:tcPr>
            <w:tcW w:w="2750" w:type="pct"/>
          </w:tcPr>
          <w:p w14:paraId="6D0467BF" w14:textId="77777777" w:rsidR="006165AA" w:rsidRPr="00BA7C33" w:rsidRDefault="00000000">
            <w:pPr>
              <w:rPr>
                <w:rFonts w:ascii="Calibri" w:hAnsi="Calibri" w:cs="Calibri"/>
              </w:rPr>
            </w:pPr>
            <w:r w:rsidRPr="00BA7C33">
              <w:rPr>
                <w:rFonts w:ascii="Calibri" w:hAnsi="Calibri" w:cs="Calibri"/>
              </w:rPr>
              <w:t>Analytics: baked-in vs. third-party — Is analytics/BI fully baked into your platform, or can it be served by a third-party tool? Describe both options if available.</w:t>
            </w:r>
          </w:p>
        </w:tc>
        <w:tc>
          <w:tcPr>
            <w:tcW w:w="2000" w:type="pct"/>
          </w:tcPr>
          <w:p w14:paraId="5D0CFB9A" w14:textId="77777777" w:rsidR="006165AA" w:rsidRPr="00BA7C33" w:rsidRDefault="00000000">
            <w:pPr>
              <w:rPr>
                <w:rFonts w:ascii="Calibri" w:hAnsi="Calibri" w:cs="Calibri"/>
              </w:rPr>
            </w:pPr>
            <w:r w:rsidRPr="00BA7C33">
              <w:rPr>
                <w:rFonts w:ascii="Calibri" w:hAnsi="Calibri" w:cs="Calibri"/>
                <w:color w:val="000000"/>
              </w:rPr>
              <w:t xml:space="preserve">Hapana supports both options. The platform is built natively on Google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(multi-region US), giving every customer a dedicated, isolated dataset with built-in data storage and access. For BI tooling, operators can connect any major third-party platform — Looker, Tableau, Power BI, Google Looker Studio, Qlik — directly to their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dataset via standard connectors, no custom development required. A custom dashboard builder is also currently in progress on our product roadmap (P1), which will add native in-platform BI capabilities alongside the existing third-party integration path.</w:t>
            </w:r>
          </w:p>
        </w:tc>
      </w:tr>
      <w:tr w:rsidR="006165AA" w:rsidRPr="00BA7C33" w14:paraId="169438E2" w14:textId="77777777">
        <w:tblPrEx>
          <w:tblCellMar>
            <w:top w:w="0" w:type="dxa"/>
            <w:bottom w:w="0" w:type="dxa"/>
          </w:tblCellMar>
        </w:tblPrEx>
        <w:tc>
          <w:tcPr>
            <w:tcW w:w="250" w:type="pct"/>
          </w:tcPr>
          <w:p w14:paraId="388C7E2C" w14:textId="77777777" w:rsidR="006165AA" w:rsidRPr="00BA7C33" w:rsidRDefault="00000000">
            <w:pPr>
              <w:rPr>
                <w:rFonts w:ascii="Calibri" w:hAnsi="Calibri" w:cs="Calibri"/>
              </w:rPr>
            </w:pPr>
            <w:r w:rsidRPr="00BA7C33">
              <w:rPr>
                <w:rFonts w:ascii="Calibri" w:hAnsi="Calibri" w:cs="Calibri"/>
                <w:b/>
                <w:bCs/>
              </w:rPr>
              <w:t>32</w:t>
            </w:r>
          </w:p>
        </w:tc>
        <w:tc>
          <w:tcPr>
            <w:tcW w:w="2750" w:type="pct"/>
          </w:tcPr>
          <w:p w14:paraId="00D129E4" w14:textId="77777777" w:rsidR="006165AA" w:rsidRPr="00BA7C33" w:rsidRDefault="00000000">
            <w:pPr>
              <w:rPr>
                <w:rFonts w:ascii="Calibri" w:hAnsi="Calibri" w:cs="Calibri"/>
              </w:rPr>
            </w:pPr>
            <w:r w:rsidRPr="00BA7C33">
              <w:rPr>
                <w:rFonts w:ascii="Calibri" w:hAnsi="Calibri" w:cs="Calibri"/>
              </w:rPr>
              <w:t>Visualization &amp; semantic model — Can Gold's use a third-party viewer over a Gold's-owned semantic model, or is the analytics/visualization layer fully baked in (all-in-one model)? Describe what Gold's owns vs. what stays inside your platform.</w:t>
            </w:r>
          </w:p>
        </w:tc>
        <w:tc>
          <w:tcPr>
            <w:tcW w:w="2000" w:type="pct"/>
          </w:tcPr>
          <w:p w14:paraId="7340C360" w14:textId="77777777" w:rsidR="006165AA" w:rsidRPr="00BA7C33" w:rsidRDefault="00000000">
            <w:pPr>
              <w:rPr>
                <w:rFonts w:ascii="Calibri" w:hAnsi="Calibri" w:cs="Calibri"/>
              </w:rPr>
            </w:pPr>
            <w:r w:rsidRPr="00BA7C33">
              <w:rPr>
                <w:rFonts w:ascii="Calibri" w:hAnsi="Calibri" w:cs="Calibri"/>
                <w:color w:val="000000"/>
              </w:rPr>
              <w:t xml:space="preserve">Our platform operates on an internal semantic model that structures and governs all fitness and wellness operational data within Hapana. For enterprise customers like Gold's, we support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data sharing, which provides direct access to raw operational data in a Gold's-owned warehouse — enabling Gold's to apply their own semantic model and connect any third-party visualization tool of their choice. A fully customizable branded semantic model within Hapana is on our roadmap for Q1 2027.</w:t>
            </w:r>
          </w:p>
        </w:tc>
      </w:tr>
      <w:tr w:rsidR="006165AA" w:rsidRPr="00BA7C33" w14:paraId="6DC43E25" w14:textId="77777777">
        <w:tblPrEx>
          <w:tblCellMar>
            <w:top w:w="0" w:type="dxa"/>
            <w:bottom w:w="0" w:type="dxa"/>
          </w:tblCellMar>
        </w:tblPrEx>
        <w:tc>
          <w:tcPr>
            <w:tcW w:w="250" w:type="pct"/>
          </w:tcPr>
          <w:p w14:paraId="4F56F078" w14:textId="77777777" w:rsidR="006165AA" w:rsidRPr="00BA7C33" w:rsidRDefault="00000000">
            <w:pPr>
              <w:rPr>
                <w:rFonts w:ascii="Calibri" w:hAnsi="Calibri" w:cs="Calibri"/>
              </w:rPr>
            </w:pPr>
            <w:r w:rsidRPr="00BA7C33">
              <w:rPr>
                <w:rFonts w:ascii="Calibri" w:hAnsi="Calibri" w:cs="Calibri"/>
                <w:b/>
                <w:bCs/>
              </w:rPr>
              <w:t>33</w:t>
            </w:r>
          </w:p>
        </w:tc>
        <w:tc>
          <w:tcPr>
            <w:tcW w:w="2750" w:type="pct"/>
          </w:tcPr>
          <w:p w14:paraId="5554188A" w14:textId="77777777" w:rsidR="006165AA" w:rsidRPr="00BA7C33" w:rsidRDefault="00000000">
            <w:pPr>
              <w:rPr>
                <w:rFonts w:ascii="Calibri" w:hAnsi="Calibri" w:cs="Calibri"/>
              </w:rPr>
            </w:pPr>
            <w:r w:rsidRPr="00BA7C33">
              <w:rPr>
                <w:rFonts w:ascii="Calibri" w:hAnsi="Calibri" w:cs="Calibri"/>
              </w:rPr>
              <w:t xml:space="preserve">Interim-then-replace path — A likely path is starting on your analytics/data warehouse on day one so Gold's is not flying blind while it stands up its own </w:t>
            </w:r>
            <w:proofErr w:type="gramStart"/>
            <w:r w:rsidRPr="00BA7C33">
              <w:rPr>
                <w:rFonts w:ascii="Calibri" w:hAnsi="Calibri" w:cs="Calibri"/>
              </w:rPr>
              <w:t>infrastructure, and</w:t>
            </w:r>
            <w:proofErr w:type="gramEnd"/>
            <w:r w:rsidRPr="00BA7C33">
              <w:rPr>
                <w:rFonts w:ascii="Calibri" w:hAnsi="Calibri" w:cs="Calibri"/>
              </w:rPr>
              <w:t xml:space="preserve"> later </w:t>
            </w:r>
            <w:r w:rsidRPr="00BA7C33">
              <w:rPr>
                <w:rFonts w:ascii="Calibri" w:hAnsi="Calibri" w:cs="Calibri"/>
              </w:rPr>
              <w:lastRenderedPageBreak/>
              <w:t>migrating to Gold's-owned infrastructure. Is the data/analytics layer modular (e.g., containerized / microservices) and replaceable without disrupting the rest of the platform? Describe what an interim-then-replace path involves.</w:t>
            </w:r>
          </w:p>
        </w:tc>
        <w:tc>
          <w:tcPr>
            <w:tcW w:w="2000" w:type="pct"/>
          </w:tcPr>
          <w:p w14:paraId="163E4405" w14:textId="77777777" w:rsidR="006165AA" w:rsidRPr="00BA7C33" w:rsidRDefault="00000000">
            <w:pPr>
              <w:rPr>
                <w:rFonts w:ascii="Calibri" w:hAnsi="Calibri" w:cs="Calibri"/>
              </w:rPr>
            </w:pPr>
            <w:r w:rsidRPr="00BA7C33">
              <w:rPr>
                <w:rFonts w:ascii="Calibri" w:hAnsi="Calibri" w:cs="Calibri"/>
                <w:color w:val="000000"/>
              </w:rPr>
              <w:lastRenderedPageBreak/>
              <w:t xml:space="preserve">Hapana's analytics and data layer is decoupled from core transactional functions — booking, billing, and </w:t>
            </w:r>
            <w:r w:rsidRPr="00BA7C33">
              <w:rPr>
                <w:rFonts w:ascii="Calibri" w:hAnsi="Calibri" w:cs="Calibri"/>
                <w:color w:val="000000"/>
              </w:rPr>
              <w:lastRenderedPageBreak/>
              <w:t xml:space="preserve">membership operations are unaffected by changes to how or where data is consumed. This supports a clean interim-then-replace path.  Hapana offers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data sharing today, which means Gold's can begin pulling live data directly into its own data warehouse from day one and start building internal analytics immediately. In the interim, Gold's can run on Hapana's native dashboards and reporting tools while its own infrastructure is being stood up. Once Gold's warehouse and </w:t>
            </w:r>
            <w:proofErr w:type="gramStart"/>
            <w:r w:rsidRPr="00BA7C33">
              <w:rPr>
                <w:rFonts w:ascii="Calibri" w:hAnsi="Calibri" w:cs="Calibri"/>
                <w:color w:val="000000"/>
              </w:rPr>
              <w:t>BI layer</w:t>
            </w:r>
            <w:proofErr w:type="gramEnd"/>
            <w:r w:rsidRPr="00BA7C33">
              <w:rPr>
                <w:rFonts w:ascii="Calibri" w:hAnsi="Calibri" w:cs="Calibri"/>
                <w:color w:val="000000"/>
              </w:rPr>
              <w:t xml:space="preserve"> are validated, the data pipeline is simply redirected — no platform downtime or disruption required.</w:t>
            </w:r>
          </w:p>
        </w:tc>
      </w:tr>
    </w:tbl>
    <w:p w14:paraId="1C90F27A"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0DEB701C" w14:textId="77777777">
        <w:tblPrEx>
          <w:tblCellMar>
            <w:top w:w="0" w:type="dxa"/>
            <w:bottom w:w="0" w:type="dxa"/>
          </w:tblCellMar>
        </w:tblPrEx>
        <w:trPr>
          <w:tblHeader/>
        </w:trPr>
        <w:tc>
          <w:tcPr>
            <w:tcW w:w="250" w:type="pct"/>
            <w:shd w:val="clear" w:color="auto" w:fill="F3F4F6"/>
          </w:tcPr>
          <w:p w14:paraId="7FB2EE7C"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0E7405C8"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140E915E"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1DA15639" w14:textId="77777777">
        <w:tblPrEx>
          <w:tblCellMar>
            <w:top w:w="0" w:type="dxa"/>
            <w:bottom w:w="0" w:type="dxa"/>
          </w:tblCellMar>
        </w:tblPrEx>
        <w:tc>
          <w:tcPr>
            <w:tcW w:w="250" w:type="pct"/>
          </w:tcPr>
          <w:p w14:paraId="1C38950D" w14:textId="77777777" w:rsidR="006165AA" w:rsidRPr="00BA7C33" w:rsidRDefault="00000000">
            <w:pPr>
              <w:rPr>
                <w:rFonts w:ascii="Calibri" w:hAnsi="Calibri" w:cs="Calibri"/>
              </w:rPr>
            </w:pPr>
            <w:r w:rsidRPr="00BA7C33">
              <w:rPr>
                <w:rFonts w:ascii="Calibri" w:hAnsi="Calibri" w:cs="Calibri"/>
                <w:b/>
                <w:bCs/>
              </w:rPr>
              <w:t>34</w:t>
            </w:r>
          </w:p>
        </w:tc>
        <w:tc>
          <w:tcPr>
            <w:tcW w:w="2750" w:type="pct"/>
          </w:tcPr>
          <w:p w14:paraId="41BAD403" w14:textId="77777777" w:rsidR="006165AA" w:rsidRPr="00BA7C33" w:rsidRDefault="00000000">
            <w:pPr>
              <w:rPr>
                <w:rFonts w:ascii="Calibri" w:hAnsi="Calibri" w:cs="Calibri"/>
              </w:rPr>
            </w:pPr>
            <w:r w:rsidRPr="00BA7C33">
              <w:rPr>
                <w:rFonts w:ascii="Calibri" w:hAnsi="Calibri" w:cs="Calibri"/>
              </w:rPr>
              <w:t>Unified data layer — Gold's is standing up a central data warehouse (candidates: Databricks, Snowflake, Microsoft Fabric; selection pending). Describe your ability to feed real-time event streams into such a platform, including schema documentation and change-data-capture or webhook-driven delivery.</w:t>
            </w:r>
          </w:p>
        </w:tc>
        <w:tc>
          <w:tcPr>
            <w:tcW w:w="2000" w:type="pct"/>
          </w:tcPr>
          <w:p w14:paraId="37644B16" w14:textId="77777777" w:rsidR="006165AA" w:rsidRPr="00BA7C33" w:rsidRDefault="00000000">
            <w:pPr>
              <w:rPr>
                <w:rFonts w:ascii="Calibri" w:hAnsi="Calibri" w:cs="Calibri"/>
              </w:rPr>
            </w:pPr>
            <w:r w:rsidRPr="00BA7C33">
              <w:rPr>
                <w:rFonts w:ascii="Calibri" w:hAnsi="Calibri" w:cs="Calibri"/>
                <w:color w:val="000000"/>
              </w:rPr>
              <w:t xml:space="preserve">Hapana supports enterprise data warehouse integration through a combination of event-driven webhooks, public APIs, and a native Google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integration that enables continuous, cloud-native data consolidation. The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integration serves as the primary mechanism for streaming operational data — covering members, bookings, attendance, payments, and reporting — into a centralized warehouse environment. From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Gold's Gym can leverage native connectors and data sharing protocols to feed Databricks, Snowflake, or Microsoft Fabric, regardless of which platform is ultimately selected. Webhooks provide event-driven delivery for key transactional triggers, while the public API supports structured, scheduled pulls for ETL pipelines. Schema documentation is available for the public API surface; teams integrating via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can work with Hapana's implementation team to align on schema definitions and change propagation patterns.</w:t>
            </w:r>
          </w:p>
        </w:tc>
      </w:tr>
    </w:tbl>
    <w:p w14:paraId="51758A45" w14:textId="77777777" w:rsidR="006165AA" w:rsidRPr="00BA7C33" w:rsidRDefault="00000000">
      <w:pPr>
        <w:pStyle w:val="Heading2"/>
        <w:spacing w:before="400" w:after="200"/>
        <w:rPr>
          <w:rFonts w:ascii="Calibri" w:hAnsi="Calibri" w:cs="Calibri"/>
        </w:rPr>
      </w:pPr>
      <w:r w:rsidRPr="00BA7C33">
        <w:rPr>
          <w:rFonts w:ascii="Calibri" w:hAnsi="Calibri" w:cs="Calibri"/>
        </w:rPr>
        <w:t>Data &amp; Privacy</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49B3C371" w14:textId="77777777">
        <w:tblPrEx>
          <w:tblCellMar>
            <w:top w:w="0" w:type="dxa"/>
            <w:bottom w:w="0" w:type="dxa"/>
          </w:tblCellMar>
        </w:tblPrEx>
        <w:trPr>
          <w:tblHeader/>
        </w:trPr>
        <w:tc>
          <w:tcPr>
            <w:tcW w:w="250" w:type="pct"/>
            <w:shd w:val="clear" w:color="auto" w:fill="F3F4F6"/>
          </w:tcPr>
          <w:p w14:paraId="2546506F"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15888439"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314546A4"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0B4547FA" w14:textId="77777777">
        <w:tblPrEx>
          <w:tblCellMar>
            <w:top w:w="0" w:type="dxa"/>
            <w:bottom w:w="0" w:type="dxa"/>
          </w:tblCellMar>
        </w:tblPrEx>
        <w:tc>
          <w:tcPr>
            <w:tcW w:w="250" w:type="pct"/>
          </w:tcPr>
          <w:p w14:paraId="105D92EE" w14:textId="77777777" w:rsidR="006165AA" w:rsidRPr="00BA7C33" w:rsidRDefault="00000000">
            <w:pPr>
              <w:rPr>
                <w:rFonts w:ascii="Calibri" w:hAnsi="Calibri" w:cs="Calibri"/>
              </w:rPr>
            </w:pPr>
            <w:r w:rsidRPr="00BA7C33">
              <w:rPr>
                <w:rFonts w:ascii="Calibri" w:hAnsi="Calibri" w:cs="Calibri"/>
                <w:b/>
                <w:bCs/>
              </w:rPr>
              <w:t>35</w:t>
            </w:r>
          </w:p>
        </w:tc>
        <w:tc>
          <w:tcPr>
            <w:tcW w:w="2750" w:type="pct"/>
          </w:tcPr>
          <w:p w14:paraId="70DA75DF" w14:textId="77777777" w:rsidR="006165AA" w:rsidRPr="00BA7C33" w:rsidRDefault="00000000">
            <w:pPr>
              <w:rPr>
                <w:rFonts w:ascii="Calibri" w:hAnsi="Calibri" w:cs="Calibri"/>
              </w:rPr>
            </w:pPr>
            <w:r w:rsidRPr="00BA7C33">
              <w:rPr>
                <w:rFonts w:ascii="Calibri" w:hAnsi="Calibri" w:cs="Calibri"/>
              </w:rPr>
              <w:t>Data Access — Is the full schema of the MMS readily available for custom BI analytics? Is an Entity Relationship Diagram (ERD) showing all tables and relationships available? Are there any restrictions on the data including configuration data, settings data, etc.?</w:t>
            </w:r>
          </w:p>
        </w:tc>
        <w:tc>
          <w:tcPr>
            <w:tcW w:w="2000" w:type="pct"/>
          </w:tcPr>
          <w:p w14:paraId="07E8DBCF" w14:textId="77777777" w:rsidR="006165AA" w:rsidRPr="00BA7C33" w:rsidRDefault="00000000">
            <w:pPr>
              <w:rPr>
                <w:rFonts w:ascii="Calibri" w:hAnsi="Calibri" w:cs="Calibri"/>
              </w:rPr>
            </w:pPr>
            <w:r w:rsidRPr="00BA7C33">
              <w:rPr>
                <w:rFonts w:ascii="Calibri" w:hAnsi="Calibri" w:cs="Calibri"/>
                <w:color w:val="000000"/>
              </w:rPr>
              <w:t xml:space="preserve">Hapana provides data dictionaries, schemas, file layout samples, API definitions, and webhook specifications covering core entities such as members, attendance, bookings, classes, memberships, and transactions. However, a </w:t>
            </w:r>
            <w:r w:rsidRPr="00BA7C33">
              <w:rPr>
                <w:rFonts w:ascii="Calibri" w:hAnsi="Calibri" w:cs="Calibri"/>
                <w:color w:val="000000"/>
              </w:rPr>
              <w:lastRenderedPageBreak/>
              <w:t>formal Entity Relationship Diagram (ERD) showing all tables and relationships is not something we can confirm as a standard available artifact. There are no documented restrictions on accessing configuration or settings data through the API, but specific data access scoping details are best confirmed with your Hapana account representative.</w:t>
            </w:r>
          </w:p>
        </w:tc>
      </w:tr>
      <w:tr w:rsidR="006165AA" w:rsidRPr="00BA7C33" w14:paraId="5260AB48" w14:textId="77777777">
        <w:tblPrEx>
          <w:tblCellMar>
            <w:top w:w="0" w:type="dxa"/>
            <w:bottom w:w="0" w:type="dxa"/>
          </w:tblCellMar>
        </w:tblPrEx>
        <w:tc>
          <w:tcPr>
            <w:tcW w:w="250" w:type="pct"/>
          </w:tcPr>
          <w:p w14:paraId="7BE70900" w14:textId="77777777" w:rsidR="006165AA" w:rsidRPr="00BA7C33" w:rsidRDefault="00000000">
            <w:pPr>
              <w:rPr>
                <w:rFonts w:ascii="Calibri" w:hAnsi="Calibri" w:cs="Calibri"/>
              </w:rPr>
            </w:pPr>
            <w:r w:rsidRPr="00BA7C33">
              <w:rPr>
                <w:rFonts w:ascii="Calibri" w:hAnsi="Calibri" w:cs="Calibri"/>
                <w:b/>
                <w:bCs/>
              </w:rPr>
              <w:lastRenderedPageBreak/>
              <w:t>36</w:t>
            </w:r>
          </w:p>
        </w:tc>
        <w:tc>
          <w:tcPr>
            <w:tcW w:w="2750" w:type="pct"/>
          </w:tcPr>
          <w:p w14:paraId="69513444" w14:textId="77777777" w:rsidR="006165AA" w:rsidRPr="00BA7C33" w:rsidRDefault="00000000">
            <w:pPr>
              <w:rPr>
                <w:rFonts w:ascii="Calibri" w:hAnsi="Calibri" w:cs="Calibri"/>
              </w:rPr>
            </w:pPr>
            <w:r w:rsidRPr="00BA7C33">
              <w:rPr>
                <w:rFonts w:ascii="Calibri" w:hAnsi="Calibri" w:cs="Calibri"/>
              </w:rPr>
              <w:t>Data Integrity — Is the MMS database the single source of truth, and is data not processed outside of the MMS and reinserted in any sort of incremental process?</w:t>
            </w:r>
          </w:p>
        </w:tc>
        <w:tc>
          <w:tcPr>
            <w:tcW w:w="2000" w:type="pct"/>
          </w:tcPr>
          <w:p w14:paraId="6B4F0ADD" w14:textId="77777777" w:rsidR="006165AA" w:rsidRPr="00BA7C33" w:rsidRDefault="00000000">
            <w:pPr>
              <w:rPr>
                <w:rFonts w:ascii="Calibri" w:hAnsi="Calibri" w:cs="Calibri"/>
              </w:rPr>
            </w:pPr>
            <w:r w:rsidRPr="00BA7C33">
              <w:rPr>
                <w:rFonts w:ascii="Calibri" w:hAnsi="Calibri" w:cs="Calibri"/>
                <w:color w:val="000000"/>
              </w:rPr>
              <w:t>Hapana's platform serves as the central system of record, with data entering via Core, internal API, Public API, and Integration Partner APIs. Hapana does employ an ETL (Extract, Transform, Load) framework for managing client and location data migration — transformed data is reviewed and validated before loading. Payment data is handled separately and processed directly with the payment processor, not reinserted into the core database. We recommend engaging your Hapana account representative to confirm specific single-source-of-truth architecture details for your environment.</w:t>
            </w:r>
          </w:p>
        </w:tc>
      </w:tr>
    </w:tbl>
    <w:p w14:paraId="6197D1AE"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733FE35" w14:textId="77777777">
        <w:tblPrEx>
          <w:tblCellMar>
            <w:top w:w="0" w:type="dxa"/>
            <w:bottom w:w="0" w:type="dxa"/>
          </w:tblCellMar>
        </w:tblPrEx>
        <w:trPr>
          <w:tblHeader/>
        </w:trPr>
        <w:tc>
          <w:tcPr>
            <w:tcW w:w="250" w:type="pct"/>
            <w:shd w:val="clear" w:color="auto" w:fill="F3F4F6"/>
          </w:tcPr>
          <w:p w14:paraId="1853E8F7"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661CFCA8"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0115AA54"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15DFC872" w14:textId="77777777">
        <w:tblPrEx>
          <w:tblCellMar>
            <w:top w:w="0" w:type="dxa"/>
            <w:bottom w:w="0" w:type="dxa"/>
          </w:tblCellMar>
        </w:tblPrEx>
        <w:tc>
          <w:tcPr>
            <w:tcW w:w="250" w:type="pct"/>
          </w:tcPr>
          <w:p w14:paraId="60ABF8BE" w14:textId="77777777" w:rsidR="006165AA" w:rsidRPr="00BA7C33" w:rsidRDefault="00000000">
            <w:pPr>
              <w:rPr>
                <w:rFonts w:ascii="Calibri" w:hAnsi="Calibri" w:cs="Calibri"/>
              </w:rPr>
            </w:pPr>
            <w:r w:rsidRPr="00BA7C33">
              <w:rPr>
                <w:rFonts w:ascii="Calibri" w:hAnsi="Calibri" w:cs="Calibri"/>
                <w:b/>
                <w:bCs/>
              </w:rPr>
              <w:t>37</w:t>
            </w:r>
          </w:p>
        </w:tc>
        <w:tc>
          <w:tcPr>
            <w:tcW w:w="2750" w:type="pct"/>
          </w:tcPr>
          <w:p w14:paraId="40726CE3" w14:textId="77777777" w:rsidR="006165AA" w:rsidRPr="00BA7C33" w:rsidRDefault="00000000">
            <w:pPr>
              <w:rPr>
                <w:rFonts w:ascii="Calibri" w:hAnsi="Calibri" w:cs="Calibri"/>
              </w:rPr>
            </w:pPr>
            <w:r w:rsidRPr="00BA7C33">
              <w:rPr>
                <w:rFonts w:ascii="Calibri" w:hAnsi="Calibri" w:cs="Calibri"/>
              </w:rPr>
              <w:t>API as primary interface — What percentage of platform functionality is exposed via public API? List modules with full API coverage and modules that are admin-UI-only. Where are the gaps and what is the timeline to close them?</w:t>
            </w:r>
          </w:p>
        </w:tc>
        <w:tc>
          <w:tcPr>
            <w:tcW w:w="2000" w:type="pct"/>
          </w:tcPr>
          <w:p w14:paraId="00C80E78" w14:textId="77777777" w:rsidR="006165AA" w:rsidRPr="00BA7C33" w:rsidRDefault="00000000">
            <w:pPr>
              <w:rPr>
                <w:rFonts w:ascii="Calibri" w:hAnsi="Calibri" w:cs="Calibri"/>
              </w:rPr>
            </w:pPr>
            <w:r w:rsidRPr="00BA7C33">
              <w:rPr>
                <w:rFonts w:ascii="Calibri" w:hAnsi="Calibri" w:cs="Calibri"/>
                <w:color w:val="000000"/>
              </w:rPr>
              <w:t xml:space="preserve">Hapana's platform exposes a meaningful subset of functionality via public API, built on both </w:t>
            </w:r>
            <w:proofErr w:type="spellStart"/>
            <w:r w:rsidRPr="00BA7C33">
              <w:rPr>
                <w:rFonts w:ascii="Calibri" w:hAnsi="Calibri" w:cs="Calibri"/>
                <w:color w:val="000000"/>
              </w:rPr>
              <w:t>GraphQL</w:t>
            </w:r>
            <w:proofErr w:type="spellEnd"/>
            <w:r w:rsidRPr="00BA7C33">
              <w:rPr>
                <w:rFonts w:ascii="Calibri" w:hAnsi="Calibri" w:cs="Calibri"/>
                <w:color w:val="000000"/>
              </w:rPr>
              <w:t xml:space="preserve"> and REST API, managed through Apigee as the API gateway layer. Core modules with documented public API coverage include bookings/scheduling, memberships/packages, payments, member profiles, and account credits. While we do not have a precise published percentage of overall platform functionality exposed publicly, we are currently expanding the public API surface area and creating a partner API for enhanced integrations.</w:t>
            </w:r>
          </w:p>
        </w:tc>
      </w:tr>
      <w:tr w:rsidR="006165AA" w:rsidRPr="00BA7C33" w14:paraId="290E3A3A" w14:textId="77777777">
        <w:tblPrEx>
          <w:tblCellMar>
            <w:top w:w="0" w:type="dxa"/>
            <w:bottom w:w="0" w:type="dxa"/>
          </w:tblCellMar>
        </w:tblPrEx>
        <w:tc>
          <w:tcPr>
            <w:tcW w:w="250" w:type="pct"/>
          </w:tcPr>
          <w:p w14:paraId="45196F64" w14:textId="77777777" w:rsidR="006165AA" w:rsidRPr="00BA7C33" w:rsidRDefault="00000000">
            <w:pPr>
              <w:rPr>
                <w:rFonts w:ascii="Calibri" w:hAnsi="Calibri" w:cs="Calibri"/>
              </w:rPr>
            </w:pPr>
            <w:r w:rsidRPr="00BA7C33">
              <w:rPr>
                <w:rFonts w:ascii="Calibri" w:hAnsi="Calibri" w:cs="Calibri"/>
                <w:b/>
                <w:bCs/>
              </w:rPr>
              <w:t>38</w:t>
            </w:r>
          </w:p>
        </w:tc>
        <w:tc>
          <w:tcPr>
            <w:tcW w:w="2750" w:type="pct"/>
          </w:tcPr>
          <w:p w14:paraId="7BD33A96" w14:textId="77777777" w:rsidR="006165AA" w:rsidRPr="00BA7C33" w:rsidRDefault="00000000">
            <w:pPr>
              <w:rPr>
                <w:rFonts w:ascii="Calibri" w:hAnsi="Calibri" w:cs="Calibri"/>
              </w:rPr>
            </w:pPr>
            <w:r w:rsidRPr="00BA7C33">
              <w:rPr>
                <w:rFonts w:ascii="Calibri" w:hAnsi="Calibri" w:cs="Calibri"/>
              </w:rPr>
              <w:t>Headless / system-of-record mode — Can Gold's host the entire member-facing UI (join, account portal, freeze/cancel, payment management) and use the platform purely as a transaction engine and system of record? If yes, describe what is required and name customers operating this way. If no, explain specifically why.</w:t>
            </w:r>
          </w:p>
        </w:tc>
        <w:tc>
          <w:tcPr>
            <w:tcW w:w="2000" w:type="pct"/>
          </w:tcPr>
          <w:p w14:paraId="717B7A42" w14:textId="77777777" w:rsidR="006165AA" w:rsidRPr="00BA7C33" w:rsidRDefault="00000000">
            <w:pPr>
              <w:rPr>
                <w:rFonts w:ascii="Calibri" w:hAnsi="Calibri" w:cs="Calibri"/>
              </w:rPr>
            </w:pPr>
            <w:r w:rsidRPr="00BA7C33">
              <w:rPr>
                <w:rFonts w:ascii="Calibri" w:hAnsi="Calibri" w:cs="Calibri"/>
                <w:color w:val="000000"/>
              </w:rPr>
              <w:t xml:space="preserve">Partially. Hapana offers APIs that enable Gold's to manage certain member-facing functions — such as account information, member updates, and class booking — within a custom-built UI. However, full headless mode is not supported for payment collection: payment method entry and management must occur within Hapana's payment elements (PCI-compliant direct integrations with our payment gateways) and cannot be fully offloaded to a third-party UI layer. As an alternative, Hapana provides brandable JavaScript </w:t>
            </w:r>
            <w:r w:rsidRPr="00BA7C33">
              <w:rPr>
                <w:rFonts w:ascii="Calibri" w:hAnsi="Calibri" w:cs="Calibri"/>
                <w:color w:val="000000"/>
              </w:rPr>
              <w:lastRenderedPageBreak/>
              <w:t>embed widgets that can be inserted directly into Gold's website, supporting membership purchasing, class booking, and session enrollment, with the ability to apply Gold's brand styling and digital marketing trackers. This widget approach gives Gold's significant UI control without requiring a full custom build.</w:t>
            </w:r>
          </w:p>
        </w:tc>
      </w:tr>
    </w:tbl>
    <w:p w14:paraId="21DC8D7A"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Pricing &amp; Commercial</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1CC4D9E9" w14:textId="77777777">
        <w:tblPrEx>
          <w:tblCellMar>
            <w:top w:w="0" w:type="dxa"/>
            <w:bottom w:w="0" w:type="dxa"/>
          </w:tblCellMar>
        </w:tblPrEx>
        <w:trPr>
          <w:tblHeader/>
        </w:trPr>
        <w:tc>
          <w:tcPr>
            <w:tcW w:w="250" w:type="pct"/>
            <w:shd w:val="clear" w:color="auto" w:fill="F3F4F6"/>
          </w:tcPr>
          <w:p w14:paraId="252C42F6"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2E118F57"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72B4CA61"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0ABA70D0" w14:textId="77777777">
        <w:tblPrEx>
          <w:tblCellMar>
            <w:top w:w="0" w:type="dxa"/>
            <w:bottom w:w="0" w:type="dxa"/>
          </w:tblCellMar>
        </w:tblPrEx>
        <w:tc>
          <w:tcPr>
            <w:tcW w:w="250" w:type="pct"/>
          </w:tcPr>
          <w:p w14:paraId="46E87E0F" w14:textId="77777777" w:rsidR="006165AA" w:rsidRPr="00BA7C33" w:rsidRDefault="00000000">
            <w:pPr>
              <w:rPr>
                <w:rFonts w:ascii="Calibri" w:hAnsi="Calibri" w:cs="Calibri"/>
              </w:rPr>
            </w:pPr>
            <w:r w:rsidRPr="00BA7C33">
              <w:rPr>
                <w:rFonts w:ascii="Calibri" w:hAnsi="Calibri" w:cs="Calibri"/>
                <w:b/>
                <w:bCs/>
              </w:rPr>
              <w:t>39</w:t>
            </w:r>
          </w:p>
        </w:tc>
        <w:tc>
          <w:tcPr>
            <w:tcW w:w="2750" w:type="pct"/>
          </w:tcPr>
          <w:p w14:paraId="6038EB0D" w14:textId="77777777" w:rsidR="006165AA" w:rsidRPr="00BA7C33" w:rsidRDefault="00000000">
            <w:pPr>
              <w:rPr>
                <w:rFonts w:ascii="Calibri" w:hAnsi="Calibri" w:cs="Calibri"/>
              </w:rPr>
            </w:pPr>
            <w:r w:rsidRPr="00BA7C33">
              <w:rPr>
                <w:rFonts w:ascii="Calibri" w:hAnsi="Calibri" w:cs="Calibri"/>
              </w:rPr>
              <w:t>API pricing and metering — Are APIs included in the base subscription or metered/billed separately? Describe per-call cost at scale, rate-limit tiers, and whether higher API throughput requires a different commercial tier.</w:t>
            </w:r>
          </w:p>
        </w:tc>
        <w:tc>
          <w:tcPr>
            <w:tcW w:w="2000" w:type="pct"/>
          </w:tcPr>
          <w:p w14:paraId="029E3741" w14:textId="77777777" w:rsidR="006165AA" w:rsidRPr="00BA7C33" w:rsidRDefault="00000000">
            <w:pPr>
              <w:rPr>
                <w:rFonts w:ascii="Calibri" w:hAnsi="Calibri" w:cs="Calibri"/>
              </w:rPr>
            </w:pPr>
            <w:r w:rsidRPr="00BA7C33">
              <w:rPr>
                <w:rFonts w:ascii="Calibri" w:hAnsi="Calibri" w:cs="Calibri"/>
                <w:color w:val="000000"/>
              </w:rPr>
              <w:t>API access is tiered by subscription plan, not metered per call. The Basic plan includes no API access. The Premium plan provides read-only API access (GET only) at 60 req/min and 10,000 req/day per key. The Pro plan unlocks full read/write access at 300 req/min and 100,000 req/day per key.  The higher API throughput requires upgrading to the Pro commercial tier; for enterprise accounts limits and throughput can be negotiated.</w:t>
            </w:r>
          </w:p>
        </w:tc>
      </w:tr>
    </w:tbl>
    <w:p w14:paraId="2D8697E2"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0502D2DE" w14:textId="77777777">
        <w:tblPrEx>
          <w:tblCellMar>
            <w:top w:w="0" w:type="dxa"/>
            <w:bottom w:w="0" w:type="dxa"/>
          </w:tblCellMar>
        </w:tblPrEx>
        <w:trPr>
          <w:tblHeader/>
        </w:trPr>
        <w:tc>
          <w:tcPr>
            <w:tcW w:w="250" w:type="pct"/>
            <w:shd w:val="clear" w:color="auto" w:fill="F3F4F6"/>
          </w:tcPr>
          <w:p w14:paraId="1F7D8C0A"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2E722926"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6CA159E7"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5BCDEF8D" w14:textId="77777777">
        <w:tblPrEx>
          <w:tblCellMar>
            <w:top w:w="0" w:type="dxa"/>
            <w:bottom w:w="0" w:type="dxa"/>
          </w:tblCellMar>
        </w:tblPrEx>
        <w:tc>
          <w:tcPr>
            <w:tcW w:w="250" w:type="pct"/>
          </w:tcPr>
          <w:p w14:paraId="58604592" w14:textId="77777777" w:rsidR="006165AA" w:rsidRPr="00BA7C33" w:rsidRDefault="00000000">
            <w:pPr>
              <w:rPr>
                <w:rFonts w:ascii="Calibri" w:hAnsi="Calibri" w:cs="Calibri"/>
              </w:rPr>
            </w:pPr>
            <w:r w:rsidRPr="00BA7C33">
              <w:rPr>
                <w:rFonts w:ascii="Calibri" w:hAnsi="Calibri" w:cs="Calibri"/>
                <w:b/>
                <w:bCs/>
              </w:rPr>
              <w:t>40</w:t>
            </w:r>
          </w:p>
        </w:tc>
        <w:tc>
          <w:tcPr>
            <w:tcW w:w="2750" w:type="pct"/>
          </w:tcPr>
          <w:p w14:paraId="0059D15A" w14:textId="77777777" w:rsidR="006165AA" w:rsidRPr="00BA7C33" w:rsidRDefault="00000000">
            <w:pPr>
              <w:rPr>
                <w:rFonts w:ascii="Calibri" w:hAnsi="Calibri" w:cs="Calibri"/>
              </w:rPr>
            </w:pPr>
            <w:r w:rsidRPr="00BA7C33">
              <w:rPr>
                <w:rFonts w:ascii="Calibri" w:hAnsi="Calibri" w:cs="Calibri"/>
              </w:rPr>
              <w:t xml:space="preserve">Webhook and event coverage — Provide the full catalog of webhook events fired today (member, billing, transaction, access, plan-change, communication events). Mark which </w:t>
            </w:r>
            <w:proofErr w:type="gramStart"/>
            <w:r w:rsidRPr="00BA7C33">
              <w:rPr>
                <w:rFonts w:ascii="Calibri" w:hAnsi="Calibri" w:cs="Calibri"/>
              </w:rPr>
              <w:t>require</w:t>
            </w:r>
            <w:proofErr w:type="gramEnd"/>
            <w:r w:rsidRPr="00BA7C33">
              <w:rPr>
                <w:rFonts w:ascii="Calibri" w:hAnsi="Calibri" w:cs="Calibri"/>
              </w:rPr>
              <w:t xml:space="preserve"> polling. State a latency target per event type.</w:t>
            </w:r>
          </w:p>
        </w:tc>
        <w:tc>
          <w:tcPr>
            <w:tcW w:w="2000" w:type="pct"/>
          </w:tcPr>
          <w:p w14:paraId="10C11EF9" w14:textId="77777777" w:rsidR="006165AA" w:rsidRPr="00BA7C33" w:rsidRDefault="00000000">
            <w:pPr>
              <w:rPr>
                <w:rFonts w:ascii="Calibri" w:hAnsi="Calibri" w:cs="Calibri"/>
              </w:rPr>
            </w:pPr>
            <w:r w:rsidRPr="00BA7C33">
              <w:rPr>
                <w:rFonts w:ascii="Calibri" w:hAnsi="Calibri" w:cs="Calibri"/>
                <w:color w:val="000000"/>
              </w:rPr>
              <w:t xml:space="preserve">Hapana currently supports webhooks for key operational events including prospect creation, sales/purchase events, and scheduled class events. Member account creation, client profile changes, status changes, and purchases are covered via near real-time webhook push. A daily data export is available for broader event coverage beyond the webhook catalog. We do not have a published full catalog with per-event latency SLAs </w:t>
            </w:r>
            <w:proofErr w:type="gramStart"/>
            <w:r w:rsidRPr="00BA7C33">
              <w:rPr>
                <w:rFonts w:ascii="Calibri" w:hAnsi="Calibri" w:cs="Calibri"/>
                <w:color w:val="000000"/>
              </w:rPr>
              <w:t>at this time</w:t>
            </w:r>
            <w:proofErr w:type="gramEnd"/>
            <w:r w:rsidRPr="00BA7C33">
              <w:rPr>
                <w:rFonts w:ascii="Calibri" w:hAnsi="Calibri" w:cs="Calibri"/>
                <w:color w:val="000000"/>
              </w:rPr>
              <w:t>. Notably, Webhooks v2 with retry logic and an event log, as well as Maxio subscription lifecycle webhooks, are both actively in progress (P1 priority) and will significantly expand event coverage, reliability guarantees, and observability. Please contact your Hapana account representative for the current detailed event list and latency guidance specific to your integration needs.</w:t>
            </w:r>
          </w:p>
        </w:tc>
      </w:tr>
    </w:tbl>
    <w:p w14:paraId="066BEC2B" w14:textId="77777777" w:rsidR="006165AA" w:rsidRPr="00BA7C33" w:rsidRDefault="00000000">
      <w:pPr>
        <w:pStyle w:val="Heading2"/>
        <w:spacing w:before="400" w:after="200"/>
        <w:rPr>
          <w:rFonts w:ascii="Calibri" w:hAnsi="Calibri" w:cs="Calibri"/>
        </w:rPr>
      </w:pPr>
      <w:r w:rsidRPr="00BA7C33">
        <w:rPr>
          <w:rFonts w:ascii="Calibri" w:hAnsi="Calibri" w:cs="Calibri"/>
        </w:rPr>
        <w:t>Company &amp; References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4FFD0A4E" w14:textId="77777777">
        <w:tblPrEx>
          <w:tblCellMar>
            <w:top w:w="0" w:type="dxa"/>
            <w:bottom w:w="0" w:type="dxa"/>
          </w:tblCellMar>
        </w:tblPrEx>
        <w:trPr>
          <w:tblHeader/>
        </w:trPr>
        <w:tc>
          <w:tcPr>
            <w:tcW w:w="250" w:type="pct"/>
            <w:shd w:val="clear" w:color="auto" w:fill="F3F4F6"/>
          </w:tcPr>
          <w:p w14:paraId="754FE18B" w14:textId="77777777" w:rsidR="006165AA" w:rsidRPr="00BA7C33" w:rsidRDefault="00000000">
            <w:pPr>
              <w:rPr>
                <w:rFonts w:ascii="Calibri" w:hAnsi="Calibri" w:cs="Calibri"/>
              </w:rPr>
            </w:pPr>
            <w:r w:rsidRPr="00BA7C33">
              <w:rPr>
                <w:rFonts w:ascii="Calibri" w:hAnsi="Calibri" w:cs="Calibri"/>
                <w:b/>
                <w:bCs/>
              </w:rPr>
              <w:lastRenderedPageBreak/>
              <w:t>#</w:t>
            </w:r>
          </w:p>
        </w:tc>
        <w:tc>
          <w:tcPr>
            <w:tcW w:w="2750" w:type="pct"/>
            <w:shd w:val="clear" w:color="auto" w:fill="F3F4F6"/>
          </w:tcPr>
          <w:p w14:paraId="148C8CFB"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6F0939D8"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6FD268FE" w14:textId="77777777">
        <w:tblPrEx>
          <w:tblCellMar>
            <w:top w:w="0" w:type="dxa"/>
            <w:bottom w:w="0" w:type="dxa"/>
          </w:tblCellMar>
        </w:tblPrEx>
        <w:tc>
          <w:tcPr>
            <w:tcW w:w="250" w:type="pct"/>
          </w:tcPr>
          <w:p w14:paraId="39812F53" w14:textId="77777777" w:rsidR="006165AA" w:rsidRPr="00BA7C33" w:rsidRDefault="00000000">
            <w:pPr>
              <w:rPr>
                <w:rFonts w:ascii="Calibri" w:hAnsi="Calibri" w:cs="Calibri"/>
              </w:rPr>
            </w:pPr>
            <w:r w:rsidRPr="00BA7C33">
              <w:rPr>
                <w:rFonts w:ascii="Calibri" w:hAnsi="Calibri" w:cs="Calibri"/>
                <w:b/>
                <w:bCs/>
              </w:rPr>
              <w:t>41</w:t>
            </w:r>
          </w:p>
        </w:tc>
        <w:tc>
          <w:tcPr>
            <w:tcW w:w="2750" w:type="pct"/>
          </w:tcPr>
          <w:p w14:paraId="2C014697" w14:textId="77777777" w:rsidR="006165AA" w:rsidRPr="00BA7C33" w:rsidRDefault="00000000">
            <w:pPr>
              <w:rPr>
                <w:rFonts w:ascii="Calibri" w:hAnsi="Calibri" w:cs="Calibri"/>
              </w:rPr>
            </w:pPr>
            <w:r w:rsidRPr="00BA7C33">
              <w:rPr>
                <w:rFonts w:ascii="Calibri" w:hAnsi="Calibri" w:cs="Calibri"/>
              </w:rPr>
              <w:t>History: In the last 36 months, have you sunset a product or required customers to migrate to a different platform? Describe what happened, the notice given, who bore the migration cost, and how customers were affected.</w:t>
            </w:r>
          </w:p>
        </w:tc>
        <w:tc>
          <w:tcPr>
            <w:tcW w:w="2000" w:type="pct"/>
          </w:tcPr>
          <w:p w14:paraId="47FDD49D" w14:textId="77777777" w:rsidR="006165AA" w:rsidRPr="00BA7C33" w:rsidRDefault="00000000">
            <w:pPr>
              <w:rPr>
                <w:rFonts w:ascii="Calibri" w:hAnsi="Calibri" w:cs="Calibri"/>
              </w:rPr>
            </w:pPr>
            <w:r w:rsidRPr="00BA7C33">
              <w:rPr>
                <w:rFonts w:ascii="Calibri" w:hAnsi="Calibri" w:cs="Calibri"/>
                <w:color w:val="000000"/>
              </w:rPr>
              <w:t>Hapana has not sunset a product or required customers to migrate to a different platform in the last 36 months. We operate a single, continuously evolving all-in-one platform and have not undergone a platform consolidation or forced migration event during this period.</w:t>
            </w:r>
          </w:p>
        </w:tc>
      </w:tr>
      <w:tr w:rsidR="006165AA" w:rsidRPr="00BA7C33" w14:paraId="788658A0" w14:textId="77777777">
        <w:tblPrEx>
          <w:tblCellMar>
            <w:top w:w="0" w:type="dxa"/>
            <w:bottom w:w="0" w:type="dxa"/>
          </w:tblCellMar>
        </w:tblPrEx>
        <w:tc>
          <w:tcPr>
            <w:tcW w:w="250" w:type="pct"/>
          </w:tcPr>
          <w:p w14:paraId="7612CFEE" w14:textId="77777777" w:rsidR="006165AA" w:rsidRPr="00BA7C33" w:rsidRDefault="00000000">
            <w:pPr>
              <w:rPr>
                <w:rFonts w:ascii="Calibri" w:hAnsi="Calibri" w:cs="Calibri"/>
              </w:rPr>
            </w:pPr>
            <w:r w:rsidRPr="00BA7C33">
              <w:rPr>
                <w:rFonts w:ascii="Calibri" w:hAnsi="Calibri" w:cs="Calibri"/>
                <w:b/>
                <w:bCs/>
              </w:rPr>
              <w:t>42</w:t>
            </w:r>
          </w:p>
        </w:tc>
        <w:tc>
          <w:tcPr>
            <w:tcW w:w="2750" w:type="pct"/>
          </w:tcPr>
          <w:p w14:paraId="4ABFE0CF" w14:textId="77777777" w:rsidR="006165AA" w:rsidRPr="00BA7C33" w:rsidRDefault="00000000">
            <w:pPr>
              <w:rPr>
                <w:rFonts w:ascii="Calibri" w:hAnsi="Calibri" w:cs="Calibri"/>
              </w:rPr>
            </w:pPr>
            <w:r w:rsidRPr="00BA7C33">
              <w:rPr>
                <w:rFonts w:ascii="Calibri" w:hAnsi="Calibri" w:cs="Calibri"/>
              </w:rPr>
              <w:t>The product we'd be buying: Confirm the specific product/edition proposed to Gold's is the platform you intend to invest in long-term — not a product being wound down or merged into another. If it is on a convergence path with another product, say so plainly and describe the path, timeline, and what it means for Gold's.</w:t>
            </w:r>
          </w:p>
        </w:tc>
        <w:tc>
          <w:tcPr>
            <w:tcW w:w="2000" w:type="pct"/>
          </w:tcPr>
          <w:p w14:paraId="3E204F13" w14:textId="77777777" w:rsidR="006165AA" w:rsidRPr="00BA7C33" w:rsidRDefault="00000000">
            <w:pPr>
              <w:rPr>
                <w:rFonts w:ascii="Calibri" w:hAnsi="Calibri" w:cs="Calibri"/>
              </w:rPr>
            </w:pPr>
            <w:r w:rsidRPr="00BA7C33">
              <w:rPr>
                <w:rFonts w:ascii="Calibri" w:hAnsi="Calibri" w:cs="Calibri"/>
                <w:color w:val="000000"/>
              </w:rPr>
              <w:t>The product proposed to Gold's Gym is Hapana's core all-in-one fitness and wellness management platform — the same platform Hapana has been actively developing and investing in since 2016. This is Hapana's singular product; there is no secondary product line, legacy system, or acquisition being wound down or merged into it. Hapana is not on a convergence path with any other product. The platform is our sole commercial offering, and all engineering, product, and R&amp;D investment is directed toward it.</w:t>
            </w:r>
          </w:p>
        </w:tc>
      </w:tr>
    </w:tbl>
    <w:p w14:paraId="5502F254" w14:textId="77777777" w:rsidR="006165AA" w:rsidRPr="00BA7C33" w:rsidRDefault="00000000">
      <w:pPr>
        <w:pStyle w:val="Heading2"/>
        <w:spacing w:before="400" w:after="200"/>
        <w:rPr>
          <w:rFonts w:ascii="Calibri" w:hAnsi="Calibri" w:cs="Calibri"/>
        </w:rPr>
      </w:pPr>
      <w:r w:rsidRPr="00BA7C33">
        <w:rPr>
          <w:rFonts w:ascii="Calibri" w:hAnsi="Calibri" w:cs="Calibri"/>
        </w:rPr>
        <w:t>Pricing &amp; Commercial</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0F08417B" w14:textId="77777777">
        <w:tblPrEx>
          <w:tblCellMar>
            <w:top w:w="0" w:type="dxa"/>
            <w:bottom w:w="0" w:type="dxa"/>
          </w:tblCellMar>
        </w:tblPrEx>
        <w:trPr>
          <w:tblHeader/>
        </w:trPr>
        <w:tc>
          <w:tcPr>
            <w:tcW w:w="250" w:type="pct"/>
            <w:shd w:val="clear" w:color="auto" w:fill="F3F4F6"/>
          </w:tcPr>
          <w:p w14:paraId="6D175243"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32BBB4B3"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66100121"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179FB841" w14:textId="77777777">
        <w:tblPrEx>
          <w:tblCellMar>
            <w:top w:w="0" w:type="dxa"/>
            <w:bottom w:w="0" w:type="dxa"/>
          </w:tblCellMar>
        </w:tblPrEx>
        <w:tc>
          <w:tcPr>
            <w:tcW w:w="250" w:type="pct"/>
          </w:tcPr>
          <w:p w14:paraId="4AC4D424" w14:textId="77777777" w:rsidR="006165AA" w:rsidRPr="00BA7C33" w:rsidRDefault="00000000">
            <w:pPr>
              <w:rPr>
                <w:rFonts w:ascii="Calibri" w:hAnsi="Calibri" w:cs="Calibri"/>
              </w:rPr>
            </w:pPr>
            <w:r w:rsidRPr="00BA7C33">
              <w:rPr>
                <w:rFonts w:ascii="Calibri" w:hAnsi="Calibri" w:cs="Calibri"/>
                <w:b/>
                <w:bCs/>
              </w:rPr>
              <w:t>43</w:t>
            </w:r>
          </w:p>
        </w:tc>
        <w:tc>
          <w:tcPr>
            <w:tcW w:w="2750" w:type="pct"/>
          </w:tcPr>
          <w:p w14:paraId="7C0B355A" w14:textId="77777777" w:rsidR="006165AA" w:rsidRPr="00BA7C33" w:rsidRDefault="00000000">
            <w:pPr>
              <w:rPr>
                <w:rFonts w:ascii="Calibri" w:hAnsi="Calibri" w:cs="Calibri"/>
              </w:rPr>
            </w:pPr>
            <w:r w:rsidRPr="00BA7C33">
              <w:rPr>
                <w:rFonts w:ascii="Calibri" w:hAnsi="Calibri" w:cs="Calibri"/>
              </w:rPr>
              <w:t>Accountability: Confirm your willingness to stand behind your product continuity and platform investment answers contractually via the product-continuity and no-forced-migration protections in §15.7.</w:t>
            </w:r>
          </w:p>
        </w:tc>
        <w:tc>
          <w:tcPr>
            <w:tcW w:w="2000" w:type="pct"/>
          </w:tcPr>
          <w:p w14:paraId="550ABA73" w14:textId="77777777" w:rsidR="006165AA" w:rsidRPr="00BA7C33" w:rsidRDefault="00000000">
            <w:pPr>
              <w:rPr>
                <w:rFonts w:ascii="Calibri" w:hAnsi="Calibri" w:cs="Calibri"/>
              </w:rPr>
            </w:pPr>
            <w:r w:rsidRPr="00BA7C33">
              <w:rPr>
                <w:rFonts w:ascii="Calibri" w:hAnsi="Calibri" w:cs="Calibri"/>
                <w:color w:val="000000"/>
              </w:rPr>
              <w:t>Specific product-continuity and no-forced-migration protections referenced in §15.7 are not standard clauses in our published contract framework. We are willing to discuss and negotiate contractual commitments around platform continuity and migration protections.</w:t>
            </w:r>
          </w:p>
        </w:tc>
      </w:tr>
    </w:tbl>
    <w:p w14:paraId="656C4D5C"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4F542F95" w14:textId="77777777">
        <w:tblPrEx>
          <w:tblCellMar>
            <w:top w:w="0" w:type="dxa"/>
            <w:bottom w:w="0" w:type="dxa"/>
          </w:tblCellMar>
        </w:tblPrEx>
        <w:trPr>
          <w:tblHeader/>
        </w:trPr>
        <w:tc>
          <w:tcPr>
            <w:tcW w:w="250" w:type="pct"/>
            <w:shd w:val="clear" w:color="auto" w:fill="F3F4F6"/>
          </w:tcPr>
          <w:p w14:paraId="06E0A1A9"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72A67EB3"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78577C9B"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3D6B75F0" w14:textId="77777777">
        <w:tblPrEx>
          <w:tblCellMar>
            <w:top w:w="0" w:type="dxa"/>
            <w:bottom w:w="0" w:type="dxa"/>
          </w:tblCellMar>
        </w:tblPrEx>
        <w:tc>
          <w:tcPr>
            <w:tcW w:w="250" w:type="pct"/>
          </w:tcPr>
          <w:p w14:paraId="6BB248E8" w14:textId="77777777" w:rsidR="006165AA" w:rsidRPr="00BA7C33" w:rsidRDefault="00000000">
            <w:pPr>
              <w:rPr>
                <w:rFonts w:ascii="Calibri" w:hAnsi="Calibri" w:cs="Calibri"/>
              </w:rPr>
            </w:pPr>
            <w:r w:rsidRPr="00BA7C33">
              <w:rPr>
                <w:rFonts w:ascii="Calibri" w:hAnsi="Calibri" w:cs="Calibri"/>
                <w:b/>
                <w:bCs/>
              </w:rPr>
              <w:t>44</w:t>
            </w:r>
          </w:p>
        </w:tc>
        <w:tc>
          <w:tcPr>
            <w:tcW w:w="2750" w:type="pct"/>
          </w:tcPr>
          <w:p w14:paraId="31A3EE0F" w14:textId="77777777" w:rsidR="006165AA" w:rsidRPr="00BA7C33" w:rsidRDefault="00000000">
            <w:pPr>
              <w:rPr>
                <w:rFonts w:ascii="Calibri" w:hAnsi="Calibri" w:cs="Calibri"/>
              </w:rPr>
            </w:pPr>
            <w:r w:rsidRPr="00BA7C33">
              <w:rPr>
                <w:rFonts w:ascii="Calibri" w:hAnsi="Calibri" w:cs="Calibri"/>
              </w:rPr>
              <w:t>API &amp; Integration evaluation criteria: Describe your API maturity and coverage, webhooks/event coverage, real-time sync, sandbox, documentation, ecosystem openness (headless / system-of-record), and existing integrations with common systems.</w:t>
            </w:r>
          </w:p>
        </w:tc>
        <w:tc>
          <w:tcPr>
            <w:tcW w:w="2000" w:type="pct"/>
          </w:tcPr>
          <w:p w14:paraId="78F08000" w14:textId="77777777" w:rsidR="006165AA" w:rsidRPr="00BA7C33" w:rsidRDefault="00000000">
            <w:pPr>
              <w:rPr>
                <w:rFonts w:ascii="Calibri" w:hAnsi="Calibri" w:cs="Calibri"/>
              </w:rPr>
            </w:pPr>
            <w:r w:rsidRPr="00BA7C33">
              <w:rPr>
                <w:rFonts w:ascii="Calibri" w:hAnsi="Calibri" w:cs="Calibri"/>
                <w:color w:val="000000"/>
              </w:rPr>
              <w:t xml:space="preserve">Hapana provides a layered, enterprise-grade integration architecture across several dimensions:  **API &amp; </w:t>
            </w:r>
            <w:proofErr w:type="gramStart"/>
            <w:r w:rsidRPr="00BA7C33">
              <w:rPr>
                <w:rFonts w:ascii="Calibri" w:hAnsi="Calibri" w:cs="Calibri"/>
                <w:color w:val="000000"/>
              </w:rPr>
              <w:t>Webhooks:*</w:t>
            </w:r>
            <w:proofErr w:type="gramEnd"/>
            <w:r w:rsidRPr="00BA7C33">
              <w:rPr>
                <w:rFonts w:ascii="Calibri" w:hAnsi="Calibri" w:cs="Calibri"/>
                <w:color w:val="000000"/>
              </w:rPr>
              <w:t xml:space="preserve">* We offer a Public REST API for custom integrations and webhooks for event-driven data streaming covering key events including account creation, client profile changes, and some membership status changes. Zapier hooks and actions are also supported for no-code workflow automation.  **Real-Time Sync &amp; Data </w:t>
            </w:r>
            <w:proofErr w:type="gramStart"/>
            <w:r w:rsidRPr="00BA7C33">
              <w:rPr>
                <w:rFonts w:ascii="Calibri" w:hAnsi="Calibri" w:cs="Calibri"/>
                <w:color w:val="000000"/>
              </w:rPr>
              <w:t>Warehouse:*</w:t>
            </w:r>
            <w:proofErr w:type="gramEnd"/>
            <w:r w:rsidRPr="00BA7C33">
              <w:rPr>
                <w:rFonts w:ascii="Calibri" w:hAnsi="Calibri" w:cs="Calibri"/>
                <w:color w:val="000000"/>
              </w:rPr>
              <w:t xml:space="preserve">* Near-real-time data export is available via webhooks. Our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data warehouse integration enables structured, scalable export of operational data for BI and analytics, with tenant isolation and compliance controls built natively into the architecture.  **Ecosystem &amp; Existing </w:t>
            </w:r>
            <w:proofErr w:type="gramStart"/>
            <w:r w:rsidRPr="00BA7C33">
              <w:rPr>
                <w:rFonts w:ascii="Calibri" w:hAnsi="Calibri" w:cs="Calibri"/>
                <w:color w:val="000000"/>
              </w:rPr>
              <w:t>Integrations:*</w:t>
            </w:r>
            <w:proofErr w:type="gramEnd"/>
            <w:r w:rsidRPr="00BA7C33">
              <w:rPr>
                <w:rFonts w:ascii="Calibri" w:hAnsi="Calibri" w:cs="Calibri"/>
                <w:color w:val="000000"/>
              </w:rPr>
              <w:t xml:space="preserve">* Native </w:t>
            </w:r>
            <w:r w:rsidRPr="00BA7C33">
              <w:rPr>
                <w:rFonts w:ascii="Calibri" w:hAnsi="Calibri" w:cs="Calibri"/>
                <w:color w:val="000000"/>
              </w:rPr>
              <w:lastRenderedPageBreak/>
              <w:t xml:space="preserve">integrations include push notifications (branded mobile app), SMS (Twilio), email delivery, </w:t>
            </w:r>
            <w:proofErr w:type="spellStart"/>
            <w:r w:rsidRPr="00BA7C33">
              <w:rPr>
                <w:rFonts w:ascii="Calibri" w:hAnsi="Calibri" w:cs="Calibri"/>
                <w:color w:val="000000"/>
              </w:rPr>
              <w:t>EzyPay</w:t>
            </w:r>
            <w:proofErr w:type="spellEnd"/>
            <w:r w:rsidRPr="00BA7C33">
              <w:rPr>
                <w:rFonts w:ascii="Calibri" w:hAnsi="Calibri" w:cs="Calibri"/>
                <w:color w:val="000000"/>
              </w:rPr>
              <w:t xml:space="preserve"> payment gateway, </w:t>
            </w:r>
            <w:proofErr w:type="spellStart"/>
            <w:r w:rsidRPr="00BA7C33">
              <w:rPr>
                <w:rFonts w:ascii="Calibri" w:hAnsi="Calibri" w:cs="Calibri"/>
                <w:color w:val="000000"/>
              </w:rPr>
              <w:t>Classpass</w:t>
            </w:r>
            <w:proofErr w:type="spellEnd"/>
            <w:r w:rsidRPr="00BA7C33">
              <w:rPr>
                <w:rFonts w:ascii="Calibri" w:hAnsi="Calibri" w:cs="Calibri"/>
                <w:color w:val="000000"/>
              </w:rPr>
              <w:t xml:space="preserve">, and door access hardware (Hapana Mac, Inception, Avigilon planned). On the roadmap for mid-2026 is Zoom, </w:t>
            </w:r>
            <w:proofErr w:type="spellStart"/>
            <w:r w:rsidRPr="00BA7C33">
              <w:rPr>
                <w:rFonts w:ascii="Calibri" w:hAnsi="Calibri" w:cs="Calibri"/>
                <w:color w:val="000000"/>
              </w:rPr>
              <w:t>Egym</w:t>
            </w:r>
            <w:proofErr w:type="spellEnd"/>
            <w:r w:rsidRPr="00BA7C33">
              <w:rPr>
                <w:rFonts w:ascii="Calibri" w:hAnsi="Calibri" w:cs="Calibri"/>
                <w:color w:val="000000"/>
              </w:rPr>
              <w:t xml:space="preserve">, </w:t>
            </w:r>
            <w:proofErr w:type="spellStart"/>
            <w:r w:rsidRPr="00BA7C33">
              <w:rPr>
                <w:rFonts w:ascii="Calibri" w:hAnsi="Calibri" w:cs="Calibri"/>
                <w:color w:val="000000"/>
              </w:rPr>
              <w:t>Wellhub</w:t>
            </w:r>
            <w:proofErr w:type="spellEnd"/>
            <w:r w:rsidRPr="00BA7C33">
              <w:rPr>
                <w:rFonts w:ascii="Calibri" w:hAnsi="Calibri" w:cs="Calibri"/>
                <w:color w:val="000000"/>
              </w:rPr>
              <w:t xml:space="preserve">, </w:t>
            </w:r>
            <w:proofErr w:type="spellStart"/>
            <w:r w:rsidRPr="00BA7C33">
              <w:rPr>
                <w:rFonts w:ascii="Calibri" w:hAnsi="Calibri" w:cs="Calibri"/>
                <w:color w:val="000000"/>
              </w:rPr>
              <w:t>evolt</w:t>
            </w:r>
            <w:proofErr w:type="spellEnd"/>
            <w:r w:rsidRPr="00BA7C33">
              <w:rPr>
                <w:rFonts w:ascii="Calibri" w:hAnsi="Calibri" w:cs="Calibri"/>
                <w:color w:val="000000"/>
              </w:rPr>
              <w:t xml:space="preserve">, </w:t>
            </w:r>
            <w:proofErr w:type="spellStart"/>
            <w:r w:rsidRPr="00BA7C33">
              <w:rPr>
                <w:rFonts w:ascii="Calibri" w:hAnsi="Calibri" w:cs="Calibri"/>
                <w:color w:val="000000"/>
              </w:rPr>
              <w:t>spivi</w:t>
            </w:r>
            <w:proofErr w:type="spellEnd"/>
            <w:r w:rsidRPr="00BA7C33">
              <w:rPr>
                <w:rFonts w:ascii="Calibri" w:hAnsi="Calibri" w:cs="Calibri"/>
                <w:color w:val="000000"/>
              </w:rPr>
              <w:t xml:space="preserve">, and </w:t>
            </w:r>
            <w:proofErr w:type="spellStart"/>
            <w:r w:rsidRPr="00BA7C33">
              <w:rPr>
                <w:rFonts w:ascii="Calibri" w:hAnsi="Calibri" w:cs="Calibri"/>
                <w:color w:val="000000"/>
              </w:rPr>
              <w:t>accurofit</w:t>
            </w:r>
            <w:proofErr w:type="spellEnd"/>
            <w:r w:rsidRPr="00BA7C33">
              <w:rPr>
                <w:rFonts w:ascii="Calibri" w:hAnsi="Calibri" w:cs="Calibri"/>
                <w:color w:val="000000"/>
              </w:rPr>
              <w:t xml:space="preserve">.  **Sandbox &amp; </w:t>
            </w:r>
            <w:proofErr w:type="gramStart"/>
            <w:r w:rsidRPr="00BA7C33">
              <w:rPr>
                <w:rFonts w:ascii="Calibri" w:hAnsi="Calibri" w:cs="Calibri"/>
                <w:color w:val="000000"/>
              </w:rPr>
              <w:t>Documentation:*</w:t>
            </w:r>
            <w:proofErr w:type="gramEnd"/>
            <w:r w:rsidRPr="00BA7C33">
              <w:rPr>
                <w:rFonts w:ascii="Calibri" w:hAnsi="Calibri" w:cs="Calibri"/>
                <w:color w:val="000000"/>
              </w:rPr>
              <w:t>* Specific details on sandbox environments and developer documentation depth are not fully captured in the available context — please contact your Hapana account representative for API documentation and sandbox access details.</w:t>
            </w:r>
          </w:p>
        </w:tc>
      </w:tr>
    </w:tbl>
    <w:p w14:paraId="5E984E47"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Data &amp; Privacy</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44A606F7" w14:textId="77777777">
        <w:tblPrEx>
          <w:tblCellMar>
            <w:top w:w="0" w:type="dxa"/>
            <w:bottom w:w="0" w:type="dxa"/>
          </w:tblCellMar>
        </w:tblPrEx>
        <w:trPr>
          <w:tblHeader/>
        </w:trPr>
        <w:tc>
          <w:tcPr>
            <w:tcW w:w="250" w:type="pct"/>
            <w:shd w:val="clear" w:color="auto" w:fill="F3F4F6"/>
          </w:tcPr>
          <w:p w14:paraId="13FFEEAF"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5C7470D6"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7A19A398"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0FA2B124" w14:textId="77777777">
        <w:tblPrEx>
          <w:tblCellMar>
            <w:top w:w="0" w:type="dxa"/>
            <w:bottom w:w="0" w:type="dxa"/>
          </w:tblCellMar>
        </w:tblPrEx>
        <w:tc>
          <w:tcPr>
            <w:tcW w:w="250" w:type="pct"/>
          </w:tcPr>
          <w:p w14:paraId="3065F83D" w14:textId="77777777" w:rsidR="006165AA" w:rsidRPr="00BA7C33" w:rsidRDefault="00000000">
            <w:pPr>
              <w:rPr>
                <w:rFonts w:ascii="Calibri" w:hAnsi="Calibri" w:cs="Calibri"/>
              </w:rPr>
            </w:pPr>
            <w:r w:rsidRPr="00BA7C33">
              <w:rPr>
                <w:rFonts w:ascii="Calibri" w:hAnsi="Calibri" w:cs="Calibri"/>
                <w:b/>
                <w:bCs/>
              </w:rPr>
              <w:t>45</w:t>
            </w:r>
          </w:p>
        </w:tc>
        <w:tc>
          <w:tcPr>
            <w:tcW w:w="2750" w:type="pct"/>
          </w:tcPr>
          <w:p w14:paraId="52F11313" w14:textId="77777777" w:rsidR="006165AA" w:rsidRPr="00BA7C33" w:rsidRDefault="00000000">
            <w:pPr>
              <w:rPr>
                <w:rFonts w:ascii="Calibri" w:hAnsi="Calibri" w:cs="Calibri"/>
              </w:rPr>
            </w:pPr>
            <w:r w:rsidRPr="00BA7C33">
              <w:rPr>
                <w:rFonts w:ascii="Calibri" w:hAnsi="Calibri" w:cs="Calibri"/>
              </w:rPr>
              <w:t>Data Ownership &amp; Portability evaluation criteria: Describe your contractual data ownership commitments, export formats, migration tooling and commitment, and vendor lock-in risk.</w:t>
            </w:r>
          </w:p>
        </w:tc>
        <w:tc>
          <w:tcPr>
            <w:tcW w:w="2000" w:type="pct"/>
          </w:tcPr>
          <w:p w14:paraId="0575B4B8" w14:textId="77777777" w:rsidR="006165AA" w:rsidRPr="00BA7C33" w:rsidRDefault="00000000">
            <w:pPr>
              <w:rPr>
                <w:rFonts w:ascii="Calibri" w:hAnsi="Calibri" w:cs="Calibri"/>
              </w:rPr>
            </w:pPr>
            <w:r w:rsidRPr="00BA7C33">
              <w:rPr>
                <w:rFonts w:ascii="Calibri" w:hAnsi="Calibri" w:cs="Calibri"/>
                <w:color w:val="000000"/>
              </w:rPr>
              <w:t xml:space="preserve">Hapana's architecture provides a strong foundation for data ownership: each customer receives a dedicated, isolated Google Cloud Spanner database — your data is never co-mingled with other tenants and is explicitly yours. Contractually, customer data is not shared with third parties without the customer's direction.  For export formats, migration tooling, and specific contractual portability commitments (e.g., data export on termination, SLA for data return, supported file formats), we support CSV from reporting, but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sharing allows more full access. What we can confirm is that the dedicated-database architecture significantly reduces vendor lock-in risk at the infrastructure level — your data exists in a discrete, identifiable database instance rather than embedded in a shared schema that would complicate extraction.</w:t>
            </w:r>
          </w:p>
        </w:tc>
      </w:tr>
    </w:tbl>
    <w:p w14:paraId="6F7271B1" w14:textId="77777777" w:rsidR="006165AA" w:rsidRPr="00BA7C33" w:rsidRDefault="00000000">
      <w:pPr>
        <w:pStyle w:val="Heading2"/>
        <w:spacing w:before="400" w:after="200"/>
        <w:rPr>
          <w:rFonts w:ascii="Calibri" w:hAnsi="Calibri" w:cs="Calibri"/>
        </w:rPr>
      </w:pPr>
      <w:r w:rsidRPr="00BA7C33">
        <w:rPr>
          <w:rFonts w:ascii="Calibri" w:hAnsi="Calibri" w:cs="Calibri"/>
        </w:rPr>
        <w:t>Company &amp; References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1E1DA368" w14:textId="77777777">
        <w:tblPrEx>
          <w:tblCellMar>
            <w:top w:w="0" w:type="dxa"/>
            <w:bottom w:w="0" w:type="dxa"/>
          </w:tblCellMar>
        </w:tblPrEx>
        <w:trPr>
          <w:tblHeader/>
        </w:trPr>
        <w:tc>
          <w:tcPr>
            <w:tcW w:w="250" w:type="pct"/>
            <w:shd w:val="clear" w:color="auto" w:fill="F3F4F6"/>
          </w:tcPr>
          <w:p w14:paraId="1480754F"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1F2121A8"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514E839"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75D6BDD8" w14:textId="77777777">
        <w:tblPrEx>
          <w:tblCellMar>
            <w:top w:w="0" w:type="dxa"/>
            <w:bottom w:w="0" w:type="dxa"/>
          </w:tblCellMar>
        </w:tblPrEx>
        <w:tc>
          <w:tcPr>
            <w:tcW w:w="250" w:type="pct"/>
          </w:tcPr>
          <w:p w14:paraId="7212984E" w14:textId="77777777" w:rsidR="006165AA" w:rsidRPr="00BA7C33" w:rsidRDefault="00000000">
            <w:pPr>
              <w:rPr>
                <w:rFonts w:ascii="Calibri" w:hAnsi="Calibri" w:cs="Calibri"/>
              </w:rPr>
            </w:pPr>
            <w:r w:rsidRPr="00BA7C33">
              <w:rPr>
                <w:rFonts w:ascii="Calibri" w:hAnsi="Calibri" w:cs="Calibri"/>
                <w:b/>
                <w:bCs/>
              </w:rPr>
              <w:t>46</w:t>
            </w:r>
          </w:p>
        </w:tc>
        <w:tc>
          <w:tcPr>
            <w:tcW w:w="2750" w:type="pct"/>
          </w:tcPr>
          <w:p w14:paraId="4E69EC22" w14:textId="77777777" w:rsidR="006165AA" w:rsidRPr="00BA7C33" w:rsidRDefault="00000000">
            <w:pPr>
              <w:rPr>
                <w:rFonts w:ascii="Calibri" w:hAnsi="Calibri" w:cs="Calibri"/>
              </w:rPr>
            </w:pPr>
            <w:r w:rsidRPr="00BA7C33">
              <w:rPr>
                <w:rFonts w:ascii="Calibri" w:hAnsi="Calibri" w:cs="Calibri"/>
              </w:rPr>
              <w:t>Product Continuity evaluation criteria: Provide disclosure of any sunset/end-of-life plans, confirm your no-forced-migration commitment, and describe your history of platform consolidation (as referenced in §12.6 and §15.7).</w:t>
            </w:r>
          </w:p>
        </w:tc>
        <w:tc>
          <w:tcPr>
            <w:tcW w:w="2000" w:type="pct"/>
          </w:tcPr>
          <w:p w14:paraId="5094C1AC" w14:textId="77777777" w:rsidR="006165AA" w:rsidRPr="00BA7C33" w:rsidRDefault="00000000">
            <w:pPr>
              <w:rPr>
                <w:rFonts w:ascii="Calibri" w:hAnsi="Calibri" w:cs="Calibri"/>
              </w:rPr>
            </w:pPr>
            <w:r w:rsidRPr="00BA7C33">
              <w:rPr>
                <w:rFonts w:ascii="Calibri" w:hAnsi="Calibri" w:cs="Calibri"/>
                <w:color w:val="000000"/>
              </w:rPr>
              <w:t xml:space="preserve">Hapana does not have any sunset or end-of-life plans for its current platform. As a single, unified all-in-one platform (not a product portfolio with legacy systems), there is no forced migration risk. Hapana has recently upgraded our technology stack and is in process moving customers to the new environment which is designed to scale as Hapana continues to grow in a modern AI forward ecosystem. We do not have specific contractual language on file </w:t>
            </w:r>
            <w:r w:rsidRPr="00BA7C33">
              <w:rPr>
                <w:rFonts w:ascii="Calibri" w:hAnsi="Calibri" w:cs="Calibri"/>
                <w:color w:val="000000"/>
              </w:rPr>
              <w:lastRenderedPageBreak/>
              <w:t>covering the exact terms referenced in §12.6 and §15.7 of your RFP, and we recommend those provisions be addressed directly in contract negotiations with your Hapana account representative.</w:t>
            </w:r>
          </w:p>
        </w:tc>
      </w:tr>
    </w:tbl>
    <w:p w14:paraId="4A3E09EB"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Architecture &amp; Hosting</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67B45377" w14:textId="77777777">
        <w:tblPrEx>
          <w:tblCellMar>
            <w:top w:w="0" w:type="dxa"/>
            <w:bottom w:w="0" w:type="dxa"/>
          </w:tblCellMar>
        </w:tblPrEx>
        <w:trPr>
          <w:tblHeader/>
        </w:trPr>
        <w:tc>
          <w:tcPr>
            <w:tcW w:w="250" w:type="pct"/>
            <w:shd w:val="clear" w:color="auto" w:fill="F3F4F6"/>
          </w:tcPr>
          <w:p w14:paraId="490F5F5A"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6DC9D782"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735D91EE"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24327A07" w14:textId="77777777">
        <w:tblPrEx>
          <w:tblCellMar>
            <w:top w:w="0" w:type="dxa"/>
            <w:bottom w:w="0" w:type="dxa"/>
          </w:tblCellMar>
        </w:tblPrEx>
        <w:tc>
          <w:tcPr>
            <w:tcW w:w="250" w:type="pct"/>
          </w:tcPr>
          <w:p w14:paraId="0BF2EDC0" w14:textId="77777777" w:rsidR="006165AA" w:rsidRPr="00BA7C33" w:rsidRDefault="00000000">
            <w:pPr>
              <w:rPr>
                <w:rFonts w:ascii="Calibri" w:hAnsi="Calibri" w:cs="Calibri"/>
              </w:rPr>
            </w:pPr>
            <w:r w:rsidRPr="00BA7C33">
              <w:rPr>
                <w:rFonts w:ascii="Calibri" w:hAnsi="Calibri" w:cs="Calibri"/>
                <w:b/>
                <w:bCs/>
              </w:rPr>
              <w:t>47</w:t>
            </w:r>
          </w:p>
        </w:tc>
        <w:tc>
          <w:tcPr>
            <w:tcW w:w="2750" w:type="pct"/>
          </w:tcPr>
          <w:p w14:paraId="01979959" w14:textId="77777777" w:rsidR="006165AA" w:rsidRPr="00BA7C33" w:rsidRDefault="00000000">
            <w:pPr>
              <w:rPr>
                <w:rFonts w:ascii="Calibri" w:hAnsi="Calibri" w:cs="Calibri"/>
              </w:rPr>
            </w:pPr>
            <w:r w:rsidRPr="00BA7C33">
              <w:rPr>
                <w:rFonts w:ascii="Calibri" w:hAnsi="Calibri" w:cs="Calibri"/>
              </w:rPr>
              <w:t>Franchise Architecture evaluation criteria: Describe your native multi-tenant design, corporate vs. franchisee controls, configuration hierarchy, and provide evidence of scale and onboarding capability.</w:t>
            </w:r>
          </w:p>
        </w:tc>
        <w:tc>
          <w:tcPr>
            <w:tcW w:w="2000" w:type="pct"/>
          </w:tcPr>
          <w:p w14:paraId="2FE2A075" w14:textId="77777777" w:rsidR="006165AA" w:rsidRPr="00BA7C33" w:rsidRDefault="00000000">
            <w:pPr>
              <w:rPr>
                <w:rFonts w:ascii="Calibri" w:hAnsi="Calibri" w:cs="Calibri"/>
              </w:rPr>
            </w:pPr>
            <w:r w:rsidRPr="00BA7C33">
              <w:rPr>
                <w:rFonts w:ascii="Calibri" w:hAnsi="Calibri" w:cs="Calibri"/>
                <w:color w:val="000000"/>
              </w:rPr>
              <w:t xml:space="preserve">Hapana is purpose-built for franchise and multi-location enterprise operators using a native four-tier hierarchical architecture — no parallel deployments or separate instances required.  **Multi-Tenant Design &amp; Corporate vs. Franchisee </w:t>
            </w:r>
            <w:proofErr w:type="gramStart"/>
            <w:r w:rsidRPr="00BA7C33">
              <w:rPr>
                <w:rFonts w:ascii="Calibri" w:hAnsi="Calibri" w:cs="Calibri"/>
                <w:color w:val="000000"/>
              </w:rPr>
              <w:t>Controls:*</w:t>
            </w:r>
            <w:proofErr w:type="gramEnd"/>
            <w:r w:rsidRPr="00BA7C33">
              <w:rPr>
                <w:rFonts w:ascii="Calibri" w:hAnsi="Calibri" w:cs="Calibri"/>
                <w:color w:val="000000"/>
              </w:rPr>
              <w:t xml:space="preserve">* A single corporate environment spans unlimited locations, brands, and regions. The </w:t>
            </w:r>
            <w:proofErr w:type="gramStart"/>
            <w:r w:rsidRPr="00BA7C33">
              <w:rPr>
                <w:rFonts w:ascii="Calibri" w:hAnsi="Calibri" w:cs="Calibri"/>
                <w:color w:val="000000"/>
              </w:rPr>
              <w:t>Admin</w:t>
            </w:r>
            <w:proofErr w:type="gramEnd"/>
            <w:r w:rsidRPr="00BA7C33">
              <w:rPr>
                <w:rFonts w:ascii="Calibri" w:hAnsi="Calibri" w:cs="Calibri"/>
                <w:color w:val="000000"/>
              </w:rPr>
              <w:t xml:space="preserve"> dashboard provides a single pane of glass across all sites, while each location maintains independent configurations — operating hours, fee templates, </w:t>
            </w:r>
            <w:proofErr w:type="spellStart"/>
            <w:r w:rsidRPr="00BA7C33">
              <w:rPr>
                <w:rFonts w:ascii="Calibri" w:hAnsi="Calibri" w:cs="Calibri"/>
                <w:color w:val="000000"/>
              </w:rPr>
              <w:t>timezone</w:t>
            </w:r>
            <w:proofErr w:type="spellEnd"/>
            <w:r w:rsidRPr="00BA7C33">
              <w:rPr>
                <w:rFonts w:ascii="Calibri" w:hAnsi="Calibri" w:cs="Calibri"/>
                <w:color w:val="000000"/>
              </w:rPr>
              <w:t xml:space="preserve">, currency, and regional identifiers. Corporate administrators govern the full network; franchisees or local operators receive delegated access scoped to their site(s) only.  **Configuration </w:t>
            </w:r>
            <w:proofErr w:type="gramStart"/>
            <w:r w:rsidRPr="00BA7C33">
              <w:rPr>
                <w:rFonts w:ascii="Calibri" w:hAnsi="Calibri" w:cs="Calibri"/>
                <w:color w:val="000000"/>
              </w:rPr>
              <w:t>Hierarchy:*</w:t>
            </w:r>
            <w:proofErr w:type="gramEnd"/>
            <w:r w:rsidRPr="00BA7C33">
              <w:rPr>
                <w:rFonts w:ascii="Calibri" w:hAnsi="Calibri" w:cs="Calibri"/>
                <w:color w:val="000000"/>
              </w:rPr>
              <w:t xml:space="preserve">* The platform is organized across four tiers: Corporate → Brand → Site Group → Site. Geographic structure follows Countries → Zones (states/regions with </w:t>
            </w:r>
            <w:proofErr w:type="spellStart"/>
            <w:r w:rsidRPr="00BA7C33">
              <w:rPr>
                <w:rFonts w:ascii="Calibri" w:hAnsi="Calibri" w:cs="Calibri"/>
                <w:color w:val="000000"/>
              </w:rPr>
              <w:t>timezone</w:t>
            </w:r>
            <w:proofErr w:type="spellEnd"/>
            <w:r w:rsidRPr="00BA7C33">
              <w:rPr>
                <w:rFonts w:ascii="Calibri" w:hAnsi="Calibri" w:cs="Calibri"/>
                <w:color w:val="000000"/>
              </w:rPr>
              <w:t xml:space="preserve">) → Regions. RBAC enforces this hierarchy at three permission levels — ACCESS (platform-wide), CORPORATE (cross-site), and SITE (per-location) — ensuring corporate policies are enforced while local operators manage day-to-day operations.  **Onboarding &amp; </w:t>
            </w:r>
            <w:proofErr w:type="gramStart"/>
            <w:r w:rsidRPr="00BA7C33">
              <w:rPr>
                <w:rFonts w:ascii="Calibri" w:hAnsi="Calibri" w:cs="Calibri"/>
                <w:color w:val="000000"/>
              </w:rPr>
              <w:t>Scale:*</w:t>
            </w:r>
            <w:proofErr w:type="gramEnd"/>
            <w:r w:rsidRPr="00BA7C33">
              <w:rPr>
                <w:rFonts w:ascii="Calibri" w:hAnsi="Calibri" w:cs="Calibri"/>
                <w:color w:val="000000"/>
              </w:rPr>
              <w:t>* Adding a new franchisee location requires no architectural changes. A new site record is created, inheriting default configurations from its parent. New brands or organizational units can be provisioned with their own default site groups, staff access policies, and communication templates within the same corporate environment. The underlying data model (Google Spanner with interleaved parent-child tables) is optimized for query performance as location count grows. Each site supports independent Stripe configurations and payout accounts, accommodating different currencies and legal entities across a franchise footprint.</w:t>
            </w:r>
          </w:p>
        </w:tc>
      </w:tr>
    </w:tbl>
    <w:p w14:paraId="3F80357F"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Operations &amp; Facilities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3E495F2" w14:textId="77777777">
        <w:tblPrEx>
          <w:tblCellMar>
            <w:top w:w="0" w:type="dxa"/>
            <w:bottom w:w="0" w:type="dxa"/>
          </w:tblCellMar>
        </w:tblPrEx>
        <w:trPr>
          <w:tblHeader/>
        </w:trPr>
        <w:tc>
          <w:tcPr>
            <w:tcW w:w="250" w:type="pct"/>
            <w:shd w:val="clear" w:color="auto" w:fill="F3F4F6"/>
          </w:tcPr>
          <w:p w14:paraId="34912E41"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40A83F11"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118845A5"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18E4BAEC" w14:textId="77777777">
        <w:tblPrEx>
          <w:tblCellMar>
            <w:top w:w="0" w:type="dxa"/>
            <w:bottom w:w="0" w:type="dxa"/>
          </w:tblCellMar>
        </w:tblPrEx>
        <w:tc>
          <w:tcPr>
            <w:tcW w:w="250" w:type="pct"/>
          </w:tcPr>
          <w:p w14:paraId="635937EF" w14:textId="77777777" w:rsidR="006165AA" w:rsidRPr="00BA7C33" w:rsidRDefault="00000000">
            <w:pPr>
              <w:rPr>
                <w:rFonts w:ascii="Calibri" w:hAnsi="Calibri" w:cs="Calibri"/>
              </w:rPr>
            </w:pPr>
            <w:r w:rsidRPr="00BA7C33">
              <w:rPr>
                <w:rFonts w:ascii="Calibri" w:hAnsi="Calibri" w:cs="Calibri"/>
                <w:b/>
                <w:bCs/>
              </w:rPr>
              <w:t>48</w:t>
            </w:r>
          </w:p>
        </w:tc>
        <w:tc>
          <w:tcPr>
            <w:tcW w:w="2750" w:type="pct"/>
          </w:tcPr>
          <w:p w14:paraId="70C3AF8D" w14:textId="77777777" w:rsidR="006165AA" w:rsidRPr="00BA7C33" w:rsidRDefault="00000000">
            <w:pPr>
              <w:rPr>
                <w:rFonts w:ascii="Calibri" w:hAnsi="Calibri" w:cs="Calibri"/>
              </w:rPr>
            </w:pPr>
            <w:r w:rsidRPr="00BA7C33">
              <w:rPr>
                <w:rFonts w:ascii="Calibri" w:hAnsi="Calibri" w:cs="Calibri"/>
              </w:rPr>
              <w:t>Core Capabilities evaluation criteria: Describe your capabilities across the member lifecycle, plans/pricing, billing &amp; collections, check-in, travel pass, POS, reporting, and communications.</w:t>
            </w:r>
          </w:p>
        </w:tc>
        <w:tc>
          <w:tcPr>
            <w:tcW w:w="2000" w:type="pct"/>
          </w:tcPr>
          <w:p w14:paraId="1E32AB5C" w14:textId="77777777" w:rsidR="006165AA" w:rsidRPr="00BA7C33" w:rsidRDefault="00000000">
            <w:pPr>
              <w:rPr>
                <w:rFonts w:ascii="Calibri" w:hAnsi="Calibri" w:cs="Calibri"/>
              </w:rPr>
            </w:pPr>
            <w:r w:rsidRPr="00BA7C33">
              <w:rPr>
                <w:rFonts w:ascii="Calibri" w:hAnsi="Calibri" w:cs="Calibri"/>
                <w:color w:val="000000"/>
              </w:rPr>
              <w:t>Hapana supports the full member lifecycle across the following core capability areas:  **Member Lifecycle &amp; Plans/</w:t>
            </w:r>
            <w:proofErr w:type="gramStart"/>
            <w:r w:rsidRPr="00BA7C33">
              <w:rPr>
                <w:rFonts w:ascii="Calibri" w:hAnsi="Calibri" w:cs="Calibri"/>
                <w:color w:val="000000"/>
              </w:rPr>
              <w:t>Pricing:*</w:t>
            </w:r>
            <w:proofErr w:type="gramEnd"/>
            <w:r w:rsidRPr="00BA7C33">
              <w:rPr>
                <w:rFonts w:ascii="Calibri" w:hAnsi="Calibri" w:cs="Calibri"/>
                <w:color w:val="000000"/>
              </w:rPr>
              <w:t xml:space="preserve">* Hapana manages member acquisition through to retention, supporting configurable membership plans, session packages, drop-in bookings, and pricing tiers. Promo codes and gift cards are natively supported for marketing and sales incentives. Contract terms range from month-to-month to 24-month agreements.  **Billing &amp; </w:t>
            </w:r>
            <w:proofErr w:type="gramStart"/>
            <w:r w:rsidRPr="00BA7C33">
              <w:rPr>
                <w:rFonts w:ascii="Calibri" w:hAnsi="Calibri" w:cs="Calibri"/>
                <w:color w:val="000000"/>
              </w:rPr>
              <w:t>Collections:*</w:t>
            </w:r>
            <w:proofErr w:type="gramEnd"/>
            <w:r w:rsidRPr="00BA7C33">
              <w:rPr>
                <w:rFonts w:ascii="Calibri" w:hAnsi="Calibri" w:cs="Calibri"/>
                <w:color w:val="000000"/>
              </w:rPr>
              <w:t xml:space="preserve">* Automated recurring billing is managed via Stripe (with </w:t>
            </w:r>
            <w:proofErr w:type="spellStart"/>
            <w:r w:rsidRPr="00BA7C33">
              <w:rPr>
                <w:rFonts w:ascii="Calibri" w:hAnsi="Calibri" w:cs="Calibri"/>
                <w:color w:val="000000"/>
              </w:rPr>
              <w:t>EzyPay</w:t>
            </w:r>
            <w:proofErr w:type="spellEnd"/>
            <w:r w:rsidRPr="00BA7C33">
              <w:rPr>
                <w:rFonts w:ascii="Calibri" w:hAnsi="Calibri" w:cs="Calibri"/>
                <w:color w:val="000000"/>
              </w:rPr>
              <w:t xml:space="preserve"> also supported). Failed payment recovery is automated, including a configurable Failed Payment Recovery Fee that charges members when a payment declines. Scheduled retries, failed payment reporting, and projected revenue forecasting are all available.  **Check-</w:t>
            </w:r>
            <w:proofErr w:type="gramStart"/>
            <w:r w:rsidRPr="00BA7C33">
              <w:rPr>
                <w:rFonts w:ascii="Calibri" w:hAnsi="Calibri" w:cs="Calibri"/>
                <w:color w:val="000000"/>
              </w:rPr>
              <w:t>In:*</w:t>
            </w:r>
            <w:proofErr w:type="gramEnd"/>
            <w:r w:rsidRPr="00BA7C33">
              <w:rPr>
                <w:rFonts w:ascii="Calibri" w:hAnsi="Calibri" w:cs="Calibri"/>
                <w:color w:val="000000"/>
              </w:rPr>
              <w:t xml:space="preserve">* Hapana supports location-based check-in functionality integrated with the booking and attendance workflow, including support for access control add-ons.  **Travel </w:t>
            </w:r>
            <w:proofErr w:type="gramStart"/>
            <w:r w:rsidRPr="00BA7C33">
              <w:rPr>
                <w:rFonts w:ascii="Calibri" w:hAnsi="Calibri" w:cs="Calibri"/>
                <w:color w:val="000000"/>
              </w:rPr>
              <w:t>Pass:*</w:t>
            </w:r>
            <w:proofErr w:type="gramEnd"/>
            <w:r w:rsidRPr="00BA7C33">
              <w:rPr>
                <w:rFonts w:ascii="Calibri" w:hAnsi="Calibri" w:cs="Calibri"/>
                <w:color w:val="000000"/>
              </w:rPr>
              <w:t>* Please contact your Hapana account representative for specifics on cross-location travel pass functionality.  **</w:t>
            </w:r>
            <w:proofErr w:type="gramStart"/>
            <w:r w:rsidRPr="00BA7C33">
              <w:rPr>
                <w:rFonts w:ascii="Calibri" w:hAnsi="Calibri" w:cs="Calibri"/>
                <w:color w:val="000000"/>
              </w:rPr>
              <w:t>POS:*</w:t>
            </w:r>
            <w:proofErr w:type="gramEnd"/>
            <w:r w:rsidRPr="00BA7C33">
              <w:rPr>
                <w:rFonts w:ascii="Calibri" w:hAnsi="Calibri" w:cs="Calibri"/>
                <w:color w:val="000000"/>
              </w:rPr>
              <w:t>* An integrated POS supports sales of memberships, session packages, drop-ins, products, gift cards, and fee collection (no-show, late cancel). Reports include Sales by Service, Cash Drawer, Net Revenue Detail, and more at both Brand and Location levels.  **</w:t>
            </w:r>
            <w:proofErr w:type="gramStart"/>
            <w:r w:rsidRPr="00BA7C33">
              <w:rPr>
                <w:rFonts w:ascii="Calibri" w:hAnsi="Calibri" w:cs="Calibri"/>
                <w:color w:val="000000"/>
              </w:rPr>
              <w:t>Reporting:*</w:t>
            </w:r>
            <w:proofErr w:type="gramEnd"/>
            <w:r w:rsidRPr="00BA7C33">
              <w:rPr>
                <w:rFonts w:ascii="Calibri" w:hAnsi="Calibri" w:cs="Calibri"/>
                <w:color w:val="000000"/>
              </w:rPr>
              <w:t xml:space="preserve">* Comprehensive reporting is available at Brand and Location levels, including revenue by category, failed payments, projected revenue, Stripe settlement, and transaction-level detail. CSV export and scheduled report delivery are supported. A custom dashboard builder and </w:t>
            </w:r>
            <w:proofErr w:type="spellStart"/>
            <w:r w:rsidRPr="00BA7C33">
              <w:rPr>
                <w:rFonts w:ascii="Calibri" w:hAnsi="Calibri" w:cs="Calibri"/>
                <w:color w:val="000000"/>
              </w:rPr>
              <w:t>BigQuery</w:t>
            </w:r>
            <w:proofErr w:type="spellEnd"/>
            <w:r w:rsidRPr="00BA7C33">
              <w:rPr>
                <w:rFonts w:ascii="Calibri" w:hAnsi="Calibri" w:cs="Calibri"/>
                <w:color w:val="000000"/>
              </w:rPr>
              <w:t xml:space="preserve"> data warehouse integration are on the active development roadmap.  **</w:t>
            </w:r>
            <w:proofErr w:type="gramStart"/>
            <w:r w:rsidRPr="00BA7C33">
              <w:rPr>
                <w:rFonts w:ascii="Calibri" w:hAnsi="Calibri" w:cs="Calibri"/>
                <w:color w:val="000000"/>
              </w:rPr>
              <w:t>Communications:*</w:t>
            </w:r>
            <w:proofErr w:type="gramEnd"/>
            <w:r w:rsidRPr="00BA7C33">
              <w:rPr>
                <w:rFonts w:ascii="Calibri" w:hAnsi="Calibri" w:cs="Calibri"/>
                <w:color w:val="000000"/>
              </w:rPr>
              <w:t>* Automated communications are supported as part of the member lifecycle workflow. Please contact your Hapana account representative for a full breakdown of communication channels and automation triggers.</w:t>
            </w:r>
          </w:p>
        </w:tc>
      </w:tr>
    </w:tbl>
    <w:p w14:paraId="19E3A2B0"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D316434" w14:textId="77777777">
        <w:tblPrEx>
          <w:tblCellMar>
            <w:top w:w="0" w:type="dxa"/>
            <w:bottom w:w="0" w:type="dxa"/>
          </w:tblCellMar>
        </w:tblPrEx>
        <w:trPr>
          <w:tblHeader/>
        </w:trPr>
        <w:tc>
          <w:tcPr>
            <w:tcW w:w="250" w:type="pct"/>
            <w:shd w:val="clear" w:color="auto" w:fill="F3F4F6"/>
          </w:tcPr>
          <w:p w14:paraId="4CE50132" w14:textId="77777777" w:rsidR="006165AA" w:rsidRPr="00BA7C33" w:rsidRDefault="00000000">
            <w:pPr>
              <w:rPr>
                <w:rFonts w:ascii="Calibri" w:hAnsi="Calibri" w:cs="Calibri"/>
              </w:rPr>
            </w:pPr>
            <w:r w:rsidRPr="00BA7C33">
              <w:rPr>
                <w:rFonts w:ascii="Calibri" w:hAnsi="Calibri" w:cs="Calibri"/>
                <w:b/>
                <w:bCs/>
              </w:rPr>
              <w:lastRenderedPageBreak/>
              <w:t>#</w:t>
            </w:r>
          </w:p>
        </w:tc>
        <w:tc>
          <w:tcPr>
            <w:tcW w:w="2750" w:type="pct"/>
            <w:shd w:val="clear" w:color="auto" w:fill="F3F4F6"/>
          </w:tcPr>
          <w:p w14:paraId="086BAB0B"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258D6A3D"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6525B0CC" w14:textId="77777777">
        <w:tblPrEx>
          <w:tblCellMar>
            <w:top w:w="0" w:type="dxa"/>
            <w:bottom w:w="0" w:type="dxa"/>
          </w:tblCellMar>
        </w:tblPrEx>
        <w:tc>
          <w:tcPr>
            <w:tcW w:w="250" w:type="pct"/>
          </w:tcPr>
          <w:p w14:paraId="2ADDE1A7" w14:textId="77777777" w:rsidR="006165AA" w:rsidRPr="00BA7C33" w:rsidRDefault="00000000">
            <w:pPr>
              <w:rPr>
                <w:rFonts w:ascii="Calibri" w:hAnsi="Calibri" w:cs="Calibri"/>
              </w:rPr>
            </w:pPr>
            <w:r w:rsidRPr="00BA7C33">
              <w:rPr>
                <w:rFonts w:ascii="Calibri" w:hAnsi="Calibri" w:cs="Calibri"/>
                <w:b/>
                <w:bCs/>
              </w:rPr>
              <w:t>49</w:t>
            </w:r>
          </w:p>
        </w:tc>
        <w:tc>
          <w:tcPr>
            <w:tcW w:w="2750" w:type="pct"/>
          </w:tcPr>
          <w:p w14:paraId="1D269771" w14:textId="77777777" w:rsidR="006165AA" w:rsidRPr="00BA7C33" w:rsidRDefault="00000000">
            <w:pPr>
              <w:rPr>
                <w:rFonts w:ascii="Calibri" w:hAnsi="Calibri" w:cs="Calibri"/>
              </w:rPr>
            </w:pPr>
            <w:r w:rsidRPr="00BA7C33">
              <w:rPr>
                <w:rFonts w:ascii="Calibri" w:hAnsi="Calibri" w:cs="Calibri"/>
              </w:rPr>
              <w:t>Openness in Adjacent Categories evaluation criteria: Describe your native strength and willingness to coexist with Gold's-chosen tools in the areas of CRM, member app, and analytics.</w:t>
            </w:r>
          </w:p>
        </w:tc>
        <w:tc>
          <w:tcPr>
            <w:tcW w:w="2000" w:type="pct"/>
          </w:tcPr>
          <w:p w14:paraId="6C8C805F" w14:textId="77777777" w:rsidR="006165AA" w:rsidRPr="00BA7C33" w:rsidRDefault="00000000">
            <w:pPr>
              <w:rPr>
                <w:rFonts w:ascii="Calibri" w:hAnsi="Calibri" w:cs="Calibri"/>
              </w:rPr>
            </w:pPr>
            <w:r w:rsidRPr="00BA7C33">
              <w:rPr>
                <w:rFonts w:ascii="Calibri" w:hAnsi="Calibri" w:cs="Calibri"/>
                <w:color w:val="000000"/>
              </w:rPr>
              <w:t>Hapana is built as an all-in-one platform with native CRM, branded member app, and reporting capabilities — but we recognize that enterprise operators like Gold's Gym often have existing tool investments. Our platform exposes REST APIs and webhook infrastructure that support data exchange with third-party CRM, analytics, and communication tools. On the member app side, Hapana delivers a fully white-labeled, branded mobile app as a core product offering, which can coexist or be evaluated against Gold's preferred app experience. For analytics, Hapana's reporting pillars cover Prospect, Member, Club, Training, Staff, and Revenue data with structured views that can feed downstream BI tools via data export or API. We are transparent that our native integrations catalog should be validated against Gold's specific incumbent tools — and we are open to scoping custom integrations where standard connectors do not exist.</w:t>
            </w:r>
          </w:p>
        </w:tc>
      </w:tr>
    </w:tbl>
    <w:p w14:paraId="71FC7EB6" w14:textId="77777777" w:rsidR="006165AA" w:rsidRPr="00BA7C33" w:rsidRDefault="00000000">
      <w:pPr>
        <w:pStyle w:val="Heading2"/>
        <w:spacing w:before="400" w:after="200"/>
        <w:rPr>
          <w:rFonts w:ascii="Calibri" w:hAnsi="Calibri" w:cs="Calibri"/>
        </w:rPr>
      </w:pPr>
      <w:r w:rsidRPr="00BA7C33">
        <w:rPr>
          <w:rFonts w:ascii="Calibri" w:hAnsi="Calibri" w:cs="Calibri"/>
        </w:rPr>
        <w:t>Architecture &amp; Hosting</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7BC3602A" w14:textId="77777777">
        <w:tblPrEx>
          <w:tblCellMar>
            <w:top w:w="0" w:type="dxa"/>
            <w:bottom w:w="0" w:type="dxa"/>
          </w:tblCellMar>
        </w:tblPrEx>
        <w:trPr>
          <w:tblHeader/>
        </w:trPr>
        <w:tc>
          <w:tcPr>
            <w:tcW w:w="250" w:type="pct"/>
            <w:shd w:val="clear" w:color="auto" w:fill="F3F4F6"/>
          </w:tcPr>
          <w:p w14:paraId="7E960EF0"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5DC812EF"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F8B3D81"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4EDDCF3D" w14:textId="77777777">
        <w:tblPrEx>
          <w:tblCellMar>
            <w:top w:w="0" w:type="dxa"/>
            <w:bottom w:w="0" w:type="dxa"/>
          </w:tblCellMar>
        </w:tblPrEx>
        <w:tc>
          <w:tcPr>
            <w:tcW w:w="250" w:type="pct"/>
          </w:tcPr>
          <w:p w14:paraId="114D3774" w14:textId="77777777" w:rsidR="006165AA" w:rsidRPr="00BA7C33" w:rsidRDefault="00000000">
            <w:pPr>
              <w:rPr>
                <w:rFonts w:ascii="Calibri" w:hAnsi="Calibri" w:cs="Calibri"/>
              </w:rPr>
            </w:pPr>
            <w:r w:rsidRPr="00BA7C33">
              <w:rPr>
                <w:rFonts w:ascii="Calibri" w:hAnsi="Calibri" w:cs="Calibri"/>
                <w:b/>
                <w:bCs/>
              </w:rPr>
              <w:t>50</w:t>
            </w:r>
          </w:p>
        </w:tc>
        <w:tc>
          <w:tcPr>
            <w:tcW w:w="2750" w:type="pct"/>
          </w:tcPr>
          <w:p w14:paraId="5A550AEC" w14:textId="77777777" w:rsidR="006165AA" w:rsidRPr="00BA7C33" w:rsidRDefault="00000000">
            <w:pPr>
              <w:rPr>
                <w:rFonts w:ascii="Calibri" w:hAnsi="Calibri" w:cs="Calibri"/>
              </w:rPr>
            </w:pPr>
            <w:r w:rsidRPr="00BA7C33">
              <w:rPr>
                <w:rFonts w:ascii="Calibri" w:hAnsi="Calibri" w:cs="Calibri"/>
              </w:rPr>
              <w:t>Reliability &amp; SLA evaluation criteria: Describe your uptime commitments, response and resolution times by severity, disaster recovery capabilities, and track record at scale.</w:t>
            </w:r>
          </w:p>
        </w:tc>
        <w:tc>
          <w:tcPr>
            <w:tcW w:w="2000" w:type="pct"/>
          </w:tcPr>
          <w:p w14:paraId="0B90D8E7" w14:textId="77777777" w:rsidR="006165AA" w:rsidRPr="00BA7C33" w:rsidRDefault="00000000">
            <w:pPr>
              <w:rPr>
                <w:rFonts w:ascii="Calibri" w:hAnsi="Calibri" w:cs="Calibri"/>
              </w:rPr>
            </w:pPr>
            <w:r w:rsidRPr="00BA7C33">
              <w:rPr>
                <w:rFonts w:ascii="Calibri" w:hAnsi="Calibri" w:cs="Calibri"/>
                <w:color w:val="000000"/>
              </w:rPr>
              <w:t>Hapana commits to a contractual Monthly Uptime Percentage of 99.9%, with a current track record averaging 99.99%. The platform is hosted on AWS and Google Cloud, both of which maintain enterprise-grade infrastructure certifications (SOC 2, ISO 27001) and support Hapana's disaster recovery posture through geographic redundancy and managed failover capabilities. Detailed SLA terms — including severity-tiered response and resolution times — are documented in our Master Services Agreement (MSA) and uptime schedule, available upon request. For full DR runbook details and severity matrix specifics, please contact your Hapana account representative.</w:t>
            </w:r>
          </w:p>
        </w:tc>
      </w:tr>
    </w:tbl>
    <w:p w14:paraId="2E642F47" w14:textId="77777777" w:rsidR="006165AA" w:rsidRPr="00BA7C33" w:rsidRDefault="00000000">
      <w:pPr>
        <w:pStyle w:val="Heading2"/>
        <w:spacing w:before="400" w:after="200"/>
        <w:rPr>
          <w:rFonts w:ascii="Calibri" w:hAnsi="Calibri" w:cs="Calibri"/>
        </w:rPr>
      </w:pPr>
      <w:r w:rsidRPr="00BA7C33">
        <w:rPr>
          <w:rFonts w:ascii="Calibri" w:hAnsi="Calibri" w:cs="Calibri"/>
        </w:rPr>
        <w:t>Company &amp; References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5763F636" w14:textId="77777777">
        <w:tblPrEx>
          <w:tblCellMar>
            <w:top w:w="0" w:type="dxa"/>
            <w:bottom w:w="0" w:type="dxa"/>
          </w:tblCellMar>
        </w:tblPrEx>
        <w:trPr>
          <w:tblHeader/>
        </w:trPr>
        <w:tc>
          <w:tcPr>
            <w:tcW w:w="250" w:type="pct"/>
            <w:shd w:val="clear" w:color="auto" w:fill="F3F4F6"/>
          </w:tcPr>
          <w:p w14:paraId="547681A5"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61588263"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1B8EFBF0"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7D0CF012" w14:textId="77777777">
        <w:tblPrEx>
          <w:tblCellMar>
            <w:top w:w="0" w:type="dxa"/>
            <w:bottom w:w="0" w:type="dxa"/>
          </w:tblCellMar>
        </w:tblPrEx>
        <w:tc>
          <w:tcPr>
            <w:tcW w:w="250" w:type="pct"/>
          </w:tcPr>
          <w:p w14:paraId="30E94F28" w14:textId="77777777" w:rsidR="006165AA" w:rsidRPr="00BA7C33" w:rsidRDefault="00000000">
            <w:pPr>
              <w:rPr>
                <w:rFonts w:ascii="Calibri" w:hAnsi="Calibri" w:cs="Calibri"/>
              </w:rPr>
            </w:pPr>
            <w:r w:rsidRPr="00BA7C33">
              <w:rPr>
                <w:rFonts w:ascii="Calibri" w:hAnsi="Calibri" w:cs="Calibri"/>
                <w:b/>
                <w:bCs/>
              </w:rPr>
              <w:t>51</w:t>
            </w:r>
          </w:p>
        </w:tc>
        <w:tc>
          <w:tcPr>
            <w:tcW w:w="2750" w:type="pct"/>
          </w:tcPr>
          <w:p w14:paraId="018E8DB2" w14:textId="77777777" w:rsidR="006165AA" w:rsidRPr="00BA7C33" w:rsidRDefault="00000000">
            <w:pPr>
              <w:rPr>
                <w:rFonts w:ascii="Calibri" w:hAnsi="Calibri" w:cs="Calibri"/>
              </w:rPr>
            </w:pPr>
            <w:r w:rsidRPr="00BA7C33">
              <w:rPr>
                <w:rFonts w:ascii="Calibri" w:hAnsi="Calibri" w:cs="Calibri"/>
              </w:rPr>
              <w:t>Innovation &amp; Roadmap evaluation criteria: Describe your AI/ML capabilities, mobile-first investment, product velocity, and platform-vs-suite ecosystem strategy.</w:t>
            </w:r>
          </w:p>
        </w:tc>
        <w:tc>
          <w:tcPr>
            <w:tcW w:w="2000" w:type="pct"/>
          </w:tcPr>
          <w:p w14:paraId="54DEA92C" w14:textId="77777777" w:rsidR="006165AA" w:rsidRPr="00BA7C33" w:rsidRDefault="00000000">
            <w:pPr>
              <w:rPr>
                <w:rFonts w:ascii="Calibri" w:hAnsi="Calibri" w:cs="Calibri"/>
              </w:rPr>
            </w:pPr>
            <w:r w:rsidRPr="00BA7C33">
              <w:rPr>
                <w:rFonts w:ascii="Calibri" w:hAnsi="Calibri" w:cs="Calibri"/>
                <w:color w:val="000000"/>
              </w:rPr>
              <w:t xml:space="preserve">Hapana is a platform-first company, not a suite of loosely coupled point solutions. Our single codebase covers scheduling, memberships, payments, marketing automation, mobile apps, and reporting — eliminating the integration overhead that </w:t>
            </w:r>
            <w:r w:rsidRPr="00BA7C33">
              <w:rPr>
                <w:rFonts w:ascii="Calibri" w:hAnsi="Calibri" w:cs="Calibri"/>
                <w:color w:val="000000"/>
              </w:rPr>
              <w:lastRenderedPageBreak/>
              <w:t xml:space="preserve">plagues multi-vendor fitness tech stacks.  On mobile, our platform is built mobile-first: member-facing white-label apps are a core deliverable, not an add-on, enabling branded digital experiences across iOS and Android for every client location.  On AI/ML, Hapana is actively investing in intelligent automation and data-driven features. While we </w:t>
            </w:r>
            <w:proofErr w:type="gramStart"/>
            <w:r w:rsidRPr="00BA7C33">
              <w:rPr>
                <w:rFonts w:ascii="Calibri" w:hAnsi="Calibri" w:cs="Calibri"/>
                <w:color w:val="000000"/>
              </w:rPr>
              <w:t>are not in a position to</w:t>
            </w:r>
            <w:proofErr w:type="gramEnd"/>
            <w:r w:rsidRPr="00BA7C33">
              <w:rPr>
                <w:rFonts w:ascii="Calibri" w:hAnsi="Calibri" w:cs="Calibri"/>
                <w:color w:val="000000"/>
              </w:rPr>
              <w:t xml:space="preserve"> detail specific unreleased capabilities here, AI-assisted member engagement, churn prediction, and operational insights are areas of active product development aligned with our roadmap.  Product velocity is a competitive differentiator for us: with a focused team of 48 and a single unified platform, we ship faster than legacy enterprise competitors burdened by technical debt across fragmented product lines. Our platform-vs-suite philosophy means every capability we build deepens the core product rather than adding another disconnected tool customers must manage.</w:t>
            </w:r>
          </w:p>
        </w:tc>
      </w:tr>
    </w:tbl>
    <w:p w14:paraId="7462EE34" w14:textId="77777777" w:rsidR="006165AA" w:rsidRPr="00BA7C33" w:rsidRDefault="00000000">
      <w:pPr>
        <w:pStyle w:val="Heading2"/>
        <w:spacing w:before="400" w:after="200"/>
        <w:rPr>
          <w:rFonts w:ascii="Calibri" w:hAnsi="Calibri" w:cs="Calibri"/>
        </w:rPr>
      </w:pPr>
      <w:r w:rsidRPr="00BA7C33">
        <w:rPr>
          <w:rFonts w:ascii="Calibri" w:hAnsi="Calibri" w:cs="Calibri"/>
        </w:rPr>
        <w:lastRenderedPageBreak/>
        <w:t>Data &amp; Privacy</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5970FF2A" w14:textId="77777777">
        <w:tblPrEx>
          <w:tblCellMar>
            <w:top w:w="0" w:type="dxa"/>
            <w:bottom w:w="0" w:type="dxa"/>
          </w:tblCellMar>
        </w:tblPrEx>
        <w:trPr>
          <w:tblHeader/>
        </w:trPr>
        <w:tc>
          <w:tcPr>
            <w:tcW w:w="250" w:type="pct"/>
            <w:shd w:val="clear" w:color="auto" w:fill="F3F4F6"/>
          </w:tcPr>
          <w:p w14:paraId="125930E9"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02B62367"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2078E835"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64B7F363" w14:textId="77777777">
        <w:tblPrEx>
          <w:tblCellMar>
            <w:top w:w="0" w:type="dxa"/>
            <w:bottom w:w="0" w:type="dxa"/>
          </w:tblCellMar>
        </w:tblPrEx>
        <w:tc>
          <w:tcPr>
            <w:tcW w:w="250" w:type="pct"/>
          </w:tcPr>
          <w:p w14:paraId="5EF9CACB" w14:textId="77777777" w:rsidR="006165AA" w:rsidRPr="00BA7C33" w:rsidRDefault="00000000">
            <w:pPr>
              <w:rPr>
                <w:rFonts w:ascii="Calibri" w:hAnsi="Calibri" w:cs="Calibri"/>
              </w:rPr>
            </w:pPr>
            <w:r w:rsidRPr="00BA7C33">
              <w:rPr>
                <w:rFonts w:ascii="Calibri" w:hAnsi="Calibri" w:cs="Calibri"/>
                <w:b/>
                <w:bCs/>
              </w:rPr>
              <w:t>52</w:t>
            </w:r>
          </w:p>
        </w:tc>
        <w:tc>
          <w:tcPr>
            <w:tcW w:w="2750" w:type="pct"/>
          </w:tcPr>
          <w:p w14:paraId="2FE5B419" w14:textId="77777777" w:rsidR="006165AA" w:rsidRPr="00BA7C33" w:rsidRDefault="00000000">
            <w:pPr>
              <w:rPr>
                <w:rFonts w:ascii="Calibri" w:hAnsi="Calibri" w:cs="Calibri"/>
              </w:rPr>
            </w:pPr>
            <w:r w:rsidRPr="00BA7C33">
              <w:rPr>
                <w:rFonts w:ascii="Calibri" w:hAnsi="Calibri" w:cs="Calibri"/>
              </w:rPr>
              <w:t>§15.1 Data Ownership: Confirm that Gold's owns all member data, schema, derived data, and outputs, and that you will not use Gold's data for product development, model training, or aggregated benchmarking without explicit written consent.</w:t>
            </w:r>
          </w:p>
        </w:tc>
        <w:tc>
          <w:tcPr>
            <w:tcW w:w="2000" w:type="pct"/>
          </w:tcPr>
          <w:p w14:paraId="1A3B0192" w14:textId="77777777" w:rsidR="006165AA" w:rsidRPr="00BA7C33" w:rsidRDefault="00000000">
            <w:pPr>
              <w:rPr>
                <w:rFonts w:ascii="Calibri" w:hAnsi="Calibri" w:cs="Calibri"/>
              </w:rPr>
            </w:pPr>
            <w:r w:rsidRPr="00BA7C33">
              <w:rPr>
                <w:rFonts w:ascii="Calibri" w:hAnsi="Calibri" w:cs="Calibri"/>
                <w:color w:val="000000"/>
              </w:rPr>
              <w:t>Confirmed. All member data, schema, derived data, and outputs generated within Gold's dedicated environment belong solely to Gold's Gym. Hapana's architecture provides a fully isolated, dedicated database per tenant — Gold's data is never co-mingled with other customers. Hapana will not use Gold's data for product development, model training, or aggregated benchmarking without explicit written consent. These commitments would be codified in the Data Processing Agreement executed at contract.</w:t>
            </w:r>
          </w:p>
        </w:tc>
      </w:tr>
      <w:tr w:rsidR="006165AA" w:rsidRPr="00BA7C33" w14:paraId="54E1AD8D" w14:textId="77777777">
        <w:tblPrEx>
          <w:tblCellMar>
            <w:top w:w="0" w:type="dxa"/>
            <w:bottom w:w="0" w:type="dxa"/>
          </w:tblCellMar>
        </w:tblPrEx>
        <w:tc>
          <w:tcPr>
            <w:tcW w:w="250" w:type="pct"/>
          </w:tcPr>
          <w:p w14:paraId="00010365" w14:textId="77777777" w:rsidR="006165AA" w:rsidRPr="00BA7C33" w:rsidRDefault="00000000">
            <w:pPr>
              <w:rPr>
                <w:rFonts w:ascii="Calibri" w:hAnsi="Calibri" w:cs="Calibri"/>
              </w:rPr>
            </w:pPr>
            <w:r w:rsidRPr="00BA7C33">
              <w:rPr>
                <w:rFonts w:ascii="Calibri" w:hAnsi="Calibri" w:cs="Calibri"/>
                <w:b/>
                <w:bCs/>
              </w:rPr>
              <w:t>53</w:t>
            </w:r>
          </w:p>
        </w:tc>
        <w:tc>
          <w:tcPr>
            <w:tcW w:w="2750" w:type="pct"/>
          </w:tcPr>
          <w:p w14:paraId="41EBF8C8" w14:textId="77777777" w:rsidR="006165AA" w:rsidRPr="00BA7C33" w:rsidRDefault="00000000">
            <w:pPr>
              <w:rPr>
                <w:rFonts w:ascii="Calibri" w:hAnsi="Calibri" w:cs="Calibri"/>
              </w:rPr>
            </w:pPr>
            <w:r w:rsidRPr="00BA7C33">
              <w:rPr>
                <w:rFonts w:ascii="Calibri" w:hAnsi="Calibri" w:cs="Calibri"/>
              </w:rPr>
              <w:t>§15.2 Termination &amp; Data Return: Confirm that on termination for any reason, you will return all Gold's data in agreed formats within a defined window and cooperate with the successor system at agreed rates.</w:t>
            </w:r>
          </w:p>
        </w:tc>
        <w:tc>
          <w:tcPr>
            <w:tcW w:w="2000" w:type="pct"/>
          </w:tcPr>
          <w:p w14:paraId="14B3E840" w14:textId="77777777" w:rsidR="006165AA" w:rsidRPr="00BA7C33" w:rsidRDefault="00000000">
            <w:pPr>
              <w:rPr>
                <w:rFonts w:ascii="Calibri" w:hAnsi="Calibri" w:cs="Calibri"/>
              </w:rPr>
            </w:pPr>
            <w:r w:rsidRPr="00BA7C33">
              <w:rPr>
                <w:rFonts w:ascii="Calibri" w:hAnsi="Calibri" w:cs="Calibri"/>
                <w:color w:val="000000"/>
              </w:rPr>
              <w:t>Hapana commits to returning client data upon termination and supports data export as part of our offboarding process. The specific formats, return window, and any rates for successor system cooperation are negotiable terms to be defined in the master services agreement. We recommend engaging your Hapana account representative to document these commitments contractually prior to contract execution.</w:t>
            </w:r>
          </w:p>
        </w:tc>
      </w:tr>
    </w:tbl>
    <w:p w14:paraId="70CBCCF1" w14:textId="77777777" w:rsidR="006165AA" w:rsidRPr="00BA7C33" w:rsidRDefault="00000000">
      <w:pPr>
        <w:pStyle w:val="Heading2"/>
        <w:spacing w:before="400" w:after="200"/>
        <w:rPr>
          <w:rFonts w:ascii="Calibri" w:hAnsi="Calibri" w:cs="Calibri"/>
        </w:rPr>
      </w:pPr>
      <w:r w:rsidRPr="00BA7C33">
        <w:rPr>
          <w:rFonts w:ascii="Calibri" w:hAnsi="Calibri" w:cs="Calibri"/>
        </w:rPr>
        <w:t>Security &amp; Compliance</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3BA55D99" w14:textId="77777777">
        <w:tblPrEx>
          <w:tblCellMar>
            <w:top w:w="0" w:type="dxa"/>
            <w:bottom w:w="0" w:type="dxa"/>
          </w:tblCellMar>
        </w:tblPrEx>
        <w:trPr>
          <w:tblHeader/>
        </w:trPr>
        <w:tc>
          <w:tcPr>
            <w:tcW w:w="250" w:type="pct"/>
            <w:shd w:val="clear" w:color="auto" w:fill="F3F4F6"/>
          </w:tcPr>
          <w:p w14:paraId="558227C5" w14:textId="77777777" w:rsidR="006165AA" w:rsidRPr="00BA7C33" w:rsidRDefault="00000000">
            <w:pPr>
              <w:rPr>
                <w:rFonts w:ascii="Calibri" w:hAnsi="Calibri" w:cs="Calibri"/>
              </w:rPr>
            </w:pPr>
            <w:r w:rsidRPr="00BA7C33">
              <w:rPr>
                <w:rFonts w:ascii="Calibri" w:hAnsi="Calibri" w:cs="Calibri"/>
                <w:b/>
                <w:bCs/>
              </w:rPr>
              <w:lastRenderedPageBreak/>
              <w:t>#</w:t>
            </w:r>
          </w:p>
        </w:tc>
        <w:tc>
          <w:tcPr>
            <w:tcW w:w="2750" w:type="pct"/>
            <w:shd w:val="clear" w:color="auto" w:fill="F3F4F6"/>
          </w:tcPr>
          <w:p w14:paraId="7D3C91E5"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17B5FC86"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73541BD8" w14:textId="77777777">
        <w:tblPrEx>
          <w:tblCellMar>
            <w:top w:w="0" w:type="dxa"/>
            <w:bottom w:w="0" w:type="dxa"/>
          </w:tblCellMar>
        </w:tblPrEx>
        <w:tc>
          <w:tcPr>
            <w:tcW w:w="250" w:type="pct"/>
          </w:tcPr>
          <w:p w14:paraId="520483E8" w14:textId="77777777" w:rsidR="006165AA" w:rsidRPr="00BA7C33" w:rsidRDefault="00000000">
            <w:pPr>
              <w:rPr>
                <w:rFonts w:ascii="Calibri" w:hAnsi="Calibri" w:cs="Calibri"/>
              </w:rPr>
            </w:pPr>
            <w:r w:rsidRPr="00BA7C33">
              <w:rPr>
                <w:rFonts w:ascii="Calibri" w:hAnsi="Calibri" w:cs="Calibri"/>
                <w:b/>
                <w:bCs/>
              </w:rPr>
              <w:t>54</w:t>
            </w:r>
          </w:p>
        </w:tc>
        <w:tc>
          <w:tcPr>
            <w:tcW w:w="2750" w:type="pct"/>
          </w:tcPr>
          <w:p w14:paraId="12454682" w14:textId="77777777" w:rsidR="006165AA" w:rsidRPr="00BA7C33" w:rsidRDefault="00000000">
            <w:pPr>
              <w:rPr>
                <w:rFonts w:ascii="Calibri" w:hAnsi="Calibri" w:cs="Calibri"/>
              </w:rPr>
            </w:pPr>
            <w:r w:rsidRPr="00BA7C33">
              <w:rPr>
                <w:rFonts w:ascii="Calibri" w:hAnsi="Calibri" w:cs="Calibri"/>
              </w:rPr>
              <w:t>§15.3 IP &amp; Confidentiality: Confirm your agreement to mutual confidentiality (per the NDA in §0), and that Gold's brand, franchise-network composition, and member-level data are treated as Gold's confidential information regardless of how accessed.</w:t>
            </w:r>
          </w:p>
        </w:tc>
        <w:tc>
          <w:tcPr>
            <w:tcW w:w="2000" w:type="pct"/>
          </w:tcPr>
          <w:p w14:paraId="06AE99EF" w14:textId="77777777" w:rsidR="006165AA" w:rsidRPr="00BA7C33" w:rsidRDefault="00000000">
            <w:pPr>
              <w:rPr>
                <w:rFonts w:ascii="Calibri" w:hAnsi="Calibri" w:cs="Calibri"/>
              </w:rPr>
            </w:pPr>
            <w:r w:rsidRPr="00BA7C33">
              <w:rPr>
                <w:rFonts w:ascii="Calibri" w:hAnsi="Calibri" w:cs="Calibri"/>
                <w:color w:val="000000"/>
              </w:rPr>
              <w:t>Hapana agrees to mutual confidentiality obligations consistent with the NDA in §0. Gold's brand identity, franchise-network composition, and member-level data are treated as Gold's confidential information in all circumstances, regardless of how that information is accessed or transmitted through the platform. Hapana's internal governance policies include a formal Information Security Policy and Privacy Policy that support these commitments, and our Cyber Liability insurance coverage provides additional assurance. We are prepared to confirm these obligations in the executed contract.</w:t>
            </w:r>
          </w:p>
        </w:tc>
      </w:tr>
    </w:tbl>
    <w:p w14:paraId="7CBD2C3E" w14:textId="77777777" w:rsidR="006165AA" w:rsidRPr="00BA7C33" w:rsidRDefault="00000000">
      <w:pPr>
        <w:pStyle w:val="Heading2"/>
        <w:spacing w:before="400" w:after="200"/>
        <w:rPr>
          <w:rFonts w:ascii="Calibri" w:hAnsi="Calibri" w:cs="Calibri"/>
        </w:rPr>
      </w:pPr>
      <w:r w:rsidRPr="00BA7C33">
        <w:rPr>
          <w:rFonts w:ascii="Calibri" w:hAnsi="Calibri" w:cs="Calibri"/>
        </w:rPr>
        <w:t>Pricing &amp; Commercial</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2FFD4863" w14:textId="77777777">
        <w:tblPrEx>
          <w:tblCellMar>
            <w:top w:w="0" w:type="dxa"/>
            <w:bottom w:w="0" w:type="dxa"/>
          </w:tblCellMar>
        </w:tblPrEx>
        <w:trPr>
          <w:tblHeader/>
        </w:trPr>
        <w:tc>
          <w:tcPr>
            <w:tcW w:w="250" w:type="pct"/>
            <w:shd w:val="clear" w:color="auto" w:fill="F3F4F6"/>
          </w:tcPr>
          <w:p w14:paraId="0057539E"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312F8913"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07AA6BFC"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592AD670" w14:textId="77777777">
        <w:tblPrEx>
          <w:tblCellMar>
            <w:top w:w="0" w:type="dxa"/>
            <w:bottom w:w="0" w:type="dxa"/>
          </w:tblCellMar>
        </w:tblPrEx>
        <w:tc>
          <w:tcPr>
            <w:tcW w:w="250" w:type="pct"/>
          </w:tcPr>
          <w:p w14:paraId="22CECD64" w14:textId="77777777" w:rsidR="006165AA" w:rsidRPr="00BA7C33" w:rsidRDefault="00000000">
            <w:pPr>
              <w:rPr>
                <w:rFonts w:ascii="Calibri" w:hAnsi="Calibri" w:cs="Calibri"/>
              </w:rPr>
            </w:pPr>
            <w:r w:rsidRPr="00BA7C33">
              <w:rPr>
                <w:rFonts w:ascii="Calibri" w:hAnsi="Calibri" w:cs="Calibri"/>
                <w:b/>
                <w:bCs/>
              </w:rPr>
              <w:t>55</w:t>
            </w:r>
          </w:p>
        </w:tc>
        <w:tc>
          <w:tcPr>
            <w:tcW w:w="2750" w:type="pct"/>
          </w:tcPr>
          <w:p w14:paraId="72AA3D7B" w14:textId="77777777" w:rsidR="006165AA" w:rsidRPr="00BA7C33" w:rsidRDefault="00000000">
            <w:pPr>
              <w:rPr>
                <w:rFonts w:ascii="Calibri" w:hAnsi="Calibri" w:cs="Calibri"/>
              </w:rPr>
            </w:pPr>
            <w:r w:rsidRPr="00BA7C33">
              <w:rPr>
                <w:rFonts w:ascii="Calibri" w:hAnsi="Calibri" w:cs="Calibri"/>
              </w:rPr>
              <w:t>§15.4 Indemnification &amp; Liability: Confirm your acceptance of standard commercial indemnification and liability terms, including a security-breach indemnification carved out from any general liability cap.</w:t>
            </w:r>
          </w:p>
        </w:tc>
        <w:tc>
          <w:tcPr>
            <w:tcW w:w="2000" w:type="pct"/>
          </w:tcPr>
          <w:p w14:paraId="080594D1" w14:textId="77777777" w:rsidR="006165AA" w:rsidRPr="00BA7C33" w:rsidRDefault="00000000">
            <w:pPr>
              <w:rPr>
                <w:rFonts w:ascii="Calibri" w:hAnsi="Calibri" w:cs="Calibri"/>
              </w:rPr>
            </w:pPr>
            <w:r w:rsidRPr="00BA7C33">
              <w:rPr>
                <w:rFonts w:ascii="Calibri" w:hAnsi="Calibri" w:cs="Calibri"/>
                <w:color w:val="000000"/>
              </w:rPr>
              <w:t>Hapana's standard commercial terms include mutual indemnification provisions. However, acceptance of specific indemnification language — including a security-breach carve-out from the general liability cap — is subject to legal review and negotiation. Please engage your Hapana account representative to route this to our legal team for contract-level discussion.</w:t>
            </w:r>
          </w:p>
        </w:tc>
      </w:tr>
      <w:tr w:rsidR="006165AA" w:rsidRPr="00BA7C33" w14:paraId="2CFD8EFF" w14:textId="77777777">
        <w:tblPrEx>
          <w:tblCellMar>
            <w:top w:w="0" w:type="dxa"/>
            <w:bottom w:w="0" w:type="dxa"/>
          </w:tblCellMar>
        </w:tblPrEx>
        <w:tc>
          <w:tcPr>
            <w:tcW w:w="250" w:type="pct"/>
          </w:tcPr>
          <w:p w14:paraId="5B716F96" w14:textId="77777777" w:rsidR="006165AA" w:rsidRPr="00BA7C33" w:rsidRDefault="00000000">
            <w:pPr>
              <w:rPr>
                <w:rFonts w:ascii="Calibri" w:hAnsi="Calibri" w:cs="Calibri"/>
              </w:rPr>
            </w:pPr>
            <w:r w:rsidRPr="00BA7C33">
              <w:rPr>
                <w:rFonts w:ascii="Calibri" w:hAnsi="Calibri" w:cs="Calibri"/>
                <w:b/>
                <w:bCs/>
              </w:rPr>
              <w:t>56</w:t>
            </w:r>
          </w:p>
        </w:tc>
        <w:tc>
          <w:tcPr>
            <w:tcW w:w="2750" w:type="pct"/>
          </w:tcPr>
          <w:p w14:paraId="29D2B2B9" w14:textId="77777777" w:rsidR="006165AA" w:rsidRPr="00BA7C33" w:rsidRDefault="00000000">
            <w:pPr>
              <w:rPr>
                <w:rFonts w:ascii="Calibri" w:hAnsi="Calibri" w:cs="Calibri"/>
              </w:rPr>
            </w:pPr>
            <w:r w:rsidRPr="00BA7C33">
              <w:rPr>
                <w:rFonts w:ascii="Calibri" w:hAnsi="Calibri" w:cs="Calibri"/>
              </w:rPr>
              <w:t>§15.5 Renewal &amp; Pricing: Describe your renewal mechanics, escalator caps, and confirm Gold's right to re-bid at end of term without penalty.</w:t>
            </w:r>
          </w:p>
        </w:tc>
        <w:tc>
          <w:tcPr>
            <w:tcW w:w="2000" w:type="pct"/>
          </w:tcPr>
          <w:p w14:paraId="131F25E5" w14:textId="06DA9440" w:rsidR="006165AA" w:rsidRPr="00BA7C33" w:rsidRDefault="00000000">
            <w:pPr>
              <w:rPr>
                <w:rFonts w:ascii="Calibri" w:hAnsi="Calibri" w:cs="Calibri"/>
              </w:rPr>
            </w:pPr>
            <w:r w:rsidRPr="00BA7C33">
              <w:rPr>
                <w:rFonts w:ascii="Calibri" w:hAnsi="Calibri" w:cs="Calibri"/>
                <w:color w:val="000000"/>
              </w:rPr>
              <w:t xml:space="preserve">Hapana </w:t>
            </w:r>
            <w:r w:rsidR="00ED36B8">
              <w:rPr>
                <w:rFonts w:ascii="Calibri" w:hAnsi="Calibri" w:cs="Calibri"/>
                <w:color w:val="000000"/>
              </w:rPr>
              <w:t>offers contract terms and renewal mechanics that will ensure we are aligned at the end of each Term of the Agreement</w:t>
            </w:r>
            <w:r w:rsidRPr="00BA7C33">
              <w:rPr>
                <w:rFonts w:ascii="Calibri" w:hAnsi="Calibri" w:cs="Calibri"/>
                <w:color w:val="000000"/>
              </w:rPr>
              <w:t>.</w:t>
            </w:r>
          </w:p>
        </w:tc>
      </w:tr>
    </w:tbl>
    <w:p w14:paraId="16638715" w14:textId="77777777" w:rsidR="006165AA" w:rsidRPr="00BA7C33" w:rsidRDefault="00000000">
      <w:pPr>
        <w:pStyle w:val="Heading2"/>
        <w:spacing w:before="400" w:after="200"/>
        <w:rPr>
          <w:rFonts w:ascii="Calibri" w:hAnsi="Calibri" w:cs="Calibri"/>
        </w:rPr>
      </w:pPr>
      <w:r w:rsidRPr="00BA7C33">
        <w:rPr>
          <w:rFonts w:ascii="Calibri" w:hAnsi="Calibri" w:cs="Calibri"/>
        </w:rPr>
        <w:t>Integrations</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22A9E5B2" w14:textId="77777777">
        <w:tblPrEx>
          <w:tblCellMar>
            <w:top w:w="0" w:type="dxa"/>
            <w:bottom w:w="0" w:type="dxa"/>
          </w:tblCellMar>
        </w:tblPrEx>
        <w:trPr>
          <w:tblHeader/>
        </w:trPr>
        <w:tc>
          <w:tcPr>
            <w:tcW w:w="250" w:type="pct"/>
            <w:shd w:val="clear" w:color="auto" w:fill="F3F4F6"/>
          </w:tcPr>
          <w:p w14:paraId="0341FE2F"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15C1047A"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28D58707"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50707003" w14:textId="77777777">
        <w:tblPrEx>
          <w:tblCellMar>
            <w:top w:w="0" w:type="dxa"/>
            <w:bottom w:w="0" w:type="dxa"/>
          </w:tblCellMar>
        </w:tblPrEx>
        <w:tc>
          <w:tcPr>
            <w:tcW w:w="250" w:type="pct"/>
          </w:tcPr>
          <w:p w14:paraId="6ADDA272" w14:textId="77777777" w:rsidR="006165AA" w:rsidRPr="00BA7C33" w:rsidRDefault="00000000">
            <w:pPr>
              <w:rPr>
                <w:rFonts w:ascii="Calibri" w:hAnsi="Calibri" w:cs="Calibri"/>
              </w:rPr>
            </w:pPr>
            <w:r w:rsidRPr="00BA7C33">
              <w:rPr>
                <w:rFonts w:ascii="Calibri" w:hAnsi="Calibri" w:cs="Calibri"/>
                <w:b/>
                <w:bCs/>
              </w:rPr>
              <w:t>57</w:t>
            </w:r>
          </w:p>
        </w:tc>
        <w:tc>
          <w:tcPr>
            <w:tcW w:w="2750" w:type="pct"/>
          </w:tcPr>
          <w:p w14:paraId="53ADE5E0" w14:textId="77777777" w:rsidR="006165AA" w:rsidRPr="00BA7C33" w:rsidRDefault="00000000">
            <w:pPr>
              <w:rPr>
                <w:rFonts w:ascii="Calibri" w:hAnsi="Calibri" w:cs="Calibri"/>
              </w:rPr>
            </w:pPr>
            <w:r w:rsidRPr="00BA7C33">
              <w:rPr>
                <w:rFonts w:ascii="Calibri" w:hAnsi="Calibri" w:cs="Calibri"/>
              </w:rPr>
              <w:t>§15.6 API &amp; Integration Access Protections: Confirm that API pricing, rate limits, webhook coverage, and integration-marketplace policies cannot be unilaterally degraded during the term, and that material changes require advance notice and mutual agreement.</w:t>
            </w:r>
          </w:p>
        </w:tc>
        <w:tc>
          <w:tcPr>
            <w:tcW w:w="2000" w:type="pct"/>
          </w:tcPr>
          <w:p w14:paraId="5158A2F5" w14:textId="77777777" w:rsidR="006165AA" w:rsidRPr="00BA7C33" w:rsidRDefault="00000000">
            <w:pPr>
              <w:rPr>
                <w:rFonts w:ascii="Calibri" w:hAnsi="Calibri" w:cs="Calibri"/>
              </w:rPr>
            </w:pPr>
            <w:r w:rsidRPr="00BA7C33">
              <w:rPr>
                <w:rFonts w:ascii="Calibri" w:hAnsi="Calibri" w:cs="Calibri"/>
                <w:color w:val="000000"/>
              </w:rPr>
              <w:t xml:space="preserve">All specific contractual protections governing API rate limits, webhook coverage, and integration-marketplace policies against unilateral degradation during the term can be added into the commercial agreement to ensure you remain protected and aligned in the </w:t>
            </w:r>
            <w:proofErr w:type="gramStart"/>
            <w:r w:rsidRPr="00BA7C33">
              <w:rPr>
                <w:rFonts w:ascii="Calibri" w:hAnsi="Calibri" w:cs="Calibri"/>
                <w:color w:val="000000"/>
              </w:rPr>
              <w:t>long term</w:t>
            </w:r>
            <w:proofErr w:type="gramEnd"/>
            <w:r w:rsidRPr="00BA7C33">
              <w:rPr>
                <w:rFonts w:ascii="Calibri" w:hAnsi="Calibri" w:cs="Calibri"/>
                <w:color w:val="000000"/>
              </w:rPr>
              <w:t xml:space="preserve"> partnership strategy. </w:t>
            </w:r>
          </w:p>
        </w:tc>
      </w:tr>
    </w:tbl>
    <w:p w14:paraId="04860939" w14:textId="77777777" w:rsidR="006165AA" w:rsidRPr="00BA7C33" w:rsidRDefault="00000000">
      <w:pPr>
        <w:pStyle w:val="Heading2"/>
        <w:spacing w:before="400" w:after="200"/>
        <w:rPr>
          <w:rFonts w:ascii="Calibri" w:hAnsi="Calibri" w:cs="Calibri"/>
        </w:rPr>
      </w:pPr>
      <w:r w:rsidRPr="00BA7C33">
        <w:rPr>
          <w:rFonts w:ascii="Calibri" w:hAnsi="Calibri" w:cs="Calibri"/>
        </w:rPr>
        <w:t>Pricing &amp; Commercial</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000" w:firstRow="0" w:lastRow="0" w:firstColumn="0" w:lastColumn="0" w:noHBand="0" w:noVBand="0"/>
      </w:tblPr>
      <w:tblGrid>
        <w:gridCol w:w="451"/>
        <w:gridCol w:w="4963"/>
        <w:gridCol w:w="3610"/>
      </w:tblGrid>
      <w:tr w:rsidR="006165AA" w:rsidRPr="00BA7C33" w14:paraId="5E458784" w14:textId="77777777">
        <w:tblPrEx>
          <w:tblCellMar>
            <w:top w:w="0" w:type="dxa"/>
            <w:bottom w:w="0" w:type="dxa"/>
          </w:tblCellMar>
        </w:tblPrEx>
        <w:trPr>
          <w:tblHeader/>
        </w:trPr>
        <w:tc>
          <w:tcPr>
            <w:tcW w:w="250" w:type="pct"/>
            <w:shd w:val="clear" w:color="auto" w:fill="F3F4F6"/>
          </w:tcPr>
          <w:p w14:paraId="251C72ED" w14:textId="77777777" w:rsidR="006165AA" w:rsidRPr="00BA7C33" w:rsidRDefault="00000000">
            <w:pPr>
              <w:rPr>
                <w:rFonts w:ascii="Calibri" w:hAnsi="Calibri" w:cs="Calibri"/>
              </w:rPr>
            </w:pPr>
            <w:r w:rsidRPr="00BA7C33">
              <w:rPr>
                <w:rFonts w:ascii="Calibri" w:hAnsi="Calibri" w:cs="Calibri"/>
                <w:b/>
                <w:bCs/>
              </w:rPr>
              <w:t>#</w:t>
            </w:r>
          </w:p>
        </w:tc>
        <w:tc>
          <w:tcPr>
            <w:tcW w:w="2750" w:type="pct"/>
            <w:shd w:val="clear" w:color="auto" w:fill="F3F4F6"/>
          </w:tcPr>
          <w:p w14:paraId="4F71AFCF" w14:textId="77777777" w:rsidR="006165AA" w:rsidRPr="00BA7C33" w:rsidRDefault="00000000">
            <w:pPr>
              <w:rPr>
                <w:rFonts w:ascii="Calibri" w:hAnsi="Calibri" w:cs="Calibri"/>
              </w:rPr>
            </w:pPr>
            <w:r w:rsidRPr="00BA7C33">
              <w:rPr>
                <w:rFonts w:ascii="Calibri" w:hAnsi="Calibri" w:cs="Calibri"/>
                <w:b/>
                <w:bCs/>
              </w:rPr>
              <w:t>Question</w:t>
            </w:r>
          </w:p>
        </w:tc>
        <w:tc>
          <w:tcPr>
            <w:tcW w:w="2000" w:type="pct"/>
            <w:shd w:val="clear" w:color="auto" w:fill="F3F4F6"/>
          </w:tcPr>
          <w:p w14:paraId="57727D80" w14:textId="77777777" w:rsidR="006165AA" w:rsidRPr="00BA7C33" w:rsidRDefault="00000000">
            <w:pPr>
              <w:rPr>
                <w:rFonts w:ascii="Calibri" w:hAnsi="Calibri" w:cs="Calibri"/>
              </w:rPr>
            </w:pPr>
            <w:r w:rsidRPr="00BA7C33">
              <w:rPr>
                <w:rFonts w:ascii="Calibri" w:hAnsi="Calibri" w:cs="Calibri"/>
                <w:b/>
                <w:bCs/>
              </w:rPr>
              <w:t>Response</w:t>
            </w:r>
          </w:p>
        </w:tc>
      </w:tr>
      <w:tr w:rsidR="006165AA" w:rsidRPr="00BA7C33" w14:paraId="2FF8DCF3" w14:textId="77777777">
        <w:tblPrEx>
          <w:tblCellMar>
            <w:top w:w="0" w:type="dxa"/>
            <w:bottom w:w="0" w:type="dxa"/>
          </w:tblCellMar>
        </w:tblPrEx>
        <w:tc>
          <w:tcPr>
            <w:tcW w:w="250" w:type="pct"/>
          </w:tcPr>
          <w:p w14:paraId="2C6CC200" w14:textId="77777777" w:rsidR="006165AA" w:rsidRPr="00BA7C33" w:rsidRDefault="00000000">
            <w:pPr>
              <w:rPr>
                <w:rFonts w:ascii="Calibri" w:hAnsi="Calibri" w:cs="Calibri"/>
              </w:rPr>
            </w:pPr>
            <w:r w:rsidRPr="00BA7C33">
              <w:rPr>
                <w:rFonts w:ascii="Calibri" w:hAnsi="Calibri" w:cs="Calibri"/>
                <w:b/>
                <w:bCs/>
              </w:rPr>
              <w:t>58</w:t>
            </w:r>
          </w:p>
        </w:tc>
        <w:tc>
          <w:tcPr>
            <w:tcW w:w="2750" w:type="pct"/>
          </w:tcPr>
          <w:p w14:paraId="635B34D1" w14:textId="77777777" w:rsidR="006165AA" w:rsidRPr="00BA7C33" w:rsidRDefault="00000000">
            <w:pPr>
              <w:rPr>
                <w:rFonts w:ascii="Calibri" w:hAnsi="Calibri" w:cs="Calibri"/>
              </w:rPr>
            </w:pPr>
            <w:r w:rsidRPr="00BA7C33">
              <w:rPr>
                <w:rFonts w:ascii="Calibri" w:hAnsi="Calibri" w:cs="Calibri"/>
              </w:rPr>
              <w:t xml:space="preserve">§15.7 Product Continuity &amp; No Forced Migration: Confirm that you will not sunset the contracted platform or migrate/consolidate Gold's onto a different platform without (a) Gold's prior written consent; (b) advance notice of no less than [12 months]; (c) feature and data parity on any successor platform with migration performed and </w:t>
            </w:r>
            <w:r w:rsidRPr="00BA7C33">
              <w:rPr>
                <w:rFonts w:ascii="Calibri" w:hAnsi="Calibri" w:cs="Calibri"/>
              </w:rPr>
              <w:lastRenderedPageBreak/>
              <w:t>funded by you; and (d) Gold's right to terminate without penalty and receive full data return and migration cooperation per §15.2 if it does not consent. Also confirm that sunset/continuity representations in §12.6 are incorporated by reference, that a material omission constitutes a breach, and that price, SLA, and continuity protections survive on any successor platform.</w:t>
            </w:r>
          </w:p>
        </w:tc>
        <w:tc>
          <w:tcPr>
            <w:tcW w:w="2000" w:type="pct"/>
          </w:tcPr>
          <w:p w14:paraId="3D062652" w14:textId="77777777" w:rsidR="006165AA" w:rsidRPr="00BA7C33" w:rsidRDefault="00000000">
            <w:pPr>
              <w:rPr>
                <w:rFonts w:ascii="Calibri" w:hAnsi="Calibri" w:cs="Calibri"/>
              </w:rPr>
            </w:pPr>
            <w:r w:rsidRPr="00BA7C33">
              <w:rPr>
                <w:rFonts w:ascii="Calibri" w:hAnsi="Calibri" w:cs="Calibri"/>
                <w:color w:val="000000"/>
              </w:rPr>
              <w:lastRenderedPageBreak/>
              <w:t xml:space="preserve">Hapana's standard commercial terms do not currently include pre-built contract language covering all four elements of §15.7 as specified (12-month sunset notice, mandatory feature/data parity, funded migration, and termination-without-penalty </w:t>
            </w:r>
            <w:r w:rsidRPr="00BA7C33">
              <w:rPr>
                <w:rFonts w:ascii="Calibri" w:hAnsi="Calibri" w:cs="Calibri"/>
                <w:color w:val="000000"/>
              </w:rPr>
              <w:lastRenderedPageBreak/>
              <w:t>rights tied to non-consent). These protections — including incorporation of §12.6 continuity representations, breach treatment for material omissions, and survival of price/SLA/continuity terms on any successor platform — are enterprise contractual commitments that can be added into our agreement during the contract negotiation phase.</w:t>
            </w:r>
          </w:p>
        </w:tc>
      </w:tr>
    </w:tbl>
    <w:p w14:paraId="794122DA" w14:textId="77777777" w:rsidR="003B7E13" w:rsidRPr="00BA7C33" w:rsidRDefault="003B7E13">
      <w:pPr>
        <w:rPr>
          <w:rFonts w:ascii="Calibri" w:hAnsi="Calibri" w:cs="Calibri"/>
        </w:rPr>
      </w:pPr>
    </w:p>
    <w:sectPr w:rsidR="003B7E13" w:rsidRPr="00BA7C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0F50A7"/>
    <w:multiLevelType w:val="hybridMultilevel"/>
    <w:tmpl w:val="A9DC064C"/>
    <w:lvl w:ilvl="0" w:tplc="D30E5014">
      <w:start w:val="1"/>
      <w:numFmt w:val="bullet"/>
      <w:lvlText w:val="●"/>
      <w:lvlJc w:val="left"/>
      <w:pPr>
        <w:ind w:left="720" w:hanging="360"/>
      </w:pPr>
    </w:lvl>
    <w:lvl w:ilvl="1" w:tplc="678AAFA6">
      <w:start w:val="1"/>
      <w:numFmt w:val="bullet"/>
      <w:lvlText w:val="○"/>
      <w:lvlJc w:val="left"/>
      <w:pPr>
        <w:ind w:left="1440" w:hanging="360"/>
      </w:pPr>
    </w:lvl>
    <w:lvl w:ilvl="2" w:tplc="0E52AF8C">
      <w:start w:val="1"/>
      <w:numFmt w:val="bullet"/>
      <w:lvlText w:val="■"/>
      <w:lvlJc w:val="left"/>
      <w:pPr>
        <w:ind w:left="2160" w:hanging="360"/>
      </w:pPr>
    </w:lvl>
    <w:lvl w:ilvl="3" w:tplc="356E4AA4">
      <w:start w:val="1"/>
      <w:numFmt w:val="bullet"/>
      <w:lvlText w:val="●"/>
      <w:lvlJc w:val="left"/>
      <w:pPr>
        <w:ind w:left="2880" w:hanging="360"/>
      </w:pPr>
    </w:lvl>
    <w:lvl w:ilvl="4" w:tplc="04CE9850">
      <w:start w:val="1"/>
      <w:numFmt w:val="bullet"/>
      <w:lvlText w:val="○"/>
      <w:lvlJc w:val="left"/>
      <w:pPr>
        <w:ind w:left="3600" w:hanging="360"/>
      </w:pPr>
    </w:lvl>
    <w:lvl w:ilvl="5" w:tplc="A3BAB2D2">
      <w:start w:val="1"/>
      <w:numFmt w:val="bullet"/>
      <w:lvlText w:val="■"/>
      <w:lvlJc w:val="left"/>
      <w:pPr>
        <w:ind w:left="4320" w:hanging="360"/>
      </w:pPr>
    </w:lvl>
    <w:lvl w:ilvl="6" w:tplc="D11CD294">
      <w:start w:val="1"/>
      <w:numFmt w:val="bullet"/>
      <w:lvlText w:val="●"/>
      <w:lvlJc w:val="left"/>
      <w:pPr>
        <w:ind w:left="5040" w:hanging="360"/>
      </w:pPr>
    </w:lvl>
    <w:lvl w:ilvl="7" w:tplc="F7D8C924">
      <w:start w:val="1"/>
      <w:numFmt w:val="bullet"/>
      <w:lvlText w:val="●"/>
      <w:lvlJc w:val="left"/>
      <w:pPr>
        <w:ind w:left="5760" w:hanging="360"/>
      </w:pPr>
    </w:lvl>
    <w:lvl w:ilvl="8" w:tplc="0DC22C84">
      <w:start w:val="1"/>
      <w:numFmt w:val="bullet"/>
      <w:lvlText w:val="●"/>
      <w:lvlJc w:val="left"/>
      <w:pPr>
        <w:ind w:left="6480" w:hanging="360"/>
      </w:pPr>
    </w:lvl>
  </w:abstractNum>
  <w:num w:numId="1" w16cid:durableId="2572999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5AA"/>
    <w:rsid w:val="003B7E13"/>
    <w:rsid w:val="006165AA"/>
    <w:rsid w:val="00B50018"/>
    <w:rsid w:val="00BA7C33"/>
    <w:rsid w:val="00ED36B8"/>
    <w:rsid w:val="00F23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BA2AC5"/>
  <w15:docId w15:val="{A5389CA7-936D-2845-892A-92AB6277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CD00E388-806B-479A-87F1-316A2E4316D9}"/>
</file>

<file path=customXml/itemProps2.xml><?xml version="1.0" encoding="utf-8"?>
<ds:datastoreItem xmlns:ds="http://schemas.openxmlformats.org/officeDocument/2006/customXml" ds:itemID="{AA7F7890-2DF9-4475-BAED-C876ED1B2695}"/>
</file>

<file path=customXml/itemProps3.xml><?xml version="1.0" encoding="utf-8"?>
<ds:datastoreItem xmlns:ds="http://schemas.openxmlformats.org/officeDocument/2006/customXml" ds:itemID="{C90C2659-9F59-41B8-A046-5A286A466D02}"/>
</file>

<file path=docProps/app.xml><?xml version="1.0" encoding="utf-8"?>
<Properties xmlns="http://schemas.openxmlformats.org/officeDocument/2006/extended-properties" xmlns:vt="http://schemas.openxmlformats.org/officeDocument/2006/docPropsVTypes">
  <Template>Normal.dotm</Template>
  <TotalTime>3</TotalTime>
  <Pages>21</Pages>
  <Words>6975</Words>
  <Characters>42412</Characters>
  <Application>Microsoft Office Word</Application>
  <DocSecurity>0</DocSecurity>
  <Lines>922</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Jarron Aizen</cp:lastModifiedBy>
  <cp:revision>3</cp:revision>
  <dcterms:created xsi:type="dcterms:W3CDTF">2026-07-09T07:00:00Z</dcterms:created>
  <dcterms:modified xsi:type="dcterms:W3CDTF">2026-07-09T10:12:00Z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