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116F" w14:textId="77777777" w:rsidR="000204A6" w:rsidRDefault="00167C71">
      <w:pPr>
        <w:spacing w:before="400" w:after="80"/>
      </w:pPr>
      <w:r>
        <w:rPr>
          <w:rFonts w:ascii="Calibri" w:eastAsia="Calibri" w:hAnsi="Calibri" w:cs="Calibri"/>
          <w:b/>
          <w:bCs/>
          <w:color w:val="475569"/>
          <w:sz w:val="18"/>
          <w:szCs w:val="18"/>
        </w:rPr>
        <w:t>CONFIDENTIAL — RFI RESPONSE</w:t>
      </w:r>
    </w:p>
    <w:p w14:paraId="04C38401" w14:textId="77777777" w:rsidR="000204A6" w:rsidRDefault="00167C71">
      <w:pPr>
        <w:spacing w:before="40" w:after="40"/>
      </w:pPr>
      <w:r>
        <w:rPr>
          <w:rFonts w:ascii="Calibri" w:eastAsia="Calibri" w:hAnsi="Calibri" w:cs="Calibri"/>
          <w:b/>
          <w:bCs/>
          <w:color w:val="1B2A6B"/>
          <w:sz w:val="40"/>
          <w:szCs w:val="40"/>
        </w:rPr>
        <w:t>Member Management System — Request for Information</w:t>
      </w:r>
    </w:p>
    <w:p w14:paraId="5BABC213" w14:textId="77777777" w:rsidR="000204A6" w:rsidRDefault="00167C71">
      <w:pPr>
        <w:spacing w:before="80" w:after="300"/>
      </w:pPr>
      <w:r>
        <w:rPr>
          <w:rFonts w:ascii="Calibri" w:eastAsia="Calibri" w:hAnsi="Calibri" w:cs="Calibri"/>
          <w:color w:val="00B4D8"/>
          <w:sz w:val="24"/>
          <w:szCs w:val="24"/>
        </w:rPr>
        <w:t>Gold's Gym  |  RFI Designation: GG-2026-MMS-RFI-001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7342"/>
      </w:tblGrid>
      <w:tr w:rsidR="000204A6" w14:paraId="7EFE60BC" w14:textId="77777777">
        <w:tc>
          <w:tcPr>
            <w:tcW w:w="0" w:type="auto"/>
            <w:shd w:val="clear" w:color="auto" w:fill="1B2A6B"/>
            <w:tcMar>
              <w:top w:w="200" w:type="dxa"/>
              <w:left w:w="240" w:type="dxa"/>
              <w:bottom w:w="200" w:type="dxa"/>
              <w:right w:w="240" w:type="dxa"/>
            </w:tcMar>
          </w:tcPr>
          <w:p w14:paraId="67413714" w14:textId="77777777" w:rsidR="000204A6" w:rsidRDefault="00167C71">
            <w:r>
              <w:rPr>
                <w:rFonts w:ascii="Calibri" w:eastAsia="Calibri" w:hAnsi="Calibri" w:cs="Calibri"/>
                <w:color w:val="B0C4DE"/>
              </w:rPr>
              <w:t>Respondent</w:t>
            </w:r>
          </w:p>
          <w:p w14:paraId="4BEAF4D9" w14:textId="77777777" w:rsidR="000204A6" w:rsidRDefault="00167C71">
            <w:r>
              <w:rPr>
                <w:rFonts w:ascii="Calibri" w:eastAsia="Calibri" w:hAnsi="Calibri" w:cs="Calibri"/>
                <w:b/>
                <w:bCs/>
                <w:color w:val="FFFFFF"/>
                <w:sz w:val="28"/>
                <w:szCs w:val="28"/>
              </w:rPr>
              <w:t>Zenoti, Inc.</w:t>
            </w:r>
          </w:p>
        </w:tc>
        <w:tc>
          <w:tcPr>
            <w:tcW w:w="0" w:type="auto"/>
            <w:shd w:val="clear" w:color="auto" w:fill="F8FAFC"/>
            <w:tcMar>
              <w:top w:w="200" w:type="dxa"/>
              <w:left w:w="240" w:type="dxa"/>
              <w:bottom w:w="200" w:type="dxa"/>
              <w:right w:w="240" w:type="dxa"/>
            </w:tcMar>
          </w:tcPr>
          <w:p w14:paraId="0FC008F8" w14:textId="77777777" w:rsidR="000204A6" w:rsidRDefault="00167C71">
            <w:r>
              <w:rPr>
                <w:rFonts w:ascii="Calibri" w:eastAsia="Calibri" w:hAnsi="Calibri" w:cs="Calibri"/>
                <w:color w:val="475569"/>
              </w:rPr>
              <w:t>Submitted to</w:t>
            </w:r>
          </w:p>
          <w:p w14:paraId="5524C74B" w14:textId="77777777" w:rsidR="000204A6" w:rsidRDefault="00167C71">
            <w:r>
              <w:rPr>
                <w:rFonts w:ascii="Calibri" w:eastAsia="Calibri" w:hAnsi="Calibri" w:cs="Calibri"/>
                <w:b/>
                <w:bCs/>
                <w:color w:val="1E293B"/>
                <w:sz w:val="22"/>
                <w:szCs w:val="22"/>
              </w:rPr>
              <w:t>Rick Jones, Sr. Director, Technology Innovation &amp; Implementation</w:t>
            </w:r>
          </w:p>
        </w:tc>
      </w:tr>
    </w:tbl>
    <w:p w14:paraId="7FD1F9FD" w14:textId="77777777" w:rsidR="000204A6" w:rsidRDefault="00167C71">
      <w:pPr>
        <w:spacing w:before="300" w:after="80"/>
      </w:pPr>
      <w:r>
        <w:rPr>
          <w:rFonts w:ascii="Calibri" w:eastAsia="Calibri" w:hAnsi="Calibri" w:cs="Calibri"/>
          <w:color w:val="475569"/>
        </w:rPr>
        <w:t>Response Date: July 9, 2026  |  Due Date: July 10, 2026</w:t>
      </w:r>
    </w:p>
    <w:p w14:paraId="35705C1E" w14:textId="77777777" w:rsidR="000204A6" w:rsidRDefault="000204A6">
      <w:pPr>
        <w:pBdr>
          <w:bottom w:val="single" w:sz="6" w:space="1" w:color="00B4D8"/>
        </w:pBdr>
        <w:spacing w:before="200" w:after="200"/>
      </w:pPr>
    </w:p>
    <w:p w14:paraId="328AB275" w14:textId="77777777" w:rsidR="000204A6" w:rsidRDefault="00167C71">
      <w:pPr>
        <w:pStyle w:val="Heading1"/>
        <w:spacing w:before="400" w:after="120"/>
      </w:pPr>
      <w:r>
        <w:rPr>
          <w:rFonts w:ascii="Calibri" w:eastAsia="Calibri" w:hAnsi="Calibri" w:cs="Calibri"/>
          <w:b/>
          <w:bCs/>
          <w:color w:val="1B2A6B"/>
          <w:sz w:val="36"/>
          <w:szCs w:val="36"/>
        </w:rPr>
        <w:t>Executive Summary</w:t>
      </w:r>
    </w:p>
    <w:p w14:paraId="0DECF7E4" w14:textId="77777777" w:rsidR="000204A6" w:rsidRDefault="00167C71">
      <w:pPr>
        <w:spacing w:before="80" w:after="120"/>
      </w:pPr>
      <w:r>
        <w:rPr>
          <w:rFonts w:ascii="Calibri" w:eastAsia="Calibri" w:hAnsi="Calibri" w:cs="Calibri"/>
          <w:color w:val="1E293B"/>
          <w:sz w:val="22"/>
          <w:szCs w:val="22"/>
        </w:rPr>
        <w:t>Zenoti welcomes the opportunity to respond to Gold's Gym's Member Management System RFI (GG-2026-MMS-RFI-001). We recognize that Gold's is not looking for another all-in-one suite — you are assembling a best-in-class platform you control, and you need an MMS that operates as a headless system of record underneath it. That is precisely how Zenoti was designed.</w:t>
      </w:r>
    </w:p>
    <w:p w14:paraId="56EEA0F2" w14:textId="77777777" w:rsidR="000204A6" w:rsidRDefault="00167C71">
      <w:pPr>
        <w:spacing w:before="80" w:after="120"/>
      </w:pPr>
      <w:r>
        <w:rPr>
          <w:rFonts w:ascii="Calibri" w:eastAsia="Calibri" w:hAnsi="Calibri" w:cs="Calibri"/>
          <w:color w:val="1E293B"/>
          <w:sz w:val="22"/>
          <w:szCs w:val="22"/>
        </w:rPr>
        <w:t>Zenoti is an enterprise-grade, cloud-native platform purpose-built for multi-location fitness, wellness, and spa operations. Deployed across thousands of locations in 50+ countries and processing over $10 billion in consumer transactions annually, Zenoti is uniquely positioned to serve as the operational backbone of Gold's reimagined technology stack.</w:t>
      </w:r>
    </w:p>
    <w:p w14:paraId="1BA149D2" w14:textId="77777777" w:rsidR="000204A6" w:rsidRDefault="00167C71">
      <w:pPr>
        <w:spacing w:before="80" w:after="120"/>
      </w:pPr>
      <w:r>
        <w:rPr>
          <w:rFonts w:ascii="Calibri" w:eastAsia="Calibri" w:hAnsi="Calibri" w:cs="Calibri"/>
          <w:color w:val="1E293B"/>
          <w:sz w:val="22"/>
          <w:szCs w:val="22"/>
        </w:rPr>
        <w:t>Three things distinguish Zenoti from every other respondent to this RFI:</w:t>
      </w:r>
    </w:p>
    <w:p w14:paraId="1599B1F7"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Data ownership by design — Gold's data stays Gold's. Our contractual posture reflects this; it is not a negotiating concession.</w:t>
      </w:r>
    </w:p>
    <w:p w14:paraId="444D1ECE"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API-first, headless-ready architecture — the entirety of our platform is exposed via REST APIs and webhooks. Gold's can own the member UX end-to-end, using Zenoti purely as the transaction engine and system of record.</w:t>
      </w:r>
    </w:p>
    <w:p w14:paraId="5DA3A903"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Native multi-tenant franchise architecture — corporate controls, franchisee autonomy, and a unified data layer are not features we bolted on. They are the foundation of how the platform was built.</w:t>
      </w:r>
    </w:p>
    <w:p w14:paraId="6A97D2AC" w14:textId="77777777" w:rsidR="000204A6" w:rsidRDefault="00167C71">
      <w:pPr>
        <w:spacing w:before="80" w:after="120"/>
      </w:pPr>
      <w:r>
        <w:rPr>
          <w:rFonts w:ascii="Calibri" w:eastAsia="Calibri" w:hAnsi="Calibri" w:cs="Calibri"/>
          <w:color w:val="1E293B"/>
          <w:sz w:val="22"/>
          <w:szCs w:val="22"/>
        </w:rPr>
        <w:t>Supporting documentation attached to this response includes: Zenoti Standard Service Level Agreement, Zenoti Technology Architecture Overview (October 2024), and the Zenoti Implementation Customer Engagement Guide for Large Enterprises (Ver 3.2). These documents are referenced throughout this response and are provided as Exhibits A, B, and C respectively.</w:t>
      </w:r>
    </w:p>
    <w:p w14:paraId="5D79F09E" w14:textId="77777777" w:rsidR="000204A6" w:rsidRDefault="000204A6">
      <w:pPr>
        <w:pBdr>
          <w:bottom w:val="single" w:sz="6" w:space="1" w:color="00B4D8"/>
        </w:pBdr>
        <w:spacing w:before="200" w:after="200"/>
      </w:pPr>
    </w:p>
    <w:p w14:paraId="2A10B8F6" w14:textId="77777777" w:rsidR="000204A6" w:rsidRDefault="00167C71">
      <w:pPr>
        <w:pStyle w:val="Heading1"/>
        <w:spacing w:before="400" w:after="120"/>
      </w:pPr>
      <w:r>
        <w:rPr>
          <w:rFonts w:ascii="Calibri" w:eastAsia="Calibri" w:hAnsi="Calibri" w:cs="Calibri"/>
          <w:b/>
          <w:bCs/>
          <w:color w:val="1B2A6B"/>
          <w:sz w:val="36"/>
          <w:szCs w:val="36"/>
        </w:rPr>
        <w:t>Section 1 — Strategic Context: Why Zenoti Fits Gold's Model</w:t>
      </w:r>
    </w:p>
    <w:p w14:paraId="5E948DDB" w14:textId="77777777" w:rsidR="000204A6" w:rsidRDefault="00167C71">
      <w:pPr>
        <w:spacing w:before="80" w:after="120"/>
      </w:pPr>
      <w:r>
        <w:rPr>
          <w:rFonts w:ascii="Calibri" w:eastAsia="Calibri" w:hAnsi="Calibri" w:cs="Calibri"/>
          <w:color w:val="1E293B"/>
          <w:sz w:val="22"/>
          <w:szCs w:val="22"/>
        </w:rPr>
        <w:t>Gold's operating principle — "We assemble the platform; we do not rent it" — maps directly to Zenoti's architecture and go-to-market positioning. Zenoti was built for operators who want to own member data, workflows, and experience, while relying on a deeply capable SaaS platform as the transactional and operational backbone.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8356"/>
      </w:tblGrid>
      <w:tr w:rsidR="000204A6" w14:paraId="0846CBFD" w14:textId="77777777">
        <w:tc>
          <w:tcPr>
            <w:tcW w:w="900" w:type="dxa"/>
            <w:shd w:val="clear" w:color="auto" w:fill="1B2A6B"/>
            <w:tcMar>
              <w:top w:w="80" w:type="dxa"/>
              <w:left w:w="120" w:type="dxa"/>
              <w:bottom w:w="80" w:type="dxa"/>
              <w:right w:w="120" w:type="dxa"/>
            </w:tcMar>
            <w:vAlign w:val="center"/>
          </w:tcPr>
          <w:p w14:paraId="0412F842" w14:textId="77777777" w:rsidR="000204A6" w:rsidRDefault="00167C71">
            <w:pPr>
              <w:jc w:val="center"/>
            </w:pPr>
            <w:r>
              <w:rPr>
                <w:rFonts w:ascii="Calibri" w:eastAsia="Calibri" w:hAnsi="Calibri" w:cs="Calibri"/>
                <w:b/>
                <w:bCs/>
                <w:color w:val="FFFFFF"/>
              </w:rPr>
              <w:t>Principle</w:t>
            </w:r>
          </w:p>
        </w:tc>
        <w:tc>
          <w:tcPr>
            <w:tcW w:w="8100" w:type="dxa"/>
            <w:shd w:val="clear" w:color="auto" w:fill="EFF6FF"/>
            <w:tcMar>
              <w:top w:w="80" w:type="dxa"/>
              <w:left w:w="160" w:type="dxa"/>
              <w:bottom w:w="80" w:type="dxa"/>
              <w:right w:w="120" w:type="dxa"/>
            </w:tcMar>
          </w:tcPr>
          <w:p w14:paraId="66CAAC74" w14:textId="77777777" w:rsidR="000204A6" w:rsidRDefault="00167C71">
            <w:r>
              <w:rPr>
                <w:rFonts w:ascii="Calibri" w:eastAsia="Calibri" w:hAnsi="Calibri" w:cs="Calibri"/>
                <w:color w:val="1E293B"/>
                <w:sz w:val="22"/>
                <w:szCs w:val="22"/>
              </w:rPr>
              <w:t>"We assemble the platform — we do not rent it."</w:t>
            </w:r>
          </w:p>
        </w:tc>
      </w:tr>
    </w:tbl>
    <w:p w14:paraId="1F0C6754" w14:textId="77777777" w:rsidR="000204A6" w:rsidRDefault="000204A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8415"/>
      </w:tblGrid>
      <w:tr w:rsidR="000204A6" w14:paraId="44B71F23" w14:textId="77777777">
        <w:tc>
          <w:tcPr>
            <w:tcW w:w="900" w:type="dxa"/>
            <w:shd w:val="clear" w:color="auto" w:fill="1B2A6B"/>
            <w:tcMar>
              <w:top w:w="80" w:type="dxa"/>
              <w:left w:w="120" w:type="dxa"/>
              <w:bottom w:w="80" w:type="dxa"/>
              <w:right w:w="120" w:type="dxa"/>
            </w:tcMar>
            <w:vAlign w:val="center"/>
          </w:tcPr>
          <w:p w14:paraId="39E4C0C1" w14:textId="77777777" w:rsidR="000204A6" w:rsidRDefault="00167C71">
            <w:pPr>
              <w:jc w:val="center"/>
            </w:pPr>
            <w:r>
              <w:rPr>
                <w:rFonts w:ascii="Calibri" w:eastAsia="Calibri" w:hAnsi="Calibri" w:cs="Calibri"/>
                <w:b/>
                <w:bCs/>
                <w:color w:val="FFFFFF"/>
              </w:rPr>
              <w:t>Zenoti</w:t>
            </w:r>
          </w:p>
        </w:tc>
        <w:tc>
          <w:tcPr>
            <w:tcW w:w="8100" w:type="dxa"/>
            <w:shd w:val="clear" w:color="auto" w:fill="EFF6FF"/>
            <w:tcMar>
              <w:top w:w="80" w:type="dxa"/>
              <w:left w:w="160" w:type="dxa"/>
              <w:bottom w:w="80" w:type="dxa"/>
              <w:right w:w="120" w:type="dxa"/>
            </w:tcMar>
          </w:tcPr>
          <w:p w14:paraId="17C391A5" w14:textId="77777777" w:rsidR="000204A6" w:rsidRDefault="00167C71">
            <w:r>
              <w:rPr>
                <w:rFonts w:ascii="Calibri" w:eastAsia="Calibri" w:hAnsi="Calibri" w:cs="Calibri"/>
                <w:color w:val="1E293B"/>
                <w:sz w:val="22"/>
                <w:szCs w:val="22"/>
              </w:rPr>
              <w:t>Agreed. Zenoti is designed to be one component in your assembled stack. Our APIs are first-class interfaces, not afterthoughts. We do not penalize customers commercially or operationally for running third-party CRM, app, marketing, or analytics tools alongside our platform.</w:t>
            </w:r>
          </w:p>
        </w:tc>
      </w:tr>
    </w:tbl>
    <w:p w14:paraId="40326465" w14:textId="77777777" w:rsidR="000204A6" w:rsidRDefault="000204A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8356"/>
      </w:tblGrid>
      <w:tr w:rsidR="000204A6" w14:paraId="11E6ED4E" w14:textId="77777777">
        <w:tc>
          <w:tcPr>
            <w:tcW w:w="900" w:type="dxa"/>
            <w:shd w:val="clear" w:color="auto" w:fill="1B2A6B"/>
            <w:tcMar>
              <w:top w:w="80" w:type="dxa"/>
              <w:left w:w="120" w:type="dxa"/>
              <w:bottom w:w="80" w:type="dxa"/>
              <w:right w:w="120" w:type="dxa"/>
            </w:tcMar>
            <w:vAlign w:val="center"/>
          </w:tcPr>
          <w:p w14:paraId="684258FF" w14:textId="77777777" w:rsidR="000204A6" w:rsidRDefault="00167C71">
            <w:pPr>
              <w:jc w:val="center"/>
            </w:pPr>
            <w:r>
              <w:rPr>
                <w:rFonts w:ascii="Calibri" w:eastAsia="Calibri" w:hAnsi="Calibri" w:cs="Calibri"/>
                <w:b/>
                <w:bCs/>
                <w:color w:val="FFFFFF"/>
              </w:rPr>
              <w:t>Principle</w:t>
            </w:r>
          </w:p>
        </w:tc>
        <w:tc>
          <w:tcPr>
            <w:tcW w:w="8100" w:type="dxa"/>
            <w:shd w:val="clear" w:color="auto" w:fill="EFF6FF"/>
            <w:tcMar>
              <w:top w:w="80" w:type="dxa"/>
              <w:left w:w="160" w:type="dxa"/>
              <w:bottom w:w="80" w:type="dxa"/>
              <w:right w:w="120" w:type="dxa"/>
            </w:tcMar>
          </w:tcPr>
          <w:p w14:paraId="545D1477" w14:textId="77777777" w:rsidR="000204A6" w:rsidRDefault="00167C71">
            <w:r>
              <w:rPr>
                <w:rFonts w:ascii="Calibri" w:eastAsia="Calibri" w:hAnsi="Calibri" w:cs="Calibri"/>
                <w:color w:val="1E293B"/>
                <w:sz w:val="22"/>
                <w:szCs w:val="22"/>
              </w:rPr>
              <w:t>"All member data belongs to Gold's, not the vendor."</w:t>
            </w:r>
          </w:p>
        </w:tc>
      </w:tr>
    </w:tbl>
    <w:p w14:paraId="632A752B" w14:textId="77777777" w:rsidR="000204A6" w:rsidRDefault="000204A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8415"/>
      </w:tblGrid>
      <w:tr w:rsidR="000204A6" w14:paraId="468C370E" w14:textId="77777777" w:rsidTr="2FC5D060">
        <w:tc>
          <w:tcPr>
            <w:tcW w:w="900" w:type="dxa"/>
            <w:shd w:val="clear" w:color="auto" w:fill="1B2A6B"/>
            <w:tcMar>
              <w:top w:w="80" w:type="dxa"/>
              <w:left w:w="120" w:type="dxa"/>
              <w:bottom w:w="80" w:type="dxa"/>
              <w:right w:w="120" w:type="dxa"/>
            </w:tcMar>
            <w:vAlign w:val="center"/>
          </w:tcPr>
          <w:p w14:paraId="6EDDD66C" w14:textId="77777777" w:rsidR="000204A6" w:rsidRDefault="00167C71">
            <w:pPr>
              <w:jc w:val="center"/>
            </w:pPr>
            <w:r>
              <w:rPr>
                <w:rFonts w:ascii="Calibri" w:eastAsia="Calibri" w:hAnsi="Calibri" w:cs="Calibri"/>
                <w:b/>
                <w:bCs/>
                <w:color w:val="FFFFFF"/>
              </w:rPr>
              <w:t>Zenoti</w:t>
            </w:r>
          </w:p>
        </w:tc>
        <w:tc>
          <w:tcPr>
            <w:tcW w:w="8100" w:type="dxa"/>
            <w:shd w:val="clear" w:color="auto" w:fill="EFF6FF"/>
            <w:tcMar>
              <w:top w:w="80" w:type="dxa"/>
              <w:left w:w="160" w:type="dxa"/>
              <w:bottom w:w="80" w:type="dxa"/>
              <w:right w:w="120" w:type="dxa"/>
            </w:tcMar>
          </w:tcPr>
          <w:p w14:paraId="4F77EB57" w14:textId="66F5A3A0" w:rsidR="000204A6" w:rsidRDefault="00167C71">
            <w:r w:rsidRPr="2FC5D060">
              <w:rPr>
                <w:rFonts w:ascii="Calibri" w:eastAsia="Calibri" w:hAnsi="Calibri" w:cs="Calibri"/>
                <w:color w:val="1E293B"/>
                <w:sz w:val="22"/>
                <w:szCs w:val="22"/>
              </w:rPr>
              <w:t>Zenoti contractually acknowledges that all member data, derived data, schema, and outputs are Gold's property. We do not use customer data for vendor-side benchmarking, model training, or product analytics without explicit, documented consent.</w:t>
            </w:r>
          </w:p>
        </w:tc>
      </w:tr>
    </w:tbl>
    <w:p w14:paraId="0C28F4BF" w14:textId="77777777" w:rsidR="000204A6" w:rsidRDefault="000204A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8356"/>
      </w:tblGrid>
      <w:tr w:rsidR="000204A6" w14:paraId="6F528BAE" w14:textId="77777777">
        <w:tc>
          <w:tcPr>
            <w:tcW w:w="900" w:type="dxa"/>
            <w:shd w:val="clear" w:color="auto" w:fill="1B2A6B"/>
            <w:tcMar>
              <w:top w:w="80" w:type="dxa"/>
              <w:left w:w="120" w:type="dxa"/>
              <w:bottom w:w="80" w:type="dxa"/>
              <w:right w:w="120" w:type="dxa"/>
            </w:tcMar>
            <w:vAlign w:val="center"/>
          </w:tcPr>
          <w:p w14:paraId="1A420301" w14:textId="77777777" w:rsidR="000204A6" w:rsidRDefault="00167C71">
            <w:pPr>
              <w:jc w:val="center"/>
            </w:pPr>
            <w:r>
              <w:rPr>
                <w:rFonts w:ascii="Calibri" w:eastAsia="Calibri" w:hAnsi="Calibri" w:cs="Calibri"/>
                <w:b/>
                <w:bCs/>
                <w:color w:val="FFFFFF"/>
              </w:rPr>
              <w:t>Principle</w:t>
            </w:r>
          </w:p>
        </w:tc>
        <w:tc>
          <w:tcPr>
            <w:tcW w:w="8100" w:type="dxa"/>
            <w:shd w:val="clear" w:color="auto" w:fill="EFF6FF"/>
            <w:tcMar>
              <w:top w:w="80" w:type="dxa"/>
              <w:left w:w="160" w:type="dxa"/>
              <w:bottom w:w="80" w:type="dxa"/>
              <w:right w:w="120" w:type="dxa"/>
            </w:tcMar>
          </w:tcPr>
          <w:p w14:paraId="7179F901" w14:textId="77777777" w:rsidR="000204A6" w:rsidRDefault="00167C71">
            <w:r>
              <w:rPr>
                <w:rFonts w:ascii="Calibri" w:eastAsia="Calibri" w:hAnsi="Calibri" w:cs="Calibri"/>
                <w:color w:val="1E293B"/>
                <w:sz w:val="22"/>
                <w:szCs w:val="22"/>
              </w:rPr>
              <w:t>"Vendors operate within our system, not outside of it."</w:t>
            </w:r>
          </w:p>
        </w:tc>
      </w:tr>
    </w:tbl>
    <w:p w14:paraId="4CC576D7" w14:textId="77777777" w:rsidR="000204A6" w:rsidRDefault="000204A6">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8415"/>
      </w:tblGrid>
      <w:tr w:rsidR="000204A6" w14:paraId="065D06F2" w14:textId="77777777">
        <w:tc>
          <w:tcPr>
            <w:tcW w:w="900" w:type="dxa"/>
            <w:shd w:val="clear" w:color="auto" w:fill="1B2A6B"/>
            <w:tcMar>
              <w:top w:w="80" w:type="dxa"/>
              <w:left w:w="120" w:type="dxa"/>
              <w:bottom w:w="80" w:type="dxa"/>
              <w:right w:w="120" w:type="dxa"/>
            </w:tcMar>
            <w:vAlign w:val="center"/>
          </w:tcPr>
          <w:p w14:paraId="4E6CEDD9" w14:textId="77777777" w:rsidR="000204A6" w:rsidRDefault="00167C71">
            <w:pPr>
              <w:jc w:val="center"/>
            </w:pPr>
            <w:r>
              <w:rPr>
                <w:rFonts w:ascii="Calibri" w:eastAsia="Calibri" w:hAnsi="Calibri" w:cs="Calibri"/>
                <w:b/>
                <w:bCs/>
                <w:color w:val="FFFFFF"/>
              </w:rPr>
              <w:t>Zenoti</w:t>
            </w:r>
          </w:p>
        </w:tc>
        <w:tc>
          <w:tcPr>
            <w:tcW w:w="8100" w:type="dxa"/>
            <w:shd w:val="clear" w:color="auto" w:fill="EFF6FF"/>
            <w:tcMar>
              <w:top w:w="80" w:type="dxa"/>
              <w:left w:w="160" w:type="dxa"/>
              <w:bottom w:w="80" w:type="dxa"/>
              <w:right w:w="120" w:type="dxa"/>
            </w:tcMar>
          </w:tcPr>
          <w:p w14:paraId="43ED6C35" w14:textId="77777777" w:rsidR="000204A6" w:rsidRDefault="00167C71">
            <w:r>
              <w:rPr>
                <w:rFonts w:ascii="Calibri" w:eastAsia="Calibri" w:hAnsi="Calibri" w:cs="Calibri"/>
                <w:color w:val="1E293B"/>
                <w:sz w:val="22"/>
                <w:szCs w:val="22"/>
              </w:rPr>
              <w:t>Zenoti's webhook and event architecture is built for exactly this mode. We emit real-time events into Gold's integration layer; we do not require Gold's to operate within Zenoti's ecosystem. Gold's remains the orchestration layer.</w:t>
            </w:r>
          </w:p>
        </w:tc>
      </w:tr>
    </w:tbl>
    <w:p w14:paraId="39E035A6" w14:textId="77777777" w:rsidR="000204A6" w:rsidRDefault="000204A6">
      <w:pPr>
        <w:pBdr>
          <w:bottom w:val="single" w:sz="6" w:space="1" w:color="00B4D8"/>
        </w:pBdr>
        <w:spacing w:before="200" w:after="200"/>
      </w:pPr>
    </w:p>
    <w:p w14:paraId="697702EF" w14:textId="77777777" w:rsidR="000204A6" w:rsidRDefault="00167C71">
      <w:pPr>
        <w:pStyle w:val="Heading1"/>
        <w:spacing w:before="400" w:after="120"/>
      </w:pPr>
      <w:r>
        <w:rPr>
          <w:rFonts w:ascii="Calibri" w:eastAsia="Calibri" w:hAnsi="Calibri" w:cs="Calibri"/>
          <w:b/>
          <w:bCs/>
          <w:color w:val="1B2A6B"/>
          <w:sz w:val="36"/>
          <w:szCs w:val="36"/>
        </w:rPr>
        <w:t>Section 4 — Foundational Requirements (Appendix C Response)</w:t>
      </w:r>
    </w:p>
    <w:p w14:paraId="15B87EAB" w14:textId="77777777" w:rsidR="000204A6" w:rsidRDefault="00167C71">
      <w:pPr>
        <w:spacing w:before="80" w:after="120"/>
      </w:pPr>
      <w:r>
        <w:rPr>
          <w:rFonts w:ascii="Calibri" w:eastAsia="Calibri" w:hAnsi="Calibri" w:cs="Calibri"/>
          <w:color w:val="1E293B"/>
          <w:sz w:val="22"/>
          <w:szCs w:val="22"/>
        </w:rPr>
        <w:t>Per the instructions in Appendix C, the table below confirms Zenoti's posture on each foundational requirement.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3324"/>
        <w:gridCol w:w="1143"/>
        <w:gridCol w:w="4052"/>
      </w:tblGrid>
      <w:tr w:rsidR="000204A6" w14:paraId="1B298ECC" w14:textId="77777777">
        <w:tc>
          <w:tcPr>
            <w:tcW w:w="800" w:type="dxa"/>
            <w:shd w:val="clear" w:color="auto" w:fill="1B2A6B"/>
            <w:tcMar>
              <w:top w:w="80" w:type="dxa"/>
              <w:left w:w="120" w:type="dxa"/>
              <w:bottom w:w="80" w:type="dxa"/>
              <w:right w:w="120" w:type="dxa"/>
            </w:tcMar>
          </w:tcPr>
          <w:p w14:paraId="61E0128D" w14:textId="77777777" w:rsidR="000204A6" w:rsidRDefault="00167C71">
            <w:r>
              <w:rPr>
                <w:rFonts w:ascii="Calibri" w:eastAsia="Calibri" w:hAnsi="Calibri" w:cs="Calibri"/>
                <w:b/>
                <w:bCs/>
                <w:color w:val="FFFFFF"/>
                <w:sz w:val="19"/>
                <w:szCs w:val="19"/>
              </w:rPr>
              <w:t>#</w:t>
            </w:r>
          </w:p>
        </w:tc>
        <w:tc>
          <w:tcPr>
            <w:tcW w:w="3200" w:type="dxa"/>
            <w:shd w:val="clear" w:color="auto" w:fill="1B2A6B"/>
            <w:tcMar>
              <w:top w:w="80" w:type="dxa"/>
              <w:left w:w="120" w:type="dxa"/>
              <w:bottom w:w="80" w:type="dxa"/>
              <w:right w:w="120" w:type="dxa"/>
            </w:tcMar>
          </w:tcPr>
          <w:p w14:paraId="6C34A068" w14:textId="77777777" w:rsidR="000204A6" w:rsidRDefault="00167C71">
            <w:r>
              <w:rPr>
                <w:rFonts w:ascii="Calibri" w:eastAsia="Calibri" w:hAnsi="Calibri" w:cs="Calibri"/>
                <w:b/>
                <w:bCs/>
                <w:color w:val="FFFFFF"/>
                <w:sz w:val="19"/>
                <w:szCs w:val="19"/>
              </w:rPr>
              <w:t>Requirement</w:t>
            </w:r>
          </w:p>
        </w:tc>
        <w:tc>
          <w:tcPr>
            <w:tcW w:w="1100" w:type="dxa"/>
            <w:shd w:val="clear" w:color="auto" w:fill="1B2A6B"/>
            <w:tcMar>
              <w:top w:w="80" w:type="dxa"/>
              <w:left w:w="120" w:type="dxa"/>
              <w:bottom w:w="80" w:type="dxa"/>
              <w:right w:w="120" w:type="dxa"/>
            </w:tcMar>
          </w:tcPr>
          <w:p w14:paraId="39FAB948" w14:textId="77777777" w:rsidR="000204A6" w:rsidRDefault="00167C71">
            <w:r>
              <w:rPr>
                <w:rFonts w:ascii="Calibri" w:eastAsia="Calibri" w:hAnsi="Calibri" w:cs="Calibri"/>
                <w:b/>
                <w:bCs/>
                <w:color w:val="FFFFFF"/>
                <w:sz w:val="19"/>
                <w:szCs w:val="19"/>
              </w:rPr>
              <w:t>Status</w:t>
            </w:r>
          </w:p>
        </w:tc>
        <w:tc>
          <w:tcPr>
            <w:tcW w:w="3900" w:type="dxa"/>
            <w:shd w:val="clear" w:color="auto" w:fill="1B2A6B"/>
            <w:tcMar>
              <w:top w:w="80" w:type="dxa"/>
              <w:left w:w="120" w:type="dxa"/>
              <w:bottom w:w="80" w:type="dxa"/>
              <w:right w:w="120" w:type="dxa"/>
            </w:tcMar>
          </w:tcPr>
          <w:p w14:paraId="62A2D09A" w14:textId="77777777" w:rsidR="000204A6" w:rsidRDefault="00167C71">
            <w:r>
              <w:rPr>
                <w:rFonts w:ascii="Calibri" w:eastAsia="Calibri" w:hAnsi="Calibri" w:cs="Calibri"/>
                <w:b/>
                <w:bCs/>
                <w:color w:val="FFFFFF"/>
                <w:sz w:val="19"/>
                <w:szCs w:val="19"/>
              </w:rPr>
              <w:t>Notes</w:t>
            </w:r>
          </w:p>
        </w:tc>
      </w:tr>
      <w:tr w:rsidR="000204A6" w14:paraId="357057DA" w14:textId="77777777">
        <w:tc>
          <w:tcPr>
            <w:tcW w:w="800" w:type="dxa"/>
            <w:tcMar>
              <w:top w:w="80" w:type="dxa"/>
              <w:left w:w="120" w:type="dxa"/>
              <w:bottom w:w="80" w:type="dxa"/>
              <w:right w:w="120" w:type="dxa"/>
            </w:tcMar>
          </w:tcPr>
          <w:p w14:paraId="2457DC56" w14:textId="77777777" w:rsidR="000204A6" w:rsidRDefault="00167C71">
            <w:r>
              <w:rPr>
                <w:rFonts w:ascii="Calibri" w:eastAsia="Calibri" w:hAnsi="Calibri" w:cs="Calibri"/>
                <w:b/>
                <w:bCs/>
                <w:color w:val="1B2A6B"/>
              </w:rPr>
              <w:t>4.1</w:t>
            </w:r>
          </w:p>
        </w:tc>
        <w:tc>
          <w:tcPr>
            <w:tcW w:w="3200" w:type="dxa"/>
            <w:tcMar>
              <w:top w:w="80" w:type="dxa"/>
              <w:left w:w="120" w:type="dxa"/>
              <w:bottom w:w="80" w:type="dxa"/>
              <w:right w:w="120" w:type="dxa"/>
            </w:tcMar>
          </w:tcPr>
          <w:p w14:paraId="59AC99DF" w14:textId="77777777" w:rsidR="000204A6" w:rsidRDefault="00167C71">
            <w:r>
              <w:rPr>
                <w:rFonts w:ascii="Calibri" w:eastAsia="Calibri" w:hAnsi="Calibri" w:cs="Calibri"/>
                <w:color w:val="1E293B"/>
              </w:rPr>
              <w:t>Full data ownership (contractual)</w:t>
            </w:r>
          </w:p>
        </w:tc>
        <w:tc>
          <w:tcPr>
            <w:tcW w:w="1100" w:type="dxa"/>
            <w:shd w:val="clear" w:color="auto" w:fill="DCFCE7"/>
            <w:tcMar>
              <w:top w:w="80" w:type="dxa"/>
              <w:left w:w="80" w:type="dxa"/>
              <w:bottom w:w="80" w:type="dxa"/>
              <w:right w:w="80" w:type="dxa"/>
            </w:tcMar>
          </w:tcPr>
          <w:p w14:paraId="4D97D68E"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550ED78E" w14:textId="77777777" w:rsidR="000204A6" w:rsidRDefault="00167C71">
            <w:r>
              <w:rPr>
                <w:rFonts w:ascii="Calibri" w:eastAsia="Calibri" w:hAnsi="Calibri" w:cs="Calibri"/>
                <w:color w:val="475569"/>
                <w:sz w:val="19"/>
                <w:szCs w:val="19"/>
              </w:rPr>
              <w:t>Gold's owns all member data, derived data, schema, and outputs. Zenoti's standard DPA reflects this. We do not co-own, aggregate, or monetize customer data without explicit consent.</w:t>
            </w:r>
          </w:p>
        </w:tc>
      </w:tr>
      <w:tr w:rsidR="000204A6" w14:paraId="03ED99AD" w14:textId="77777777">
        <w:tc>
          <w:tcPr>
            <w:tcW w:w="800" w:type="dxa"/>
            <w:tcMar>
              <w:top w:w="80" w:type="dxa"/>
              <w:left w:w="120" w:type="dxa"/>
              <w:bottom w:w="80" w:type="dxa"/>
              <w:right w:w="120" w:type="dxa"/>
            </w:tcMar>
          </w:tcPr>
          <w:p w14:paraId="31E703F0" w14:textId="77777777" w:rsidR="000204A6" w:rsidRDefault="00167C71">
            <w:r>
              <w:rPr>
                <w:rFonts w:ascii="Calibri" w:eastAsia="Calibri" w:hAnsi="Calibri" w:cs="Calibri"/>
                <w:b/>
                <w:bCs/>
                <w:color w:val="1B2A6B"/>
              </w:rPr>
              <w:t>4.2</w:t>
            </w:r>
          </w:p>
        </w:tc>
        <w:tc>
          <w:tcPr>
            <w:tcW w:w="3200" w:type="dxa"/>
            <w:tcMar>
              <w:top w:w="80" w:type="dxa"/>
              <w:left w:w="120" w:type="dxa"/>
              <w:bottom w:w="80" w:type="dxa"/>
              <w:right w:w="120" w:type="dxa"/>
            </w:tcMar>
          </w:tcPr>
          <w:p w14:paraId="068EDB71" w14:textId="77777777" w:rsidR="000204A6" w:rsidRDefault="00167C71">
            <w:r>
              <w:rPr>
                <w:rFonts w:ascii="Calibri" w:eastAsia="Calibri" w:hAnsi="Calibri" w:cs="Calibri"/>
                <w:color w:val="1E293B"/>
              </w:rPr>
              <w:t>Real-time API access (REST + webhooks)</w:t>
            </w:r>
          </w:p>
        </w:tc>
        <w:tc>
          <w:tcPr>
            <w:tcW w:w="1100" w:type="dxa"/>
            <w:shd w:val="clear" w:color="auto" w:fill="DCFCE7"/>
            <w:tcMar>
              <w:top w:w="80" w:type="dxa"/>
              <w:left w:w="80" w:type="dxa"/>
              <w:bottom w:w="80" w:type="dxa"/>
              <w:right w:w="80" w:type="dxa"/>
            </w:tcMar>
          </w:tcPr>
          <w:p w14:paraId="31853BF1"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5F5967BD" w14:textId="77777777" w:rsidR="000204A6" w:rsidRDefault="00167C71">
            <w:r>
              <w:rPr>
                <w:rFonts w:ascii="Calibri" w:eastAsia="Calibri" w:hAnsi="Calibri" w:cs="Calibri"/>
                <w:color w:val="475569"/>
                <w:sz w:val="19"/>
                <w:szCs w:val="19"/>
              </w:rPr>
              <w:t>REST APIs cover all platform functions. Webhooks fire in real time on member, billing, transaction, access, plan-change, and liability events. Full webhook catalog in Exhibit B. Sandbox available on contract signature.</w:t>
            </w:r>
          </w:p>
        </w:tc>
      </w:tr>
      <w:tr w:rsidR="000204A6" w14:paraId="2828CACB" w14:textId="77777777">
        <w:tc>
          <w:tcPr>
            <w:tcW w:w="800" w:type="dxa"/>
            <w:tcMar>
              <w:top w:w="80" w:type="dxa"/>
              <w:left w:w="120" w:type="dxa"/>
              <w:bottom w:w="80" w:type="dxa"/>
              <w:right w:w="120" w:type="dxa"/>
            </w:tcMar>
          </w:tcPr>
          <w:p w14:paraId="4D2D376C" w14:textId="77777777" w:rsidR="000204A6" w:rsidRDefault="00167C71">
            <w:r>
              <w:rPr>
                <w:rFonts w:ascii="Calibri" w:eastAsia="Calibri" w:hAnsi="Calibri" w:cs="Calibri"/>
                <w:b/>
                <w:bCs/>
                <w:color w:val="1B2A6B"/>
              </w:rPr>
              <w:t>4.3</w:t>
            </w:r>
          </w:p>
        </w:tc>
        <w:tc>
          <w:tcPr>
            <w:tcW w:w="3200" w:type="dxa"/>
            <w:tcMar>
              <w:top w:w="80" w:type="dxa"/>
              <w:left w:w="120" w:type="dxa"/>
              <w:bottom w:w="80" w:type="dxa"/>
              <w:right w:w="120" w:type="dxa"/>
            </w:tcMar>
          </w:tcPr>
          <w:p w14:paraId="5AB3FF34" w14:textId="77777777" w:rsidR="000204A6" w:rsidRDefault="00167C71">
            <w:r>
              <w:rPr>
                <w:rFonts w:ascii="Calibri" w:eastAsia="Calibri" w:hAnsi="Calibri" w:cs="Calibri"/>
                <w:color w:val="1E293B"/>
              </w:rPr>
              <w:t>Multi-location franchise architecture (native)</w:t>
            </w:r>
          </w:p>
        </w:tc>
        <w:tc>
          <w:tcPr>
            <w:tcW w:w="1100" w:type="dxa"/>
            <w:shd w:val="clear" w:color="auto" w:fill="DCFCE7"/>
            <w:tcMar>
              <w:top w:w="80" w:type="dxa"/>
              <w:left w:w="80" w:type="dxa"/>
              <w:bottom w:w="80" w:type="dxa"/>
              <w:right w:w="80" w:type="dxa"/>
            </w:tcMar>
          </w:tcPr>
          <w:p w14:paraId="465246FB"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5D79E3E6" w14:textId="77777777" w:rsidR="000204A6" w:rsidRDefault="00167C71">
            <w:r>
              <w:rPr>
                <w:rFonts w:ascii="Calibri" w:eastAsia="Calibri" w:hAnsi="Calibri" w:cs="Calibri"/>
                <w:color w:val="475569"/>
                <w:sz w:val="19"/>
                <w:szCs w:val="19"/>
              </w:rPr>
              <w:t>Franchise / multi-tenant architecture is foundational to Zenoti's design — not added on. Corporate-vs.-franchisee configuration hierarchy, RBAC, and network reporting are core features deployed at scale across franchise networks.</w:t>
            </w:r>
          </w:p>
        </w:tc>
      </w:tr>
      <w:tr w:rsidR="000204A6" w14:paraId="64B60383" w14:textId="77777777">
        <w:tc>
          <w:tcPr>
            <w:tcW w:w="800" w:type="dxa"/>
            <w:tcMar>
              <w:top w:w="80" w:type="dxa"/>
              <w:left w:w="120" w:type="dxa"/>
              <w:bottom w:w="80" w:type="dxa"/>
              <w:right w:w="120" w:type="dxa"/>
            </w:tcMar>
          </w:tcPr>
          <w:p w14:paraId="3FF8983A" w14:textId="77777777" w:rsidR="000204A6" w:rsidRDefault="00167C71">
            <w:r>
              <w:rPr>
                <w:rFonts w:ascii="Calibri" w:eastAsia="Calibri" w:hAnsi="Calibri" w:cs="Calibri"/>
                <w:b/>
                <w:bCs/>
                <w:color w:val="1B2A6B"/>
              </w:rPr>
              <w:t>4.4</w:t>
            </w:r>
          </w:p>
        </w:tc>
        <w:tc>
          <w:tcPr>
            <w:tcW w:w="3200" w:type="dxa"/>
            <w:tcMar>
              <w:top w:w="80" w:type="dxa"/>
              <w:left w:w="120" w:type="dxa"/>
              <w:bottom w:w="80" w:type="dxa"/>
              <w:right w:w="120" w:type="dxa"/>
            </w:tcMar>
          </w:tcPr>
          <w:p w14:paraId="3EF4B1AD" w14:textId="77777777" w:rsidR="000204A6" w:rsidRDefault="00167C71">
            <w:r>
              <w:rPr>
                <w:rFonts w:ascii="Calibri" w:eastAsia="Calibri" w:hAnsi="Calibri" w:cs="Calibri"/>
                <w:color w:val="1E293B"/>
              </w:rPr>
              <w:t>Documented data export &amp; migration</w:t>
            </w:r>
          </w:p>
        </w:tc>
        <w:tc>
          <w:tcPr>
            <w:tcW w:w="1100" w:type="dxa"/>
            <w:shd w:val="clear" w:color="auto" w:fill="DCFCE7"/>
            <w:tcMar>
              <w:top w:w="80" w:type="dxa"/>
              <w:left w:w="80" w:type="dxa"/>
              <w:bottom w:w="80" w:type="dxa"/>
              <w:right w:w="80" w:type="dxa"/>
            </w:tcMar>
          </w:tcPr>
          <w:p w14:paraId="4C511410"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5D7B77F6" w14:textId="77777777" w:rsidR="000204A6" w:rsidRDefault="00167C71">
            <w:r>
              <w:rPr>
                <w:rFonts w:ascii="Calibri" w:eastAsia="Calibri" w:hAnsi="Calibri" w:cs="Calibri"/>
                <w:color w:val="475569"/>
                <w:sz w:val="19"/>
                <w:szCs w:val="19"/>
              </w:rPr>
              <w:t>Full historical export in CSV, JSON, and Parquet on demand. Schema and ERD available to contracted customers. Zenoti commits to cooperation and migration assistance at termination per our standard SLA terms (Exhibit A).</w:t>
            </w:r>
          </w:p>
        </w:tc>
      </w:tr>
      <w:tr w:rsidR="000204A6" w14:paraId="20FB5B55" w14:textId="77777777">
        <w:tc>
          <w:tcPr>
            <w:tcW w:w="800" w:type="dxa"/>
            <w:tcMar>
              <w:top w:w="80" w:type="dxa"/>
              <w:left w:w="120" w:type="dxa"/>
              <w:bottom w:w="80" w:type="dxa"/>
              <w:right w:w="120" w:type="dxa"/>
            </w:tcMar>
          </w:tcPr>
          <w:p w14:paraId="35B1AF0D" w14:textId="77777777" w:rsidR="000204A6" w:rsidRDefault="00167C71">
            <w:r>
              <w:rPr>
                <w:rFonts w:ascii="Calibri" w:eastAsia="Calibri" w:hAnsi="Calibri" w:cs="Calibri"/>
                <w:b/>
                <w:bCs/>
                <w:color w:val="1B2A6B"/>
              </w:rPr>
              <w:t>4.5</w:t>
            </w:r>
          </w:p>
        </w:tc>
        <w:tc>
          <w:tcPr>
            <w:tcW w:w="3200" w:type="dxa"/>
            <w:tcMar>
              <w:top w:w="80" w:type="dxa"/>
              <w:left w:w="120" w:type="dxa"/>
              <w:bottom w:w="80" w:type="dxa"/>
              <w:right w:w="120" w:type="dxa"/>
            </w:tcMar>
          </w:tcPr>
          <w:p w14:paraId="7C95663A" w14:textId="77777777" w:rsidR="000204A6" w:rsidRDefault="00167C71">
            <w:r>
              <w:rPr>
                <w:rFonts w:ascii="Calibri" w:eastAsia="Calibri" w:hAnsi="Calibri" w:cs="Calibri"/>
                <w:color w:val="1E293B"/>
              </w:rPr>
              <w:t>U.S. market support</w:t>
            </w:r>
          </w:p>
        </w:tc>
        <w:tc>
          <w:tcPr>
            <w:tcW w:w="1100" w:type="dxa"/>
            <w:shd w:val="clear" w:color="auto" w:fill="DCFCE7"/>
            <w:tcMar>
              <w:top w:w="80" w:type="dxa"/>
              <w:left w:w="80" w:type="dxa"/>
              <w:bottom w:w="80" w:type="dxa"/>
              <w:right w:w="80" w:type="dxa"/>
            </w:tcMar>
          </w:tcPr>
          <w:p w14:paraId="0A7FBD7A"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6194B547" w14:textId="77777777" w:rsidR="000204A6" w:rsidRDefault="00167C71">
            <w:r>
              <w:rPr>
                <w:rFonts w:ascii="Calibri" w:eastAsia="Calibri" w:hAnsi="Calibri" w:cs="Calibri"/>
                <w:color w:val="475569"/>
                <w:sz w:val="19"/>
                <w:szCs w:val="19"/>
              </w:rPr>
              <w:t>U.S. East (N. Virginia) is Zenoti's primary AWS region. PCI-DSS, SOC 1, SOC 2 Type 2, CCPA, and HIPAA assessment completed — all with no exceptions. See trust.zenoti.com and Exhibit B.</w:t>
            </w:r>
          </w:p>
        </w:tc>
      </w:tr>
      <w:tr w:rsidR="000204A6" w14:paraId="6D0E0225" w14:textId="77777777">
        <w:tc>
          <w:tcPr>
            <w:tcW w:w="800" w:type="dxa"/>
            <w:tcMar>
              <w:top w:w="80" w:type="dxa"/>
              <w:left w:w="120" w:type="dxa"/>
              <w:bottom w:w="80" w:type="dxa"/>
              <w:right w:w="120" w:type="dxa"/>
            </w:tcMar>
          </w:tcPr>
          <w:p w14:paraId="65EB8CFD" w14:textId="77777777" w:rsidR="000204A6" w:rsidRDefault="00167C71">
            <w:r>
              <w:rPr>
                <w:rFonts w:ascii="Calibri" w:eastAsia="Calibri" w:hAnsi="Calibri" w:cs="Calibri"/>
                <w:b/>
                <w:bCs/>
                <w:color w:val="1B2A6B"/>
              </w:rPr>
              <w:t>4.6</w:t>
            </w:r>
          </w:p>
        </w:tc>
        <w:tc>
          <w:tcPr>
            <w:tcW w:w="3200" w:type="dxa"/>
            <w:tcMar>
              <w:top w:w="80" w:type="dxa"/>
              <w:left w:w="120" w:type="dxa"/>
              <w:bottom w:w="80" w:type="dxa"/>
              <w:right w:w="120" w:type="dxa"/>
            </w:tcMar>
          </w:tcPr>
          <w:p w14:paraId="188CC032" w14:textId="77777777" w:rsidR="000204A6" w:rsidRDefault="00167C71">
            <w:r>
              <w:rPr>
                <w:rFonts w:ascii="Calibri" w:eastAsia="Calibri" w:hAnsi="Calibri" w:cs="Calibri"/>
                <w:color w:val="1E293B"/>
              </w:rPr>
              <w:t>POS / retail integrated or tightly coupled</w:t>
            </w:r>
          </w:p>
        </w:tc>
        <w:tc>
          <w:tcPr>
            <w:tcW w:w="1100" w:type="dxa"/>
            <w:shd w:val="clear" w:color="auto" w:fill="DCFCE7"/>
            <w:tcMar>
              <w:top w:w="80" w:type="dxa"/>
              <w:left w:w="80" w:type="dxa"/>
              <w:bottom w:w="80" w:type="dxa"/>
              <w:right w:w="80" w:type="dxa"/>
            </w:tcMar>
          </w:tcPr>
          <w:p w14:paraId="6AB6026C"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6387D547" w14:textId="77777777" w:rsidR="000204A6" w:rsidRDefault="00167C71">
            <w:r>
              <w:rPr>
                <w:rFonts w:ascii="Calibri" w:eastAsia="Calibri" w:hAnsi="Calibri" w:cs="Calibri"/>
                <w:color w:val="475569"/>
                <w:sz w:val="19"/>
                <w:szCs w:val="19"/>
              </w:rPr>
              <w:t>Retail POS is natively integrated into Zenoti — not a separate module. Member transactions and retail sales share a single member account of truth.</w:t>
            </w:r>
          </w:p>
        </w:tc>
      </w:tr>
      <w:tr w:rsidR="000204A6" w14:paraId="0425EAA4" w14:textId="77777777">
        <w:tc>
          <w:tcPr>
            <w:tcW w:w="800" w:type="dxa"/>
            <w:tcMar>
              <w:top w:w="80" w:type="dxa"/>
              <w:left w:w="120" w:type="dxa"/>
              <w:bottom w:w="80" w:type="dxa"/>
              <w:right w:w="120" w:type="dxa"/>
            </w:tcMar>
          </w:tcPr>
          <w:p w14:paraId="4D754139" w14:textId="77777777" w:rsidR="000204A6" w:rsidRDefault="00167C71">
            <w:r>
              <w:rPr>
                <w:rFonts w:ascii="Calibri" w:eastAsia="Calibri" w:hAnsi="Calibri" w:cs="Calibri"/>
                <w:b/>
                <w:bCs/>
                <w:color w:val="1B2A6B"/>
              </w:rPr>
              <w:t>4.7</w:t>
            </w:r>
          </w:p>
        </w:tc>
        <w:tc>
          <w:tcPr>
            <w:tcW w:w="3200" w:type="dxa"/>
            <w:tcMar>
              <w:top w:w="80" w:type="dxa"/>
              <w:left w:w="120" w:type="dxa"/>
              <w:bottom w:w="80" w:type="dxa"/>
              <w:right w:w="120" w:type="dxa"/>
            </w:tcMar>
          </w:tcPr>
          <w:p w14:paraId="2654043F" w14:textId="77777777" w:rsidR="000204A6" w:rsidRDefault="00167C71">
            <w:r>
              <w:rPr>
                <w:rFonts w:ascii="Calibri" w:eastAsia="Calibri" w:hAnsi="Calibri" w:cs="Calibri"/>
                <w:color w:val="1E293B"/>
              </w:rPr>
              <w:t>Open ecosystem / headless compatibility</w:t>
            </w:r>
          </w:p>
        </w:tc>
        <w:tc>
          <w:tcPr>
            <w:tcW w:w="1100" w:type="dxa"/>
            <w:shd w:val="clear" w:color="auto" w:fill="DCFCE7"/>
            <w:tcMar>
              <w:top w:w="80" w:type="dxa"/>
              <w:left w:w="80" w:type="dxa"/>
              <w:bottom w:w="80" w:type="dxa"/>
              <w:right w:w="80" w:type="dxa"/>
            </w:tcMar>
          </w:tcPr>
          <w:p w14:paraId="0033A4E1"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584903DC" w14:textId="77777777" w:rsidR="000204A6" w:rsidRDefault="00167C71">
            <w:r>
              <w:rPr>
                <w:rFonts w:ascii="Calibri" w:eastAsia="Calibri" w:hAnsi="Calibri" w:cs="Calibri"/>
                <w:color w:val="475569"/>
                <w:sz w:val="19"/>
                <w:szCs w:val="19"/>
              </w:rPr>
              <w:t>Zenoti supports fully headless operation. Gold's can own the entire member-facing experience via APIs, with Zenoti as the transaction engine only. No commercial penalty for third-party tools.</w:t>
            </w:r>
          </w:p>
        </w:tc>
      </w:tr>
      <w:tr w:rsidR="000204A6" w14:paraId="4D8BB50A" w14:textId="77777777">
        <w:tc>
          <w:tcPr>
            <w:tcW w:w="800" w:type="dxa"/>
            <w:tcMar>
              <w:top w:w="80" w:type="dxa"/>
              <w:left w:w="120" w:type="dxa"/>
              <w:bottom w:w="80" w:type="dxa"/>
              <w:right w:w="120" w:type="dxa"/>
            </w:tcMar>
          </w:tcPr>
          <w:p w14:paraId="3DA73DAA" w14:textId="77777777" w:rsidR="000204A6" w:rsidRDefault="00167C71">
            <w:r>
              <w:rPr>
                <w:rFonts w:ascii="Calibri" w:eastAsia="Calibri" w:hAnsi="Calibri" w:cs="Calibri"/>
                <w:b/>
                <w:bCs/>
                <w:color w:val="1B2A6B"/>
              </w:rPr>
              <w:t>4.8</w:t>
            </w:r>
          </w:p>
        </w:tc>
        <w:tc>
          <w:tcPr>
            <w:tcW w:w="3200" w:type="dxa"/>
            <w:tcMar>
              <w:top w:w="80" w:type="dxa"/>
              <w:left w:w="120" w:type="dxa"/>
              <w:bottom w:w="80" w:type="dxa"/>
              <w:right w:w="120" w:type="dxa"/>
            </w:tcMar>
          </w:tcPr>
          <w:p w14:paraId="53F5836A" w14:textId="77777777" w:rsidR="000204A6" w:rsidRDefault="00167C71">
            <w:r>
              <w:rPr>
                <w:rFonts w:ascii="Calibri" w:eastAsia="Calibri" w:hAnsi="Calibri" w:cs="Calibri"/>
                <w:color w:val="1E293B"/>
              </w:rPr>
              <w:t>Product continuity &amp; no forced migration</w:t>
            </w:r>
          </w:p>
        </w:tc>
        <w:tc>
          <w:tcPr>
            <w:tcW w:w="1100" w:type="dxa"/>
            <w:shd w:val="clear" w:color="auto" w:fill="DCFCE7"/>
            <w:tcMar>
              <w:top w:w="80" w:type="dxa"/>
              <w:left w:w="80" w:type="dxa"/>
              <w:bottom w:w="80" w:type="dxa"/>
              <w:right w:w="80" w:type="dxa"/>
            </w:tcMar>
          </w:tcPr>
          <w:p w14:paraId="0CBF5F7D" w14:textId="77777777" w:rsidR="000204A6" w:rsidRDefault="00167C71">
            <w:pPr>
              <w:jc w:val="center"/>
            </w:pPr>
            <w:r>
              <w:rPr>
                <w:rFonts w:ascii="Calibri" w:eastAsia="Calibri" w:hAnsi="Calibri" w:cs="Calibri"/>
                <w:b/>
                <w:bCs/>
                <w:color w:val="166534"/>
              </w:rPr>
              <w:t>Yes</w:t>
            </w:r>
          </w:p>
        </w:tc>
        <w:tc>
          <w:tcPr>
            <w:tcW w:w="3900" w:type="dxa"/>
            <w:tcMar>
              <w:top w:w="80" w:type="dxa"/>
              <w:left w:w="120" w:type="dxa"/>
              <w:bottom w:w="80" w:type="dxa"/>
              <w:right w:w="120" w:type="dxa"/>
            </w:tcMar>
          </w:tcPr>
          <w:p w14:paraId="24BEFA0E" w14:textId="77777777" w:rsidR="000204A6" w:rsidRDefault="00167C71">
            <w:r>
              <w:rPr>
                <w:rFonts w:ascii="Calibri" w:eastAsia="Calibri" w:hAnsi="Calibri" w:cs="Calibri"/>
                <w:color w:val="475569"/>
                <w:sz w:val="19"/>
                <w:szCs w:val="19"/>
              </w:rPr>
              <w:t>The product proposed to Gold's is Zenoti's primary, actively invested platform. No sunset or platform consolidation planned. Zenoti commits to the contractual protections in §15.7.</w:t>
            </w:r>
          </w:p>
        </w:tc>
      </w:tr>
    </w:tbl>
    <w:p w14:paraId="03AD2531" w14:textId="77777777" w:rsidR="000204A6" w:rsidRDefault="000204A6">
      <w:pPr>
        <w:pBdr>
          <w:bottom w:val="single" w:sz="6" w:space="1" w:color="00B4D8"/>
        </w:pBdr>
        <w:spacing w:before="200" w:after="200"/>
      </w:pPr>
    </w:p>
    <w:p w14:paraId="24787323" w14:textId="77777777" w:rsidR="000204A6" w:rsidRDefault="00167C71">
      <w:pPr>
        <w:pStyle w:val="Heading1"/>
        <w:spacing w:before="400" w:after="120"/>
      </w:pPr>
      <w:r>
        <w:rPr>
          <w:rFonts w:ascii="Calibri" w:eastAsia="Calibri" w:hAnsi="Calibri" w:cs="Calibri"/>
          <w:b/>
          <w:bCs/>
          <w:color w:val="1B2A6B"/>
          <w:sz w:val="36"/>
          <w:szCs w:val="36"/>
        </w:rPr>
        <w:t>Section 5 — Functional Capabilities</w:t>
      </w:r>
    </w:p>
    <w:p w14:paraId="3BE5D13E" w14:textId="77777777" w:rsidR="000204A6" w:rsidRDefault="00167C71">
      <w:pPr>
        <w:spacing w:before="80" w:after="120"/>
      </w:pPr>
      <w:r>
        <w:rPr>
          <w:rFonts w:ascii="Calibri" w:eastAsia="Calibri" w:hAnsi="Calibri" w:cs="Calibri"/>
          <w:color w:val="1E293B"/>
          <w:sz w:val="22"/>
          <w:szCs w:val="22"/>
        </w:rPr>
        <w:t>Detailed responses to each workbook tab are provided in the accompanying RFI Response Workbook. This section provides a narrative overview of core areas most critical to Gold's initiative.</w:t>
      </w:r>
    </w:p>
    <w:p w14:paraId="7A9914F5" w14:textId="77777777" w:rsidR="000204A6" w:rsidRDefault="00167C71">
      <w:pPr>
        <w:pStyle w:val="Heading2"/>
        <w:spacing w:before="400" w:after="120"/>
      </w:pPr>
      <w:r>
        <w:rPr>
          <w:rFonts w:ascii="Calibri" w:eastAsia="Calibri" w:hAnsi="Calibri" w:cs="Calibri"/>
          <w:b/>
          <w:bCs/>
          <w:color w:val="1B2A6B"/>
          <w:sz w:val="28"/>
          <w:szCs w:val="28"/>
        </w:rPr>
        <w:t>5.1 Member Lifecycle</w:t>
      </w:r>
    </w:p>
    <w:p w14:paraId="5DC5E83F" w14:textId="77777777" w:rsidR="000204A6" w:rsidRDefault="00167C71">
      <w:pPr>
        <w:spacing w:before="80" w:after="120"/>
      </w:pPr>
      <w:r>
        <w:rPr>
          <w:rFonts w:ascii="Calibri" w:eastAsia="Calibri" w:hAnsi="Calibri" w:cs="Calibri"/>
          <w:color w:val="1E293B"/>
          <w:sz w:val="22"/>
          <w:szCs w:val="22"/>
        </w:rPr>
        <w:t>Zenoti manages the complete member lifecycle natively — join, onboarding, plan assignment, freeze/pause, cancellation, and win-back. Online join is same-day with a configurable digital welcome sequence. Membership agreements are digitally signed, stored, and retrievable on demand. Freeze and cancellation workflows are fully configurable by corporate with franchisee-level overrides permitted within defined bounds.</w:t>
      </w:r>
    </w:p>
    <w:p w14:paraId="0C6BB2CC" w14:textId="77777777" w:rsidR="000204A6" w:rsidRDefault="00167C71">
      <w:pPr>
        <w:pStyle w:val="Heading2"/>
        <w:spacing w:before="400" w:after="120"/>
      </w:pPr>
      <w:r>
        <w:rPr>
          <w:rFonts w:ascii="Calibri" w:eastAsia="Calibri" w:hAnsi="Calibri" w:cs="Calibri"/>
          <w:b/>
          <w:bCs/>
          <w:color w:val="1B2A6B"/>
          <w:sz w:val="28"/>
          <w:szCs w:val="28"/>
        </w:rPr>
        <w:t>5.2 Membership Plans &amp; Pricing</w:t>
      </w:r>
    </w:p>
    <w:p w14:paraId="1AB703E5" w14:textId="77777777" w:rsidR="000204A6" w:rsidRDefault="00167C71">
      <w:pPr>
        <w:spacing w:before="80" w:after="120"/>
      </w:pPr>
      <w:r>
        <w:rPr>
          <w:rFonts w:ascii="Calibri" w:eastAsia="Calibri" w:hAnsi="Calibri" w:cs="Calibri"/>
          <w:color w:val="1E293B"/>
          <w:sz w:val="22"/>
          <w:szCs w:val="22"/>
        </w:rPr>
        <w:t>Zenoti's plan and pricing engine supports tiered memberships, promotional rate-locking, freeze fees, upgrade/downgrade pricing, and multi-location access tiers. Corporate defines brand-standard plan templates; franchisees configure within approved ranges. Price changes are versioned and auditable.</w:t>
      </w:r>
    </w:p>
    <w:p w14:paraId="7A1D1C1D" w14:textId="77777777" w:rsidR="000204A6" w:rsidRDefault="00167C71">
      <w:pPr>
        <w:pStyle w:val="Heading2"/>
        <w:spacing w:before="400" w:after="120"/>
      </w:pPr>
      <w:r>
        <w:rPr>
          <w:rFonts w:ascii="Calibri" w:eastAsia="Calibri" w:hAnsi="Calibri" w:cs="Calibri"/>
          <w:b/>
          <w:bCs/>
          <w:color w:val="1B2A6B"/>
          <w:sz w:val="28"/>
          <w:szCs w:val="28"/>
        </w:rPr>
        <w:t>5.3 Billing &amp; Collections</w:t>
      </w:r>
    </w:p>
    <w:p w14:paraId="49CC8004" w14:textId="77777777" w:rsidR="000204A6" w:rsidRDefault="00167C71">
      <w:pPr>
        <w:spacing w:before="80" w:after="120"/>
      </w:pPr>
      <w:r>
        <w:rPr>
          <w:rFonts w:ascii="Calibri" w:eastAsia="Calibri" w:hAnsi="Calibri" w:cs="Calibri"/>
          <w:color w:val="1E293B"/>
          <w:sz w:val="22"/>
          <w:szCs w:val="22"/>
        </w:rPr>
        <w:t>Zenoti's billing engine supports ACH and card payments (via Adyen, Stripe, and others — see Exhibit B), configurable dunning sequences, automated retry logic, chargeback management, and settlement reporting. Payment tokenization is handled via PCI-DSS-compliant processor integration. Gold's retains tokens on its own processor relationship, not Zenoti's.</w:t>
      </w:r>
    </w:p>
    <w:p w14:paraId="4558007B" w14:textId="77777777" w:rsidR="000204A6" w:rsidRDefault="00167C71">
      <w:pPr>
        <w:pStyle w:val="Heading2"/>
        <w:spacing w:before="400" w:after="120"/>
      </w:pPr>
      <w:r>
        <w:rPr>
          <w:rFonts w:ascii="Calibri" w:eastAsia="Calibri" w:hAnsi="Calibri" w:cs="Calibri"/>
          <w:b/>
          <w:bCs/>
          <w:color w:val="1B2A6B"/>
          <w:sz w:val="28"/>
          <w:szCs w:val="28"/>
        </w:rPr>
        <w:t>5.4 Check-in &amp; Access Control</w:t>
      </w:r>
    </w:p>
    <w:p w14:paraId="5C173F28" w14:textId="77777777" w:rsidR="000204A6" w:rsidRDefault="00167C71">
      <w:pPr>
        <w:spacing w:before="80" w:after="120"/>
      </w:pPr>
      <w:r>
        <w:rPr>
          <w:rFonts w:ascii="Calibri" w:eastAsia="Calibri" w:hAnsi="Calibri" w:cs="Calibri"/>
          <w:color w:val="1E293B"/>
          <w:sz w:val="22"/>
          <w:szCs w:val="22"/>
        </w:rPr>
        <w:t>Zenoti supports gate/kiosk integration via API and device protocol. Check-in is real-time, with entitlement validated against the live member record. Multi-location access tiers and travel pass entitlements are checked and logged at each location. Offline check-in fallback is supported with resync on reconnection.</w:t>
      </w:r>
    </w:p>
    <w:p w14:paraId="02DEBE85" w14:textId="77777777" w:rsidR="000204A6" w:rsidRDefault="00167C71">
      <w:pPr>
        <w:pStyle w:val="Heading2"/>
        <w:spacing w:before="400" w:after="120"/>
      </w:pPr>
      <w:r>
        <w:rPr>
          <w:rFonts w:ascii="Calibri" w:eastAsia="Calibri" w:hAnsi="Calibri" w:cs="Calibri"/>
          <w:b/>
          <w:bCs/>
          <w:color w:val="1B2A6B"/>
          <w:sz w:val="28"/>
          <w:szCs w:val="28"/>
        </w:rPr>
        <w:t>5.5 Travel Pass / Multi-Location Usage</w:t>
      </w:r>
    </w:p>
    <w:p w14:paraId="363FB7C1" w14:textId="77777777" w:rsidR="000204A6" w:rsidRDefault="00167C71">
      <w:pPr>
        <w:spacing w:before="80" w:after="120"/>
      </w:pPr>
      <w:r>
        <w:rPr>
          <w:rFonts w:ascii="Calibri" w:eastAsia="Calibri" w:hAnsi="Calibri" w:cs="Calibri"/>
          <w:color w:val="1E293B"/>
          <w:sz w:val="22"/>
          <w:szCs w:val="22"/>
        </w:rPr>
        <w:t>Travel pass management is fully digital in Zenoti. Members are credentialed for cross-location access at the plan level; check-in events at any location are logged in real time against the member record. Settlement between franchise locations is handled natively — no paper-based reconciliation required.</w:t>
      </w:r>
    </w:p>
    <w:p w14:paraId="45792CE0" w14:textId="77777777" w:rsidR="000204A6" w:rsidRDefault="00167C71">
      <w:pPr>
        <w:pStyle w:val="Heading2"/>
        <w:spacing w:before="400" w:after="120"/>
      </w:pPr>
      <w:r>
        <w:rPr>
          <w:rFonts w:ascii="Calibri" w:eastAsia="Calibri" w:hAnsi="Calibri" w:cs="Calibri"/>
          <w:b/>
          <w:bCs/>
          <w:color w:val="1B2A6B"/>
          <w:sz w:val="28"/>
          <w:szCs w:val="28"/>
        </w:rPr>
        <w:t>5.6 POS / Retail</w:t>
      </w:r>
    </w:p>
    <w:p w14:paraId="54BB5BF9" w14:textId="77777777" w:rsidR="000204A6" w:rsidRDefault="00167C71">
      <w:pPr>
        <w:spacing w:before="80" w:after="120"/>
      </w:pPr>
      <w:r>
        <w:rPr>
          <w:rFonts w:ascii="Calibri" w:eastAsia="Calibri" w:hAnsi="Calibri" w:cs="Calibri"/>
          <w:color w:val="1E293B"/>
          <w:sz w:val="22"/>
          <w:szCs w:val="22"/>
        </w:rPr>
        <w:t>Zenoti's integrated POS handles retail product sales, service add-ons, gift cards, and commissions. Every retail transaction is linked to the member account. Location-level daily retail reports roll up to franchisee scorecards and corporate dashboards. Inventory management is included natively.</w:t>
      </w:r>
    </w:p>
    <w:p w14:paraId="32C44E0D" w14:textId="77777777" w:rsidR="000204A6" w:rsidRDefault="00167C71">
      <w:pPr>
        <w:pStyle w:val="Heading2"/>
        <w:spacing w:before="400" w:after="120"/>
      </w:pPr>
      <w:r>
        <w:rPr>
          <w:rFonts w:ascii="Calibri" w:eastAsia="Calibri" w:hAnsi="Calibri" w:cs="Calibri"/>
          <w:b/>
          <w:bCs/>
          <w:color w:val="1B2A6B"/>
          <w:sz w:val="28"/>
          <w:szCs w:val="28"/>
        </w:rPr>
        <w:t>5.7 Reporting &amp; Operational Analytics</w:t>
      </w:r>
    </w:p>
    <w:p w14:paraId="2FF32676" w14:textId="77777777" w:rsidR="000204A6" w:rsidRDefault="00167C71">
      <w:pPr>
        <w:spacing w:before="80" w:after="120"/>
      </w:pPr>
      <w:r>
        <w:rPr>
          <w:rFonts w:ascii="Calibri" w:eastAsia="Calibri" w:hAnsi="Calibri" w:cs="Calibri"/>
          <w:color w:val="1E293B"/>
          <w:sz w:val="22"/>
          <w:szCs w:val="22"/>
        </w:rPr>
        <w:t>Zenoti provides 30+ standard operational reports covering member lifecycle, revenue, billing performance, check-in activity, PT utilization, and retail. Franchisee scorecards are configurable by corporate. All analytics data is simultaneously exposed via API and webhook for feed into Gold's unified data layer.</w:t>
      </w:r>
    </w:p>
    <w:p w14:paraId="1E173943" w14:textId="77777777" w:rsidR="000204A6" w:rsidRDefault="00167C71">
      <w:pPr>
        <w:pStyle w:val="Heading2"/>
        <w:spacing w:before="400" w:after="120"/>
      </w:pPr>
      <w:r>
        <w:rPr>
          <w:rFonts w:ascii="Calibri" w:eastAsia="Calibri" w:hAnsi="Calibri" w:cs="Calibri"/>
          <w:b/>
          <w:bCs/>
          <w:color w:val="1B2A6B"/>
          <w:sz w:val="28"/>
          <w:szCs w:val="28"/>
        </w:rPr>
        <w:t>5.8 Member Communications (Transactional)</w:t>
      </w:r>
    </w:p>
    <w:p w14:paraId="7BFC823F" w14:textId="77777777" w:rsidR="000204A6" w:rsidRDefault="00167C71">
      <w:pPr>
        <w:spacing w:before="80" w:after="120"/>
      </w:pPr>
      <w:r>
        <w:rPr>
          <w:rFonts w:ascii="Calibri" w:eastAsia="Calibri" w:hAnsi="Calibri" w:cs="Calibri"/>
          <w:color w:val="1E293B"/>
          <w:sz w:val="22"/>
          <w:szCs w:val="22"/>
        </w:rPr>
        <w:t>Zenoti sends 200M+ messages per month via Twilio (SMS) and SendGrid (email). Multi-channel support covers text, email, and push. Two-way text confirmation is supported. Opt-in compliance with TCPA and other mandatory regulations is built into the platform. All transactional communications are fully brandable.</w:t>
      </w:r>
    </w:p>
    <w:p w14:paraId="211DB2F5" w14:textId="77777777" w:rsidR="000204A6" w:rsidRDefault="00167C71">
      <w:pPr>
        <w:pStyle w:val="Heading2"/>
        <w:spacing w:before="400" w:after="120"/>
      </w:pPr>
      <w:r>
        <w:rPr>
          <w:rFonts w:ascii="Calibri" w:eastAsia="Calibri" w:hAnsi="Calibri" w:cs="Calibri"/>
          <w:b/>
          <w:bCs/>
          <w:color w:val="1B2A6B"/>
          <w:sz w:val="28"/>
          <w:szCs w:val="28"/>
        </w:rPr>
        <w:t>5.9–5.14 Additional Functional Areas</w:t>
      </w:r>
    </w:p>
    <w:p w14:paraId="0B673574" w14:textId="77777777" w:rsidR="000204A6" w:rsidRDefault="00167C71">
      <w:pPr>
        <w:spacing w:before="80" w:after="120"/>
      </w:pPr>
      <w:r>
        <w:rPr>
          <w:rFonts w:ascii="Calibri" w:eastAsia="Calibri" w:hAnsi="Calibri" w:cs="Calibri"/>
          <w:color w:val="1E293B"/>
          <w:sz w:val="22"/>
          <w:szCs w:val="22"/>
        </w:rPr>
        <w:t>Detailed workbook responses cover: CRM capabilities and HubSpot/Salesforce integration posture (5.9), member mobile app API layer (5.10), platform consistency &amp; cross-location standardization (5.11), corporate B2B and emerging revenue models (5.12), workforce and PT management (5.13), and scheduling, booking, and program access (5.14).</w:t>
      </w:r>
    </w:p>
    <w:p w14:paraId="117A4B75" w14:textId="77777777" w:rsidR="000204A6" w:rsidRDefault="000204A6">
      <w:pPr>
        <w:pBdr>
          <w:bottom w:val="single" w:sz="6" w:space="1" w:color="00B4D8"/>
        </w:pBdr>
        <w:spacing w:before="200" w:after="200"/>
      </w:pPr>
    </w:p>
    <w:p w14:paraId="1BAD7058" w14:textId="77777777" w:rsidR="000204A6" w:rsidRDefault="00167C71">
      <w:pPr>
        <w:pStyle w:val="Heading1"/>
        <w:spacing w:before="400" w:after="120"/>
      </w:pPr>
      <w:r>
        <w:rPr>
          <w:rFonts w:ascii="Calibri" w:eastAsia="Calibri" w:hAnsi="Calibri" w:cs="Calibri"/>
          <w:b/>
          <w:bCs/>
          <w:color w:val="1B2A6B"/>
          <w:sz w:val="36"/>
          <w:szCs w:val="36"/>
        </w:rPr>
        <w:t>Section 6 — Technical, API &amp; Integration</w:t>
      </w:r>
    </w:p>
    <w:p w14:paraId="67BB9338" w14:textId="77777777" w:rsidR="000204A6" w:rsidRDefault="00167C71">
      <w:pPr>
        <w:pStyle w:val="Heading2"/>
        <w:spacing w:before="400" w:after="120"/>
      </w:pPr>
      <w:r>
        <w:rPr>
          <w:rFonts w:ascii="Calibri" w:eastAsia="Calibri" w:hAnsi="Calibri" w:cs="Calibri"/>
          <w:b/>
          <w:bCs/>
          <w:color w:val="1B2A6B"/>
          <w:sz w:val="28"/>
          <w:szCs w:val="28"/>
        </w:rPr>
        <w:t>6.1 API Architecture</w:t>
      </w:r>
    </w:p>
    <w:p w14:paraId="220BAE7A" w14:textId="77777777" w:rsidR="000204A6" w:rsidRDefault="00167C71">
      <w:pPr>
        <w:spacing w:before="80" w:after="120"/>
      </w:pPr>
      <w:r>
        <w:rPr>
          <w:rFonts w:ascii="Calibri" w:eastAsia="Calibri" w:hAnsi="Calibri" w:cs="Calibri"/>
          <w:color w:val="1E293B"/>
          <w:sz w:val="22"/>
          <w:szCs w:val="22"/>
        </w:rPr>
        <w:t>Zenoti's API architecture is REST-first, with webhooks for event-driven synchronization. All API documentation is publicly available at docs.zenoti.com, built using Readme with wizard-style recipes for integration adoption. Key characteristics:</w:t>
      </w:r>
    </w:p>
    <w:p w14:paraId="35313DB6"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REST APIs cover all member management, billing, check-in, POS, reporting, and configuration functions. Six primary coverage areas: Organization &amp; Center, Guests, Billing Operations, Employees, Classes, and Inventory (see Exhibit B, API Coverage slide).</w:t>
      </w:r>
    </w:p>
    <w:p w14:paraId="3D193C38"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Webhooks fire in real time across six event domains: Appointments, Guests, Billing Operations, Employees, Classes, and Liability Instruments (memberships, packages, gift cards). Full catalog in Exhibit B. No polling required for any standard integration.</w:t>
      </w:r>
    </w:p>
    <w:p w14:paraId="0C2806AA"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Rate limits are documented per endpoint tier. Versioning policy: API versions supported for a minimum of 24 months with advance deprecation notice. No silent breaking changes.</w:t>
      </w:r>
    </w:p>
    <w:p w14:paraId="769464D2"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Sandbox / staging environment: available to Gold's on NDA execution, independent of production. Full end-to-end regression testing supported.</w:t>
      </w:r>
    </w:p>
    <w:p w14:paraId="35ECCDEA"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Extensibility: Zapier integration enables no-code workflow automation between Zenoti and thousands of third-party apps including HubSpot and ActiveCampaign (Exhibit B).</w:t>
      </w:r>
    </w:p>
    <w:p w14:paraId="58A46D23" w14:textId="77777777" w:rsidR="000204A6" w:rsidRDefault="00167C71">
      <w:pPr>
        <w:spacing w:before="80" w:after="120"/>
      </w:pPr>
      <w:r>
        <w:rPr>
          <w:rFonts w:ascii="Calibri" w:eastAsia="Calibri" w:hAnsi="Calibri" w:cs="Calibri"/>
          <w:color w:val="1E293B"/>
          <w:sz w:val="22"/>
          <w:szCs w:val="22"/>
        </w:rPr>
        <w:t>API latency: Zenoti targets sub-second response times for standard member and billing API calls. Performance criteria are validated at each release milestone as part of the production release gate (100% performance pass required — Exhibit B, Release Process slide).</w:t>
      </w:r>
    </w:p>
    <w:p w14:paraId="36FBBD78" w14:textId="77777777" w:rsidR="000204A6" w:rsidRDefault="00167C71">
      <w:pPr>
        <w:pStyle w:val="Heading2"/>
        <w:spacing w:before="400" w:after="120"/>
      </w:pPr>
      <w:r>
        <w:rPr>
          <w:rFonts w:ascii="Calibri" w:eastAsia="Calibri" w:hAnsi="Calibri" w:cs="Calibri"/>
          <w:b/>
          <w:bCs/>
          <w:color w:val="1B2A6B"/>
          <w:sz w:val="28"/>
          <w:szCs w:val="28"/>
        </w:rPr>
        <w:t>6.2 Data Ownership &amp; Portability</w:t>
      </w:r>
    </w:p>
    <w:p w14:paraId="72A071B1" w14:textId="77777777" w:rsidR="000204A6" w:rsidRDefault="00167C71">
      <w:pPr>
        <w:spacing w:before="80" w:after="120"/>
      </w:pPr>
      <w:r>
        <w:rPr>
          <w:rFonts w:ascii="Calibri" w:eastAsia="Calibri" w:hAnsi="Calibri" w:cs="Calibri"/>
          <w:color w:val="1E293B"/>
          <w:sz w:val="22"/>
          <w:szCs w:val="22"/>
        </w:rPr>
        <w:t>Gold's owns all data. Zenoti's DPA confirms this contractually. Export formats: CSV, JSON, Parquet — on demand, full historical, including custom attributes. At termination for any reason, Zenoti delivers all data within an agreed window and cooperates with the successor system migration.</w:t>
      </w:r>
    </w:p>
    <w:p w14:paraId="10368FFC" w14:textId="77777777" w:rsidR="000204A6" w:rsidRDefault="00167C71">
      <w:pPr>
        <w:pStyle w:val="Heading2"/>
        <w:spacing w:before="400" w:after="120"/>
      </w:pPr>
      <w:r>
        <w:rPr>
          <w:rFonts w:ascii="Calibri" w:eastAsia="Calibri" w:hAnsi="Calibri" w:cs="Calibri"/>
          <w:b/>
          <w:bCs/>
          <w:color w:val="1B2A6B"/>
          <w:sz w:val="28"/>
          <w:szCs w:val="28"/>
        </w:rPr>
        <w:t>6.3 Analytics &amp; Data Access</w:t>
      </w:r>
    </w:p>
    <w:p w14:paraId="183E739E"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Data movement: Zenoti supports real-time webhook-driven event push, API pull, and delta-sync to an external data lake. The Redshift schema exposes Fact and Dimension tables for all key Zenoti objects — sales, collections, liabilities, employees, memberships, and others — with a daily reconciliation framework ensuring data quality (Exhibit B, Analytics slides).</w:t>
      </w:r>
    </w:p>
    <w:p w14:paraId="2EE6294D"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Interim-then-replace path: Gold's can adopt Zenoti's Redshift-based analytics layer on day one and migrate to its own Databricks/Snowflake/Fabric infrastructure later. The Redshift schema supports backward compatibility so Gold's BI investment is protected during the transition.</w:t>
      </w:r>
    </w:p>
    <w:p w14:paraId="4ECB2B97"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Analytics layer modularity: Fact and Dimension tables support delta-sync into customer data lakes. Zenoti's analytics visualization (powered by Tableau/QuickSight/Power BI) is optional — Gold's can substitute its own BI tooling over a Gold's-owned semantic model without disrupting the rest of the platform.</w:t>
      </w:r>
    </w:p>
    <w:p w14:paraId="635417AB"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Unified data layer: Zenoti supports event stream delivery into Databricks, Snowflake, and Microsoft Fabric. Schema documentation provided to contracted customers.</w:t>
      </w:r>
    </w:p>
    <w:p w14:paraId="2C1CF6D4"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Full schema / ERD: The full MMS schema is available to Gold's under NDA. No restrictions on configuration or settings data access.</w:t>
      </w:r>
    </w:p>
    <w:p w14:paraId="6E35F895"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Data integrity: Zenoti's database is the single source of truth. No data is processed outside the MMS and reinserted via incremental batch.</w:t>
      </w:r>
    </w:p>
    <w:p w14:paraId="64C8DD65" w14:textId="78D2EB25" w:rsidR="00167C71" w:rsidRDefault="00167C71" w:rsidP="2FC5D060">
      <w:pPr>
        <w:pStyle w:val="Heading2"/>
        <w:spacing w:before="400" w:after="120"/>
      </w:pPr>
      <w:r w:rsidRPr="2FC5D060">
        <w:rPr>
          <w:rFonts w:ascii="Calibri" w:eastAsia="Calibri" w:hAnsi="Calibri" w:cs="Calibri"/>
          <w:b/>
          <w:bCs/>
          <w:color w:val="1B2A6B"/>
          <w:sz w:val="28"/>
          <w:szCs w:val="28"/>
        </w:rPr>
        <w:t>6.4 Required &amp; Existing Integrations</w:t>
      </w:r>
    </w:p>
    <w:p w14:paraId="6D62F5D5" w14:textId="097E0CCF" w:rsidR="25F63C4A" w:rsidRDefault="25F63C4A">
      <w:r>
        <w:t>All items marked as “In Production” or “Available” are ones that already exist for Gold’s to take advantage of:</w:t>
      </w:r>
    </w:p>
    <w:p w14:paraId="65A6887A" w14:textId="53A9BBB8" w:rsidR="2FC5D060" w:rsidRDefault="2FC5D06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0204A6" w14:paraId="1FCE42AA" w14:textId="77777777" w:rsidTr="2FC5D060">
        <w:tc>
          <w:tcPr>
            <w:tcW w:w="1800" w:type="dxa"/>
            <w:shd w:val="clear" w:color="auto" w:fill="1B2A6B"/>
            <w:tcMar>
              <w:top w:w="80" w:type="dxa"/>
              <w:left w:w="120" w:type="dxa"/>
              <w:bottom w:w="80" w:type="dxa"/>
              <w:right w:w="120" w:type="dxa"/>
            </w:tcMar>
          </w:tcPr>
          <w:p w14:paraId="1A9D3022" w14:textId="77777777" w:rsidR="000204A6" w:rsidRDefault="00167C71">
            <w:r>
              <w:rPr>
                <w:rFonts w:ascii="Calibri" w:eastAsia="Calibri" w:hAnsi="Calibri" w:cs="Calibri"/>
                <w:b/>
                <w:bCs/>
                <w:color w:val="FFFFFF"/>
                <w:sz w:val="19"/>
                <w:szCs w:val="19"/>
              </w:rPr>
              <w:t>System</w:t>
            </w:r>
          </w:p>
        </w:tc>
        <w:tc>
          <w:tcPr>
            <w:tcW w:w="1800" w:type="dxa"/>
            <w:shd w:val="clear" w:color="auto" w:fill="1B2A6B"/>
            <w:tcMar>
              <w:top w:w="80" w:type="dxa"/>
              <w:left w:w="120" w:type="dxa"/>
              <w:bottom w:w="80" w:type="dxa"/>
              <w:right w:w="120" w:type="dxa"/>
            </w:tcMar>
          </w:tcPr>
          <w:p w14:paraId="1B4C4831" w14:textId="77777777" w:rsidR="000204A6" w:rsidRDefault="00167C71">
            <w:r>
              <w:rPr>
                <w:rFonts w:ascii="Calibri" w:eastAsia="Calibri" w:hAnsi="Calibri" w:cs="Calibri"/>
                <w:b/>
                <w:bCs/>
                <w:color w:val="FFFFFF"/>
                <w:sz w:val="19"/>
                <w:szCs w:val="19"/>
              </w:rPr>
              <w:t>Integration Type</w:t>
            </w:r>
          </w:p>
        </w:tc>
        <w:tc>
          <w:tcPr>
            <w:tcW w:w="1800" w:type="dxa"/>
            <w:shd w:val="clear" w:color="auto" w:fill="1B2A6B"/>
            <w:tcMar>
              <w:top w:w="80" w:type="dxa"/>
              <w:left w:w="120" w:type="dxa"/>
              <w:bottom w:w="80" w:type="dxa"/>
              <w:right w:w="120" w:type="dxa"/>
            </w:tcMar>
          </w:tcPr>
          <w:p w14:paraId="587A5059" w14:textId="77777777" w:rsidR="000204A6" w:rsidRDefault="00167C71">
            <w:r>
              <w:rPr>
                <w:rFonts w:ascii="Calibri" w:eastAsia="Calibri" w:hAnsi="Calibri" w:cs="Calibri"/>
                <w:b/>
                <w:bCs/>
                <w:color w:val="FFFFFF"/>
                <w:sz w:val="19"/>
                <w:szCs w:val="19"/>
              </w:rPr>
              <w:t>Direction</w:t>
            </w:r>
          </w:p>
        </w:tc>
        <w:tc>
          <w:tcPr>
            <w:tcW w:w="1800" w:type="dxa"/>
            <w:shd w:val="clear" w:color="auto" w:fill="1B2A6B"/>
            <w:tcMar>
              <w:top w:w="80" w:type="dxa"/>
              <w:left w:w="120" w:type="dxa"/>
              <w:bottom w:w="80" w:type="dxa"/>
              <w:right w:w="120" w:type="dxa"/>
            </w:tcMar>
          </w:tcPr>
          <w:p w14:paraId="67694A49" w14:textId="77777777" w:rsidR="000204A6" w:rsidRDefault="00167C71">
            <w:r>
              <w:rPr>
                <w:rFonts w:ascii="Calibri" w:eastAsia="Calibri" w:hAnsi="Calibri" w:cs="Calibri"/>
                <w:b/>
                <w:bCs/>
                <w:color w:val="FFFFFF"/>
                <w:sz w:val="19"/>
                <w:szCs w:val="19"/>
              </w:rPr>
              <w:t>Frequency</w:t>
            </w:r>
          </w:p>
        </w:tc>
        <w:tc>
          <w:tcPr>
            <w:tcW w:w="1800" w:type="dxa"/>
            <w:shd w:val="clear" w:color="auto" w:fill="1B2A6B"/>
            <w:tcMar>
              <w:top w:w="80" w:type="dxa"/>
              <w:left w:w="120" w:type="dxa"/>
              <w:bottom w:w="80" w:type="dxa"/>
              <w:right w:w="120" w:type="dxa"/>
            </w:tcMar>
          </w:tcPr>
          <w:p w14:paraId="4D53B832" w14:textId="77777777" w:rsidR="000204A6" w:rsidRDefault="00167C71">
            <w:r>
              <w:rPr>
                <w:rFonts w:ascii="Calibri" w:eastAsia="Calibri" w:hAnsi="Calibri" w:cs="Calibri"/>
                <w:b/>
                <w:bCs/>
                <w:color w:val="FFFFFF"/>
                <w:sz w:val="19"/>
                <w:szCs w:val="19"/>
              </w:rPr>
              <w:t>Status</w:t>
            </w:r>
          </w:p>
        </w:tc>
      </w:tr>
      <w:tr w:rsidR="000204A6" w14:paraId="41AA6ECE" w14:textId="77777777" w:rsidTr="2FC5D060">
        <w:tc>
          <w:tcPr>
            <w:tcW w:w="1800" w:type="dxa"/>
            <w:shd w:val="clear" w:color="auto" w:fill="FFFFFF" w:themeFill="background1"/>
            <w:tcMar>
              <w:top w:w="80" w:type="dxa"/>
              <w:left w:w="120" w:type="dxa"/>
              <w:bottom w:w="80" w:type="dxa"/>
              <w:right w:w="120" w:type="dxa"/>
            </w:tcMar>
          </w:tcPr>
          <w:p w14:paraId="46E027D5" w14:textId="77777777" w:rsidR="000204A6" w:rsidRDefault="00167C71">
            <w:r>
              <w:rPr>
                <w:rFonts w:ascii="Calibri" w:eastAsia="Calibri" w:hAnsi="Calibri" w:cs="Calibri"/>
                <w:color w:val="1E293B"/>
              </w:rPr>
              <w:t>HubSpot</w:t>
            </w:r>
          </w:p>
        </w:tc>
        <w:tc>
          <w:tcPr>
            <w:tcW w:w="1800" w:type="dxa"/>
            <w:shd w:val="clear" w:color="auto" w:fill="FFFFFF" w:themeFill="background1"/>
            <w:tcMar>
              <w:top w:w="80" w:type="dxa"/>
              <w:left w:w="120" w:type="dxa"/>
              <w:bottom w:w="80" w:type="dxa"/>
              <w:right w:w="120" w:type="dxa"/>
            </w:tcMar>
          </w:tcPr>
          <w:p w14:paraId="2064F970" w14:textId="77777777" w:rsidR="000204A6" w:rsidRDefault="00167C71">
            <w:r>
              <w:rPr>
                <w:rFonts w:ascii="Calibri" w:eastAsia="Calibri" w:hAnsi="Calibri" w:cs="Calibri"/>
                <w:color w:val="1E293B"/>
              </w:rPr>
              <w:t>API + webhook</w:t>
            </w:r>
          </w:p>
        </w:tc>
        <w:tc>
          <w:tcPr>
            <w:tcW w:w="1800" w:type="dxa"/>
            <w:shd w:val="clear" w:color="auto" w:fill="FFFFFF" w:themeFill="background1"/>
            <w:tcMar>
              <w:top w:w="80" w:type="dxa"/>
              <w:left w:w="120" w:type="dxa"/>
              <w:bottom w:w="80" w:type="dxa"/>
              <w:right w:w="120" w:type="dxa"/>
            </w:tcMar>
          </w:tcPr>
          <w:p w14:paraId="5CC1F61B" w14:textId="77777777" w:rsidR="000204A6" w:rsidRDefault="00167C71">
            <w:r>
              <w:rPr>
                <w:rFonts w:ascii="Calibri" w:eastAsia="Calibri" w:hAnsi="Calibri" w:cs="Calibri"/>
                <w:color w:val="1E293B"/>
              </w:rPr>
              <w:t>Bi-directional</w:t>
            </w:r>
          </w:p>
        </w:tc>
        <w:tc>
          <w:tcPr>
            <w:tcW w:w="1800" w:type="dxa"/>
            <w:shd w:val="clear" w:color="auto" w:fill="FFFFFF" w:themeFill="background1"/>
            <w:tcMar>
              <w:top w:w="80" w:type="dxa"/>
              <w:left w:w="120" w:type="dxa"/>
              <w:bottom w:w="80" w:type="dxa"/>
              <w:right w:w="120" w:type="dxa"/>
            </w:tcMar>
          </w:tcPr>
          <w:p w14:paraId="180B6166" w14:textId="77777777" w:rsidR="000204A6" w:rsidRDefault="00167C71">
            <w:r>
              <w:rPr>
                <w:rFonts w:ascii="Calibri" w:eastAsia="Calibri" w:hAnsi="Calibri" w:cs="Calibri"/>
                <w:color w:val="1E293B"/>
              </w:rPr>
              <w:t>Real-time</w:t>
            </w:r>
          </w:p>
        </w:tc>
        <w:tc>
          <w:tcPr>
            <w:tcW w:w="1800" w:type="dxa"/>
            <w:shd w:val="clear" w:color="auto" w:fill="FFFFFF" w:themeFill="background1"/>
            <w:tcMar>
              <w:top w:w="80" w:type="dxa"/>
              <w:left w:w="120" w:type="dxa"/>
              <w:bottom w:w="80" w:type="dxa"/>
              <w:right w:w="120" w:type="dxa"/>
            </w:tcMar>
          </w:tcPr>
          <w:p w14:paraId="07A435A3" w14:textId="77777777" w:rsidR="000204A6" w:rsidRDefault="00167C71">
            <w:r>
              <w:rPr>
                <w:rFonts w:ascii="Calibri" w:eastAsia="Calibri" w:hAnsi="Calibri" w:cs="Calibri"/>
                <w:color w:val="1E293B"/>
              </w:rPr>
              <w:t>In production (Zapier + direct)</w:t>
            </w:r>
          </w:p>
        </w:tc>
      </w:tr>
      <w:tr w:rsidR="000204A6" w14:paraId="74FABDA2" w14:textId="77777777" w:rsidTr="2FC5D060">
        <w:tc>
          <w:tcPr>
            <w:tcW w:w="1800" w:type="dxa"/>
            <w:shd w:val="clear" w:color="auto" w:fill="F8FAFC"/>
            <w:tcMar>
              <w:top w:w="80" w:type="dxa"/>
              <w:left w:w="120" w:type="dxa"/>
              <w:bottom w:w="80" w:type="dxa"/>
              <w:right w:w="120" w:type="dxa"/>
            </w:tcMar>
          </w:tcPr>
          <w:p w14:paraId="42699E57" w14:textId="77777777" w:rsidR="000204A6" w:rsidRDefault="00167C71">
            <w:r>
              <w:rPr>
                <w:rFonts w:ascii="Calibri" w:eastAsia="Calibri" w:hAnsi="Calibri" w:cs="Calibri"/>
                <w:color w:val="1E293B"/>
              </w:rPr>
              <w:t>Salesforce</w:t>
            </w:r>
          </w:p>
        </w:tc>
        <w:tc>
          <w:tcPr>
            <w:tcW w:w="1800" w:type="dxa"/>
            <w:shd w:val="clear" w:color="auto" w:fill="F8FAFC"/>
            <w:tcMar>
              <w:top w:w="80" w:type="dxa"/>
              <w:left w:w="120" w:type="dxa"/>
              <w:bottom w:w="80" w:type="dxa"/>
              <w:right w:w="120" w:type="dxa"/>
            </w:tcMar>
          </w:tcPr>
          <w:p w14:paraId="68EC50B6" w14:textId="77777777" w:rsidR="000204A6" w:rsidRDefault="00167C71">
            <w:r>
              <w:rPr>
                <w:rFonts w:ascii="Calibri" w:eastAsia="Calibri" w:hAnsi="Calibri" w:cs="Calibri"/>
                <w:color w:val="1E293B"/>
              </w:rPr>
              <w:t>API + webhook</w:t>
            </w:r>
          </w:p>
        </w:tc>
        <w:tc>
          <w:tcPr>
            <w:tcW w:w="1800" w:type="dxa"/>
            <w:shd w:val="clear" w:color="auto" w:fill="F8FAFC"/>
            <w:tcMar>
              <w:top w:w="80" w:type="dxa"/>
              <w:left w:w="120" w:type="dxa"/>
              <w:bottom w:w="80" w:type="dxa"/>
              <w:right w:w="120" w:type="dxa"/>
            </w:tcMar>
          </w:tcPr>
          <w:p w14:paraId="4CE13F8A" w14:textId="77777777" w:rsidR="000204A6" w:rsidRDefault="00167C71">
            <w:r>
              <w:rPr>
                <w:rFonts w:ascii="Calibri" w:eastAsia="Calibri" w:hAnsi="Calibri" w:cs="Calibri"/>
                <w:color w:val="1E293B"/>
              </w:rPr>
              <w:t>Bi-directional</w:t>
            </w:r>
          </w:p>
        </w:tc>
        <w:tc>
          <w:tcPr>
            <w:tcW w:w="1800" w:type="dxa"/>
            <w:shd w:val="clear" w:color="auto" w:fill="F8FAFC"/>
            <w:tcMar>
              <w:top w:w="80" w:type="dxa"/>
              <w:left w:w="120" w:type="dxa"/>
              <w:bottom w:w="80" w:type="dxa"/>
              <w:right w:w="120" w:type="dxa"/>
            </w:tcMar>
          </w:tcPr>
          <w:p w14:paraId="784F80C6" w14:textId="77777777" w:rsidR="000204A6" w:rsidRDefault="00167C71">
            <w:r>
              <w:rPr>
                <w:rFonts w:ascii="Calibri" w:eastAsia="Calibri" w:hAnsi="Calibri" w:cs="Calibri"/>
                <w:color w:val="1E293B"/>
              </w:rPr>
              <w:t>Real-time</w:t>
            </w:r>
          </w:p>
        </w:tc>
        <w:tc>
          <w:tcPr>
            <w:tcW w:w="1800" w:type="dxa"/>
            <w:shd w:val="clear" w:color="auto" w:fill="F8FAFC"/>
            <w:tcMar>
              <w:top w:w="80" w:type="dxa"/>
              <w:left w:w="120" w:type="dxa"/>
              <w:bottom w:w="80" w:type="dxa"/>
              <w:right w:w="120" w:type="dxa"/>
            </w:tcMar>
          </w:tcPr>
          <w:p w14:paraId="1D0C1E7F" w14:textId="77777777" w:rsidR="000204A6" w:rsidRDefault="00167C71">
            <w:r>
              <w:rPr>
                <w:rFonts w:ascii="Calibri" w:eastAsia="Calibri" w:hAnsi="Calibri" w:cs="Calibri"/>
                <w:color w:val="1E293B"/>
              </w:rPr>
              <w:t>In production</w:t>
            </w:r>
          </w:p>
        </w:tc>
      </w:tr>
      <w:tr w:rsidR="000204A6" w14:paraId="7B0AEE1F" w14:textId="77777777" w:rsidTr="2FC5D060">
        <w:tc>
          <w:tcPr>
            <w:tcW w:w="1800" w:type="dxa"/>
            <w:shd w:val="clear" w:color="auto" w:fill="FFFFFF" w:themeFill="background1"/>
            <w:tcMar>
              <w:top w:w="80" w:type="dxa"/>
              <w:left w:w="120" w:type="dxa"/>
              <w:bottom w:w="80" w:type="dxa"/>
              <w:right w:w="120" w:type="dxa"/>
            </w:tcMar>
          </w:tcPr>
          <w:p w14:paraId="5249E557" w14:textId="77777777" w:rsidR="000204A6" w:rsidRDefault="00167C71">
            <w:r>
              <w:rPr>
                <w:rFonts w:ascii="Calibri" w:eastAsia="Calibri" w:hAnsi="Calibri" w:cs="Calibri"/>
                <w:color w:val="1E293B"/>
              </w:rPr>
              <w:t>Motion Vibe</w:t>
            </w:r>
          </w:p>
        </w:tc>
        <w:tc>
          <w:tcPr>
            <w:tcW w:w="1800" w:type="dxa"/>
            <w:shd w:val="clear" w:color="auto" w:fill="FFFFFF" w:themeFill="background1"/>
            <w:tcMar>
              <w:top w:w="80" w:type="dxa"/>
              <w:left w:w="120" w:type="dxa"/>
              <w:bottom w:w="80" w:type="dxa"/>
              <w:right w:w="120" w:type="dxa"/>
            </w:tcMar>
          </w:tcPr>
          <w:p w14:paraId="77F00D40" w14:textId="77777777" w:rsidR="000204A6" w:rsidRDefault="00167C71">
            <w:r>
              <w:rPr>
                <w:rFonts w:ascii="Calibri" w:eastAsia="Calibri" w:hAnsi="Calibri" w:cs="Calibri"/>
                <w:color w:val="1E293B"/>
              </w:rPr>
              <w:t>REST API</w:t>
            </w:r>
          </w:p>
        </w:tc>
        <w:tc>
          <w:tcPr>
            <w:tcW w:w="1800" w:type="dxa"/>
            <w:shd w:val="clear" w:color="auto" w:fill="FFFFFF" w:themeFill="background1"/>
            <w:tcMar>
              <w:top w:w="80" w:type="dxa"/>
              <w:left w:w="120" w:type="dxa"/>
              <w:bottom w:w="80" w:type="dxa"/>
              <w:right w:w="120" w:type="dxa"/>
            </w:tcMar>
          </w:tcPr>
          <w:p w14:paraId="4F393780" w14:textId="77777777" w:rsidR="000204A6" w:rsidRDefault="00167C71">
            <w:r>
              <w:rPr>
                <w:rFonts w:ascii="Calibri" w:eastAsia="Calibri" w:hAnsi="Calibri" w:cs="Calibri"/>
                <w:color w:val="1E293B"/>
              </w:rPr>
              <w:t>Bi-directional</w:t>
            </w:r>
          </w:p>
        </w:tc>
        <w:tc>
          <w:tcPr>
            <w:tcW w:w="1800" w:type="dxa"/>
            <w:shd w:val="clear" w:color="auto" w:fill="FFFFFF" w:themeFill="background1"/>
            <w:tcMar>
              <w:top w:w="80" w:type="dxa"/>
              <w:left w:w="120" w:type="dxa"/>
              <w:bottom w:w="80" w:type="dxa"/>
              <w:right w:w="120" w:type="dxa"/>
            </w:tcMar>
          </w:tcPr>
          <w:p w14:paraId="61130F07" w14:textId="77777777" w:rsidR="000204A6" w:rsidRDefault="00167C71">
            <w:r>
              <w:rPr>
                <w:rFonts w:ascii="Calibri" w:eastAsia="Calibri" w:hAnsi="Calibri" w:cs="Calibri"/>
                <w:color w:val="1E293B"/>
              </w:rPr>
              <w:t>Real-time</w:t>
            </w:r>
          </w:p>
        </w:tc>
        <w:tc>
          <w:tcPr>
            <w:tcW w:w="1800" w:type="dxa"/>
            <w:shd w:val="clear" w:color="auto" w:fill="FFFFFF" w:themeFill="background1"/>
            <w:tcMar>
              <w:top w:w="80" w:type="dxa"/>
              <w:left w:w="120" w:type="dxa"/>
              <w:bottom w:w="80" w:type="dxa"/>
              <w:right w:w="120" w:type="dxa"/>
            </w:tcMar>
          </w:tcPr>
          <w:p w14:paraId="33345E1B" w14:textId="77777777" w:rsidR="000204A6" w:rsidRDefault="00167C71">
            <w:r>
              <w:rPr>
                <w:rFonts w:ascii="Calibri" w:eastAsia="Calibri" w:hAnsi="Calibri" w:cs="Calibri"/>
                <w:color w:val="1E293B"/>
              </w:rPr>
              <w:t>Configurable; Gold's controls integration</w:t>
            </w:r>
          </w:p>
        </w:tc>
      </w:tr>
      <w:tr w:rsidR="000204A6" w14:paraId="13F89ECE" w14:textId="77777777" w:rsidTr="2FC5D060">
        <w:tc>
          <w:tcPr>
            <w:tcW w:w="1800" w:type="dxa"/>
            <w:shd w:val="clear" w:color="auto" w:fill="F8FAFC"/>
            <w:tcMar>
              <w:top w:w="80" w:type="dxa"/>
              <w:left w:w="120" w:type="dxa"/>
              <w:bottom w:w="80" w:type="dxa"/>
              <w:right w:w="120" w:type="dxa"/>
            </w:tcMar>
          </w:tcPr>
          <w:p w14:paraId="6D5E23EE" w14:textId="77777777" w:rsidR="000204A6" w:rsidRDefault="00167C71">
            <w:r>
              <w:rPr>
                <w:rFonts w:ascii="Calibri" w:eastAsia="Calibri" w:hAnsi="Calibri" w:cs="Calibri"/>
                <w:color w:val="1E293B"/>
              </w:rPr>
              <w:t>Gate-control hardware</w:t>
            </w:r>
          </w:p>
        </w:tc>
        <w:tc>
          <w:tcPr>
            <w:tcW w:w="1800" w:type="dxa"/>
            <w:shd w:val="clear" w:color="auto" w:fill="F8FAFC"/>
            <w:tcMar>
              <w:top w:w="80" w:type="dxa"/>
              <w:left w:w="120" w:type="dxa"/>
              <w:bottom w:w="80" w:type="dxa"/>
              <w:right w:w="120" w:type="dxa"/>
            </w:tcMar>
          </w:tcPr>
          <w:p w14:paraId="4F95474A" w14:textId="77777777" w:rsidR="000204A6" w:rsidRDefault="00167C71">
            <w:r>
              <w:rPr>
                <w:rFonts w:ascii="Calibri" w:eastAsia="Calibri" w:hAnsi="Calibri" w:cs="Calibri"/>
                <w:color w:val="1E293B"/>
              </w:rPr>
              <w:t>API + device protocol</w:t>
            </w:r>
          </w:p>
        </w:tc>
        <w:tc>
          <w:tcPr>
            <w:tcW w:w="1800" w:type="dxa"/>
            <w:shd w:val="clear" w:color="auto" w:fill="F8FAFC"/>
            <w:tcMar>
              <w:top w:w="80" w:type="dxa"/>
              <w:left w:w="120" w:type="dxa"/>
              <w:bottom w:w="80" w:type="dxa"/>
              <w:right w:w="120" w:type="dxa"/>
            </w:tcMar>
          </w:tcPr>
          <w:p w14:paraId="2CDCB607" w14:textId="77777777" w:rsidR="000204A6" w:rsidRDefault="00167C71">
            <w:r>
              <w:rPr>
                <w:rFonts w:ascii="Calibri" w:eastAsia="Calibri" w:hAnsi="Calibri" w:cs="Calibri"/>
                <w:color w:val="1E293B"/>
              </w:rPr>
              <w:t>Bi-directional</w:t>
            </w:r>
          </w:p>
        </w:tc>
        <w:tc>
          <w:tcPr>
            <w:tcW w:w="1800" w:type="dxa"/>
            <w:shd w:val="clear" w:color="auto" w:fill="F8FAFC"/>
            <w:tcMar>
              <w:top w:w="80" w:type="dxa"/>
              <w:left w:w="120" w:type="dxa"/>
              <w:bottom w:w="80" w:type="dxa"/>
              <w:right w:w="120" w:type="dxa"/>
            </w:tcMar>
          </w:tcPr>
          <w:p w14:paraId="2A4003B6" w14:textId="77777777" w:rsidR="000204A6" w:rsidRDefault="00167C71">
            <w:r>
              <w:rPr>
                <w:rFonts w:ascii="Calibri" w:eastAsia="Calibri" w:hAnsi="Calibri" w:cs="Calibri"/>
                <w:color w:val="1E293B"/>
              </w:rPr>
              <w:t>Real-time</w:t>
            </w:r>
          </w:p>
        </w:tc>
        <w:tc>
          <w:tcPr>
            <w:tcW w:w="1800" w:type="dxa"/>
            <w:shd w:val="clear" w:color="auto" w:fill="F8FAFC"/>
            <w:tcMar>
              <w:top w:w="80" w:type="dxa"/>
              <w:left w:w="120" w:type="dxa"/>
              <w:bottom w:w="80" w:type="dxa"/>
              <w:right w:w="120" w:type="dxa"/>
            </w:tcMar>
          </w:tcPr>
          <w:p w14:paraId="74DB166F" w14:textId="77777777" w:rsidR="000204A6" w:rsidRDefault="00167C71">
            <w:r>
              <w:rPr>
                <w:rFonts w:ascii="Calibri" w:eastAsia="Calibri" w:hAnsi="Calibri" w:cs="Calibri"/>
                <w:color w:val="1E293B"/>
              </w:rPr>
              <w:t>In production; multiple hardware vendors</w:t>
            </w:r>
          </w:p>
        </w:tc>
      </w:tr>
      <w:tr w:rsidR="000204A6" w14:paraId="0CCE21E1" w14:textId="77777777" w:rsidTr="2FC5D060">
        <w:tc>
          <w:tcPr>
            <w:tcW w:w="1800" w:type="dxa"/>
            <w:shd w:val="clear" w:color="auto" w:fill="FFFFFF" w:themeFill="background1"/>
            <w:tcMar>
              <w:top w:w="80" w:type="dxa"/>
              <w:left w:w="120" w:type="dxa"/>
              <w:bottom w:w="80" w:type="dxa"/>
              <w:right w:w="120" w:type="dxa"/>
            </w:tcMar>
          </w:tcPr>
          <w:p w14:paraId="43F10FB0" w14:textId="77777777" w:rsidR="000204A6" w:rsidRDefault="00167C71">
            <w:r>
              <w:rPr>
                <w:rFonts w:ascii="Calibri" w:eastAsia="Calibri" w:hAnsi="Calibri" w:cs="Calibri"/>
                <w:color w:val="1E293B"/>
              </w:rPr>
              <w:t>Adyen / Stripe (payment)</w:t>
            </w:r>
          </w:p>
        </w:tc>
        <w:tc>
          <w:tcPr>
            <w:tcW w:w="1800" w:type="dxa"/>
            <w:shd w:val="clear" w:color="auto" w:fill="FFFFFF" w:themeFill="background1"/>
            <w:tcMar>
              <w:top w:w="80" w:type="dxa"/>
              <w:left w:w="120" w:type="dxa"/>
              <w:bottom w:w="80" w:type="dxa"/>
              <w:right w:w="120" w:type="dxa"/>
            </w:tcMar>
          </w:tcPr>
          <w:p w14:paraId="11F3BE63" w14:textId="77777777" w:rsidR="000204A6" w:rsidRDefault="00167C71">
            <w:r>
              <w:rPr>
                <w:rFonts w:ascii="Calibri" w:eastAsia="Calibri" w:hAnsi="Calibri" w:cs="Calibri"/>
                <w:color w:val="1E293B"/>
              </w:rPr>
              <w:t>API</w:t>
            </w:r>
          </w:p>
        </w:tc>
        <w:tc>
          <w:tcPr>
            <w:tcW w:w="1800" w:type="dxa"/>
            <w:shd w:val="clear" w:color="auto" w:fill="FFFFFF" w:themeFill="background1"/>
            <w:tcMar>
              <w:top w:w="80" w:type="dxa"/>
              <w:left w:w="120" w:type="dxa"/>
              <w:bottom w:w="80" w:type="dxa"/>
              <w:right w:w="120" w:type="dxa"/>
            </w:tcMar>
          </w:tcPr>
          <w:p w14:paraId="4EDBA193" w14:textId="77777777" w:rsidR="000204A6" w:rsidRDefault="00167C71">
            <w:r>
              <w:rPr>
                <w:rFonts w:ascii="Calibri" w:eastAsia="Calibri" w:hAnsi="Calibri" w:cs="Calibri"/>
                <w:color w:val="1E293B"/>
              </w:rPr>
              <w:t>Bi-directional</w:t>
            </w:r>
          </w:p>
        </w:tc>
        <w:tc>
          <w:tcPr>
            <w:tcW w:w="1800" w:type="dxa"/>
            <w:shd w:val="clear" w:color="auto" w:fill="FFFFFF" w:themeFill="background1"/>
            <w:tcMar>
              <w:top w:w="80" w:type="dxa"/>
              <w:left w:w="120" w:type="dxa"/>
              <w:bottom w:w="80" w:type="dxa"/>
              <w:right w:w="120" w:type="dxa"/>
            </w:tcMar>
          </w:tcPr>
          <w:p w14:paraId="5AD2546D" w14:textId="77777777" w:rsidR="000204A6" w:rsidRDefault="00167C71">
            <w:r>
              <w:rPr>
                <w:rFonts w:ascii="Calibri" w:eastAsia="Calibri" w:hAnsi="Calibri" w:cs="Calibri"/>
                <w:color w:val="1E293B"/>
              </w:rPr>
              <w:t>Real-time</w:t>
            </w:r>
          </w:p>
        </w:tc>
        <w:tc>
          <w:tcPr>
            <w:tcW w:w="1800" w:type="dxa"/>
            <w:shd w:val="clear" w:color="auto" w:fill="FFFFFF" w:themeFill="background1"/>
            <w:tcMar>
              <w:top w:w="80" w:type="dxa"/>
              <w:left w:w="120" w:type="dxa"/>
              <w:bottom w:w="80" w:type="dxa"/>
              <w:right w:w="120" w:type="dxa"/>
            </w:tcMar>
          </w:tcPr>
          <w:p w14:paraId="51FDB323" w14:textId="77777777" w:rsidR="000204A6" w:rsidRDefault="00167C71">
            <w:r>
              <w:rPr>
                <w:rFonts w:ascii="Calibri" w:eastAsia="Calibri" w:hAnsi="Calibri" w:cs="Calibri"/>
                <w:color w:val="1E293B"/>
              </w:rPr>
              <w:t>In production; Gold's retains processor relationship</w:t>
            </w:r>
          </w:p>
        </w:tc>
      </w:tr>
      <w:tr w:rsidR="000204A6" w14:paraId="59E0C1E6" w14:textId="77777777" w:rsidTr="2FC5D060">
        <w:tc>
          <w:tcPr>
            <w:tcW w:w="1800" w:type="dxa"/>
            <w:shd w:val="clear" w:color="auto" w:fill="F8FAFC"/>
            <w:tcMar>
              <w:top w:w="80" w:type="dxa"/>
              <w:left w:w="120" w:type="dxa"/>
              <w:bottom w:w="80" w:type="dxa"/>
              <w:right w:w="120" w:type="dxa"/>
            </w:tcMar>
          </w:tcPr>
          <w:p w14:paraId="5AF6783F" w14:textId="77777777" w:rsidR="000204A6" w:rsidRDefault="00167C71">
            <w:r>
              <w:rPr>
                <w:rFonts w:ascii="Calibri" w:eastAsia="Calibri" w:hAnsi="Calibri" w:cs="Calibri"/>
                <w:color w:val="1E293B"/>
              </w:rPr>
              <w:t>Twilio (SMS)</w:t>
            </w:r>
          </w:p>
        </w:tc>
        <w:tc>
          <w:tcPr>
            <w:tcW w:w="1800" w:type="dxa"/>
            <w:shd w:val="clear" w:color="auto" w:fill="F8FAFC"/>
            <w:tcMar>
              <w:top w:w="80" w:type="dxa"/>
              <w:left w:w="120" w:type="dxa"/>
              <w:bottom w:w="80" w:type="dxa"/>
              <w:right w:w="120" w:type="dxa"/>
            </w:tcMar>
          </w:tcPr>
          <w:p w14:paraId="3C6FFBFA" w14:textId="77777777" w:rsidR="000204A6" w:rsidRDefault="00167C71">
            <w:r>
              <w:rPr>
                <w:rFonts w:ascii="Calibri" w:eastAsia="Calibri" w:hAnsi="Calibri" w:cs="Calibri"/>
                <w:color w:val="1E293B"/>
              </w:rPr>
              <w:t>API</w:t>
            </w:r>
          </w:p>
        </w:tc>
        <w:tc>
          <w:tcPr>
            <w:tcW w:w="1800" w:type="dxa"/>
            <w:shd w:val="clear" w:color="auto" w:fill="F8FAFC"/>
            <w:tcMar>
              <w:top w:w="80" w:type="dxa"/>
              <w:left w:w="120" w:type="dxa"/>
              <w:bottom w:w="80" w:type="dxa"/>
              <w:right w:w="120" w:type="dxa"/>
            </w:tcMar>
          </w:tcPr>
          <w:p w14:paraId="2F227FA9" w14:textId="77777777" w:rsidR="000204A6" w:rsidRDefault="00167C71">
            <w:r>
              <w:rPr>
                <w:rFonts w:ascii="Calibri" w:eastAsia="Calibri" w:hAnsi="Calibri" w:cs="Calibri"/>
                <w:color w:val="1E293B"/>
              </w:rPr>
              <w:t>Outbound</w:t>
            </w:r>
          </w:p>
        </w:tc>
        <w:tc>
          <w:tcPr>
            <w:tcW w:w="1800" w:type="dxa"/>
            <w:shd w:val="clear" w:color="auto" w:fill="F8FAFC"/>
            <w:tcMar>
              <w:top w:w="80" w:type="dxa"/>
              <w:left w:w="120" w:type="dxa"/>
              <w:bottom w:w="80" w:type="dxa"/>
              <w:right w:w="120" w:type="dxa"/>
            </w:tcMar>
          </w:tcPr>
          <w:p w14:paraId="59884811" w14:textId="77777777" w:rsidR="000204A6" w:rsidRDefault="00167C71">
            <w:r>
              <w:rPr>
                <w:rFonts w:ascii="Calibri" w:eastAsia="Calibri" w:hAnsi="Calibri" w:cs="Calibri"/>
                <w:color w:val="1E293B"/>
              </w:rPr>
              <w:t>Real-time / event-triggered</w:t>
            </w:r>
          </w:p>
        </w:tc>
        <w:tc>
          <w:tcPr>
            <w:tcW w:w="1800" w:type="dxa"/>
            <w:shd w:val="clear" w:color="auto" w:fill="F8FAFC"/>
            <w:tcMar>
              <w:top w:w="80" w:type="dxa"/>
              <w:left w:w="120" w:type="dxa"/>
              <w:bottom w:w="80" w:type="dxa"/>
              <w:right w:w="120" w:type="dxa"/>
            </w:tcMar>
          </w:tcPr>
          <w:p w14:paraId="5C418D90" w14:textId="400CD941" w:rsidR="000204A6" w:rsidRDefault="00167C71">
            <w:r w:rsidRPr="2FC5D060">
              <w:rPr>
                <w:rFonts w:ascii="Calibri" w:eastAsia="Calibri" w:hAnsi="Calibri" w:cs="Calibri"/>
                <w:color w:val="1E293B"/>
              </w:rPr>
              <w:t>In production</w:t>
            </w:r>
          </w:p>
        </w:tc>
      </w:tr>
      <w:tr w:rsidR="000204A6" w14:paraId="09C60233" w14:textId="77777777" w:rsidTr="2FC5D060">
        <w:tc>
          <w:tcPr>
            <w:tcW w:w="1800" w:type="dxa"/>
            <w:shd w:val="clear" w:color="auto" w:fill="FFFFFF" w:themeFill="background1"/>
            <w:tcMar>
              <w:top w:w="80" w:type="dxa"/>
              <w:left w:w="120" w:type="dxa"/>
              <w:bottom w:w="80" w:type="dxa"/>
              <w:right w:w="120" w:type="dxa"/>
            </w:tcMar>
          </w:tcPr>
          <w:p w14:paraId="1E7B86AC" w14:textId="77777777" w:rsidR="000204A6" w:rsidRDefault="00167C71">
            <w:r>
              <w:rPr>
                <w:rFonts w:ascii="Calibri" w:eastAsia="Calibri" w:hAnsi="Calibri" w:cs="Calibri"/>
                <w:color w:val="1E293B"/>
              </w:rPr>
              <w:t>SendGrid (email)</w:t>
            </w:r>
          </w:p>
        </w:tc>
        <w:tc>
          <w:tcPr>
            <w:tcW w:w="1800" w:type="dxa"/>
            <w:shd w:val="clear" w:color="auto" w:fill="FFFFFF" w:themeFill="background1"/>
            <w:tcMar>
              <w:top w:w="80" w:type="dxa"/>
              <w:left w:w="120" w:type="dxa"/>
              <w:bottom w:w="80" w:type="dxa"/>
              <w:right w:w="120" w:type="dxa"/>
            </w:tcMar>
          </w:tcPr>
          <w:p w14:paraId="03EA4077" w14:textId="77777777" w:rsidR="000204A6" w:rsidRDefault="00167C71">
            <w:r>
              <w:rPr>
                <w:rFonts w:ascii="Calibri" w:eastAsia="Calibri" w:hAnsi="Calibri" w:cs="Calibri"/>
                <w:color w:val="1E293B"/>
              </w:rPr>
              <w:t>API</w:t>
            </w:r>
          </w:p>
        </w:tc>
        <w:tc>
          <w:tcPr>
            <w:tcW w:w="1800" w:type="dxa"/>
            <w:shd w:val="clear" w:color="auto" w:fill="FFFFFF" w:themeFill="background1"/>
            <w:tcMar>
              <w:top w:w="80" w:type="dxa"/>
              <w:left w:w="120" w:type="dxa"/>
              <w:bottom w:w="80" w:type="dxa"/>
              <w:right w:w="120" w:type="dxa"/>
            </w:tcMar>
          </w:tcPr>
          <w:p w14:paraId="4CB7CFC0" w14:textId="77777777" w:rsidR="000204A6" w:rsidRDefault="00167C71">
            <w:r>
              <w:rPr>
                <w:rFonts w:ascii="Calibri" w:eastAsia="Calibri" w:hAnsi="Calibri" w:cs="Calibri"/>
                <w:color w:val="1E293B"/>
              </w:rPr>
              <w:t>Outbound</w:t>
            </w:r>
          </w:p>
        </w:tc>
        <w:tc>
          <w:tcPr>
            <w:tcW w:w="1800" w:type="dxa"/>
            <w:shd w:val="clear" w:color="auto" w:fill="FFFFFF" w:themeFill="background1"/>
            <w:tcMar>
              <w:top w:w="80" w:type="dxa"/>
              <w:left w:w="120" w:type="dxa"/>
              <w:bottom w:w="80" w:type="dxa"/>
              <w:right w:w="120" w:type="dxa"/>
            </w:tcMar>
          </w:tcPr>
          <w:p w14:paraId="42A9CD45" w14:textId="77777777" w:rsidR="000204A6" w:rsidRDefault="00167C71">
            <w:r>
              <w:rPr>
                <w:rFonts w:ascii="Calibri" w:eastAsia="Calibri" w:hAnsi="Calibri" w:cs="Calibri"/>
                <w:color w:val="1E293B"/>
              </w:rPr>
              <w:t>Real-time / event-triggered</w:t>
            </w:r>
          </w:p>
        </w:tc>
        <w:tc>
          <w:tcPr>
            <w:tcW w:w="1800" w:type="dxa"/>
            <w:shd w:val="clear" w:color="auto" w:fill="FFFFFF" w:themeFill="background1"/>
            <w:tcMar>
              <w:top w:w="80" w:type="dxa"/>
              <w:left w:w="120" w:type="dxa"/>
              <w:bottom w:w="80" w:type="dxa"/>
              <w:right w:w="120" w:type="dxa"/>
            </w:tcMar>
          </w:tcPr>
          <w:p w14:paraId="0734A5B7" w14:textId="77777777" w:rsidR="000204A6" w:rsidRDefault="00167C71">
            <w:r>
              <w:rPr>
                <w:rFonts w:ascii="Calibri" w:eastAsia="Calibri" w:hAnsi="Calibri" w:cs="Calibri"/>
                <w:color w:val="1E293B"/>
              </w:rPr>
              <w:t>In production</w:t>
            </w:r>
          </w:p>
        </w:tc>
      </w:tr>
      <w:tr w:rsidR="000204A6" w14:paraId="6242E1BE" w14:textId="77777777" w:rsidTr="2FC5D060">
        <w:tc>
          <w:tcPr>
            <w:tcW w:w="1800" w:type="dxa"/>
            <w:shd w:val="clear" w:color="auto" w:fill="F8FAFC"/>
            <w:tcMar>
              <w:top w:w="80" w:type="dxa"/>
              <w:left w:w="120" w:type="dxa"/>
              <w:bottom w:w="80" w:type="dxa"/>
              <w:right w:w="120" w:type="dxa"/>
            </w:tcMar>
          </w:tcPr>
          <w:p w14:paraId="0C4F1228" w14:textId="77777777" w:rsidR="000204A6" w:rsidRDefault="00167C71">
            <w:r>
              <w:rPr>
                <w:rFonts w:ascii="Calibri" w:eastAsia="Calibri" w:hAnsi="Calibri" w:cs="Calibri"/>
                <w:color w:val="1E293B"/>
              </w:rPr>
              <w:t>Databricks / Snowflake / Fabric</w:t>
            </w:r>
          </w:p>
        </w:tc>
        <w:tc>
          <w:tcPr>
            <w:tcW w:w="1800" w:type="dxa"/>
            <w:shd w:val="clear" w:color="auto" w:fill="F8FAFC"/>
            <w:tcMar>
              <w:top w:w="80" w:type="dxa"/>
              <w:left w:w="120" w:type="dxa"/>
              <w:bottom w:w="80" w:type="dxa"/>
              <w:right w:w="120" w:type="dxa"/>
            </w:tcMar>
          </w:tcPr>
          <w:p w14:paraId="507841C7" w14:textId="77777777" w:rsidR="000204A6" w:rsidRDefault="00167C71">
            <w:r>
              <w:rPr>
                <w:rFonts w:ascii="Calibri" w:eastAsia="Calibri" w:hAnsi="Calibri" w:cs="Calibri"/>
                <w:color w:val="1E293B"/>
              </w:rPr>
              <w:t>Redshift delta-sync + API</w:t>
            </w:r>
          </w:p>
        </w:tc>
        <w:tc>
          <w:tcPr>
            <w:tcW w:w="1800" w:type="dxa"/>
            <w:shd w:val="clear" w:color="auto" w:fill="F8FAFC"/>
            <w:tcMar>
              <w:top w:w="80" w:type="dxa"/>
              <w:left w:w="120" w:type="dxa"/>
              <w:bottom w:w="80" w:type="dxa"/>
              <w:right w:w="120" w:type="dxa"/>
            </w:tcMar>
          </w:tcPr>
          <w:p w14:paraId="30804071" w14:textId="77777777" w:rsidR="000204A6" w:rsidRDefault="00167C71">
            <w:r>
              <w:rPr>
                <w:rFonts w:ascii="Calibri" w:eastAsia="Calibri" w:hAnsi="Calibri" w:cs="Calibri"/>
                <w:color w:val="1E293B"/>
              </w:rPr>
              <w:t>Outbound</w:t>
            </w:r>
          </w:p>
        </w:tc>
        <w:tc>
          <w:tcPr>
            <w:tcW w:w="1800" w:type="dxa"/>
            <w:shd w:val="clear" w:color="auto" w:fill="F8FAFC"/>
            <w:tcMar>
              <w:top w:w="80" w:type="dxa"/>
              <w:left w:w="120" w:type="dxa"/>
              <w:bottom w:w="80" w:type="dxa"/>
              <w:right w:w="120" w:type="dxa"/>
            </w:tcMar>
          </w:tcPr>
          <w:p w14:paraId="4334FE06" w14:textId="77777777" w:rsidR="000204A6" w:rsidRDefault="00167C71">
            <w:r>
              <w:rPr>
                <w:rFonts w:ascii="Calibri" w:eastAsia="Calibri" w:hAnsi="Calibri" w:cs="Calibri"/>
                <w:color w:val="1E293B"/>
              </w:rPr>
              <w:t>Daily delta + real-time events</w:t>
            </w:r>
          </w:p>
        </w:tc>
        <w:tc>
          <w:tcPr>
            <w:tcW w:w="1800" w:type="dxa"/>
            <w:shd w:val="clear" w:color="auto" w:fill="F8FAFC"/>
            <w:tcMar>
              <w:top w:w="80" w:type="dxa"/>
              <w:left w:w="120" w:type="dxa"/>
              <w:bottom w:w="80" w:type="dxa"/>
              <w:right w:w="120" w:type="dxa"/>
            </w:tcMar>
          </w:tcPr>
          <w:p w14:paraId="63021740" w14:textId="77777777" w:rsidR="000204A6" w:rsidRDefault="00167C71">
            <w:r>
              <w:rPr>
                <w:rFonts w:ascii="Calibri" w:eastAsia="Calibri" w:hAnsi="Calibri" w:cs="Calibri"/>
                <w:color w:val="1E293B"/>
              </w:rPr>
              <w:t>Available; Gold's-owned destination</w:t>
            </w:r>
          </w:p>
        </w:tc>
      </w:tr>
    </w:tbl>
    <w:p w14:paraId="3ADB1AA7" w14:textId="77777777" w:rsidR="000204A6" w:rsidRDefault="00167C71">
      <w:pPr>
        <w:pStyle w:val="Heading2"/>
        <w:spacing w:before="400" w:after="120"/>
      </w:pPr>
      <w:r>
        <w:rPr>
          <w:rFonts w:ascii="Calibri" w:eastAsia="Calibri" w:hAnsi="Calibri" w:cs="Calibri"/>
          <w:b/>
          <w:bCs/>
          <w:color w:val="1B2A6B"/>
          <w:sz w:val="28"/>
          <w:szCs w:val="28"/>
        </w:rPr>
        <w:t>6.5 Performance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04A6" w14:paraId="6AED501D" w14:textId="77777777">
        <w:tc>
          <w:tcPr>
            <w:tcW w:w="4500" w:type="dxa"/>
            <w:shd w:val="clear" w:color="auto" w:fill="1B2A6B"/>
            <w:tcMar>
              <w:top w:w="80" w:type="dxa"/>
              <w:left w:w="120" w:type="dxa"/>
              <w:bottom w:w="80" w:type="dxa"/>
              <w:right w:w="120" w:type="dxa"/>
            </w:tcMar>
          </w:tcPr>
          <w:p w14:paraId="029A5057" w14:textId="77777777" w:rsidR="000204A6" w:rsidRDefault="00167C71">
            <w:r>
              <w:rPr>
                <w:rFonts w:ascii="Calibri" w:eastAsia="Calibri" w:hAnsi="Calibri" w:cs="Calibri"/>
                <w:b/>
                <w:bCs/>
                <w:color w:val="FFFFFF"/>
                <w:sz w:val="19"/>
                <w:szCs w:val="19"/>
              </w:rPr>
              <w:t>Metric</w:t>
            </w:r>
          </w:p>
        </w:tc>
        <w:tc>
          <w:tcPr>
            <w:tcW w:w="4500" w:type="dxa"/>
            <w:shd w:val="clear" w:color="auto" w:fill="1B2A6B"/>
            <w:tcMar>
              <w:top w:w="80" w:type="dxa"/>
              <w:left w:w="120" w:type="dxa"/>
              <w:bottom w:w="80" w:type="dxa"/>
              <w:right w:w="120" w:type="dxa"/>
            </w:tcMar>
          </w:tcPr>
          <w:p w14:paraId="7508BAA5" w14:textId="77777777" w:rsidR="000204A6" w:rsidRDefault="00167C71">
            <w:r>
              <w:rPr>
                <w:rFonts w:ascii="Calibri" w:eastAsia="Calibri" w:hAnsi="Calibri" w:cs="Calibri"/>
                <w:b/>
                <w:bCs/>
                <w:color w:val="FFFFFF"/>
                <w:sz w:val="19"/>
                <w:szCs w:val="19"/>
              </w:rPr>
              <w:t>Zenoti Target / Actual</w:t>
            </w:r>
          </w:p>
        </w:tc>
      </w:tr>
      <w:tr w:rsidR="000204A6" w14:paraId="2A528144" w14:textId="77777777">
        <w:tc>
          <w:tcPr>
            <w:tcW w:w="4500" w:type="dxa"/>
            <w:shd w:val="clear" w:color="auto" w:fill="FFFFFF"/>
            <w:tcMar>
              <w:top w:w="80" w:type="dxa"/>
              <w:left w:w="120" w:type="dxa"/>
              <w:bottom w:w="80" w:type="dxa"/>
              <w:right w:w="120" w:type="dxa"/>
            </w:tcMar>
          </w:tcPr>
          <w:p w14:paraId="2D276957" w14:textId="77777777" w:rsidR="000204A6" w:rsidRDefault="00167C71">
            <w:r>
              <w:rPr>
                <w:rFonts w:ascii="Calibri" w:eastAsia="Calibri" w:hAnsi="Calibri" w:cs="Calibri"/>
                <w:color w:val="1E293B"/>
              </w:rPr>
              <w:t>Committed uptime</w:t>
            </w:r>
          </w:p>
        </w:tc>
        <w:tc>
          <w:tcPr>
            <w:tcW w:w="4500" w:type="dxa"/>
            <w:shd w:val="clear" w:color="auto" w:fill="FFFFFF"/>
            <w:tcMar>
              <w:top w:w="80" w:type="dxa"/>
              <w:left w:w="120" w:type="dxa"/>
              <w:bottom w:w="80" w:type="dxa"/>
              <w:right w:w="120" w:type="dxa"/>
            </w:tcMar>
          </w:tcPr>
          <w:p w14:paraId="5C00EB5F" w14:textId="77777777" w:rsidR="000204A6" w:rsidRDefault="00167C71">
            <w:r>
              <w:rPr>
                <w:rFonts w:ascii="Calibri" w:eastAsia="Calibri" w:hAnsi="Calibri" w:cs="Calibri"/>
                <w:color w:val="1E293B"/>
              </w:rPr>
              <w:t>99.9% (contractual SLA — Exhibit A). Architecture targets 99.99% via multi-AZ AWS deployment.</w:t>
            </w:r>
          </w:p>
        </w:tc>
      </w:tr>
      <w:tr w:rsidR="000204A6" w14:paraId="130BA69A" w14:textId="77777777">
        <w:tc>
          <w:tcPr>
            <w:tcW w:w="4500" w:type="dxa"/>
            <w:shd w:val="clear" w:color="auto" w:fill="F8FAFC"/>
            <w:tcMar>
              <w:top w:w="80" w:type="dxa"/>
              <w:left w:w="120" w:type="dxa"/>
              <w:bottom w:w="80" w:type="dxa"/>
              <w:right w:w="120" w:type="dxa"/>
            </w:tcMar>
          </w:tcPr>
          <w:p w14:paraId="3A35DACE" w14:textId="77777777" w:rsidR="000204A6" w:rsidRDefault="00167C71">
            <w:r>
              <w:rPr>
                <w:rFonts w:ascii="Calibri" w:eastAsia="Calibri" w:hAnsi="Calibri" w:cs="Calibri"/>
                <w:color w:val="1E293B"/>
              </w:rPr>
              <w:t>Proactive outage detection</w:t>
            </w:r>
          </w:p>
        </w:tc>
        <w:tc>
          <w:tcPr>
            <w:tcW w:w="4500" w:type="dxa"/>
            <w:shd w:val="clear" w:color="auto" w:fill="F8FAFC"/>
            <w:tcMar>
              <w:top w:w="80" w:type="dxa"/>
              <w:left w:w="120" w:type="dxa"/>
              <w:bottom w:w="80" w:type="dxa"/>
              <w:right w:w="120" w:type="dxa"/>
            </w:tcMar>
          </w:tcPr>
          <w:p w14:paraId="3F17E727" w14:textId="77777777" w:rsidR="000204A6" w:rsidRDefault="00167C71">
            <w:r>
              <w:rPr>
                <w:rFonts w:ascii="Calibri" w:eastAsia="Calibri" w:hAnsi="Calibri" w:cs="Calibri"/>
                <w:color w:val="1E293B"/>
              </w:rPr>
              <w:t>Within 1 minute via automated monitoring (New Relic, PagerDuty, Datadog — Exhibit B)</w:t>
            </w:r>
          </w:p>
        </w:tc>
      </w:tr>
      <w:tr w:rsidR="000204A6" w14:paraId="6EDEF697" w14:textId="77777777">
        <w:tc>
          <w:tcPr>
            <w:tcW w:w="4500" w:type="dxa"/>
            <w:shd w:val="clear" w:color="auto" w:fill="FFFFFF"/>
            <w:tcMar>
              <w:top w:w="80" w:type="dxa"/>
              <w:left w:w="120" w:type="dxa"/>
              <w:bottom w:w="80" w:type="dxa"/>
              <w:right w:w="120" w:type="dxa"/>
            </w:tcMar>
          </w:tcPr>
          <w:p w14:paraId="410316D8" w14:textId="77777777" w:rsidR="000204A6" w:rsidRDefault="00167C71">
            <w:r>
              <w:rPr>
                <w:rFonts w:ascii="Calibri" w:eastAsia="Calibri" w:hAnsi="Calibri" w:cs="Calibri"/>
                <w:color w:val="1E293B"/>
              </w:rPr>
              <w:t>Peak concurrent load</w:t>
            </w:r>
          </w:p>
        </w:tc>
        <w:tc>
          <w:tcPr>
            <w:tcW w:w="4500" w:type="dxa"/>
            <w:shd w:val="clear" w:color="auto" w:fill="FFFFFF"/>
            <w:tcMar>
              <w:top w:w="80" w:type="dxa"/>
              <w:left w:w="120" w:type="dxa"/>
              <w:bottom w:w="80" w:type="dxa"/>
              <w:right w:w="120" w:type="dxa"/>
            </w:tcMar>
          </w:tcPr>
          <w:p w14:paraId="2E903F73" w14:textId="77777777" w:rsidR="000204A6" w:rsidRDefault="00167C71">
            <w:r>
              <w:rPr>
                <w:rFonts w:ascii="Calibri" w:eastAsia="Calibri" w:hAnsi="Calibri" w:cs="Calibri"/>
                <w:color w:val="1E293B"/>
              </w:rPr>
              <w:t>On-demand scale via stateless server farms on AWS; SQL Server primary + read replicas + replication (Exhibit B)</w:t>
            </w:r>
          </w:p>
        </w:tc>
      </w:tr>
      <w:tr w:rsidR="000204A6" w14:paraId="2BF3F129" w14:textId="77777777">
        <w:tc>
          <w:tcPr>
            <w:tcW w:w="4500" w:type="dxa"/>
            <w:shd w:val="clear" w:color="auto" w:fill="F8FAFC"/>
            <w:tcMar>
              <w:top w:w="80" w:type="dxa"/>
              <w:left w:w="120" w:type="dxa"/>
              <w:bottom w:w="80" w:type="dxa"/>
              <w:right w:w="120" w:type="dxa"/>
            </w:tcMar>
          </w:tcPr>
          <w:p w14:paraId="7AA6FA8F" w14:textId="77777777" w:rsidR="000204A6" w:rsidRDefault="00167C71">
            <w:r>
              <w:rPr>
                <w:rFonts w:ascii="Calibri" w:eastAsia="Calibri" w:hAnsi="Calibri" w:cs="Calibri"/>
                <w:color w:val="1E293B"/>
              </w:rPr>
              <w:t>Webhook event delivery</w:t>
            </w:r>
          </w:p>
        </w:tc>
        <w:tc>
          <w:tcPr>
            <w:tcW w:w="4500" w:type="dxa"/>
            <w:shd w:val="clear" w:color="auto" w:fill="F8FAFC"/>
            <w:tcMar>
              <w:top w:w="80" w:type="dxa"/>
              <w:left w:w="120" w:type="dxa"/>
              <w:bottom w:w="80" w:type="dxa"/>
              <w:right w:w="120" w:type="dxa"/>
            </w:tcMar>
          </w:tcPr>
          <w:p w14:paraId="72E73BF4" w14:textId="77777777" w:rsidR="000204A6" w:rsidRDefault="00167C71">
            <w:r>
              <w:rPr>
                <w:rFonts w:ascii="Calibri" w:eastAsia="Calibri" w:hAnsi="Calibri" w:cs="Calibri"/>
                <w:color w:val="1E293B"/>
              </w:rPr>
              <w:t>Real-time; performance pass required at every release gate (Exhibit B, Release Process)</w:t>
            </w:r>
          </w:p>
        </w:tc>
      </w:tr>
      <w:tr w:rsidR="000204A6" w14:paraId="38B2FCF8" w14:textId="77777777">
        <w:tc>
          <w:tcPr>
            <w:tcW w:w="4500" w:type="dxa"/>
            <w:shd w:val="clear" w:color="auto" w:fill="FFFFFF"/>
            <w:tcMar>
              <w:top w:w="80" w:type="dxa"/>
              <w:left w:w="120" w:type="dxa"/>
              <w:bottom w:w="80" w:type="dxa"/>
              <w:right w:w="120" w:type="dxa"/>
            </w:tcMar>
          </w:tcPr>
          <w:p w14:paraId="48776C90" w14:textId="77777777" w:rsidR="000204A6" w:rsidRDefault="00167C71">
            <w:r>
              <w:rPr>
                <w:rFonts w:ascii="Calibri" w:eastAsia="Calibri" w:hAnsi="Calibri" w:cs="Calibri"/>
                <w:color w:val="1E293B"/>
              </w:rPr>
              <w:t>MMS-to-CRM sync (via webhook)</w:t>
            </w:r>
          </w:p>
        </w:tc>
        <w:tc>
          <w:tcPr>
            <w:tcW w:w="4500" w:type="dxa"/>
            <w:shd w:val="clear" w:color="auto" w:fill="FFFFFF"/>
            <w:tcMar>
              <w:top w:w="80" w:type="dxa"/>
              <w:left w:w="120" w:type="dxa"/>
              <w:bottom w:w="80" w:type="dxa"/>
              <w:right w:w="120" w:type="dxa"/>
            </w:tcMar>
          </w:tcPr>
          <w:p w14:paraId="288CB2C5" w14:textId="77777777" w:rsidR="000204A6" w:rsidRDefault="00167C71">
            <w:r>
              <w:rPr>
                <w:rFonts w:ascii="Calibri" w:eastAsia="Calibri" w:hAnsi="Calibri" w:cs="Calibri"/>
                <w:color w:val="1E293B"/>
              </w:rPr>
              <w:t>Real-time — resolves Gold's current ~48hr latency issue to &lt; 60 seconds end-to-end</w:t>
            </w:r>
          </w:p>
        </w:tc>
      </w:tr>
    </w:tbl>
    <w:p w14:paraId="459F81EC" w14:textId="77777777" w:rsidR="000204A6" w:rsidRDefault="00167C71">
      <w:pPr>
        <w:pStyle w:val="Heading2"/>
        <w:spacing w:before="400" w:after="120"/>
      </w:pPr>
      <w:r>
        <w:rPr>
          <w:rFonts w:ascii="Calibri" w:eastAsia="Calibri" w:hAnsi="Calibri" w:cs="Calibri"/>
          <w:b/>
          <w:bCs/>
          <w:color w:val="1B2A6B"/>
          <w:sz w:val="28"/>
          <w:szCs w:val="28"/>
        </w:rPr>
        <w:t>6.6 Ecosystem Posture (Open vs. Closed)</w:t>
      </w:r>
    </w:p>
    <w:p w14:paraId="13480DAF" w14:textId="1CF68D8F" w:rsidR="000204A6" w:rsidRDefault="00167C71">
      <w:pPr>
        <w:pStyle w:val="ListParagraph"/>
        <w:numPr>
          <w:ilvl w:val="0"/>
          <w:numId w:val="1"/>
        </w:numPr>
        <w:spacing w:before="60" w:after="60"/>
        <w:ind w:left="360" w:hanging="259"/>
      </w:pPr>
      <w:r w:rsidRPr="2FC5D060">
        <w:rPr>
          <w:rFonts w:ascii="Calibri" w:eastAsia="Calibri" w:hAnsi="Calibri" w:cs="Calibri"/>
          <w:color w:val="1E293B"/>
          <w:sz w:val="22"/>
          <w:szCs w:val="22"/>
        </w:rPr>
        <w:t>API as primary interface: All API coverage areas are fully REST-accessible. No revenue-generating member-facing function is admin-UI-only.</w:t>
      </w:r>
    </w:p>
    <w:p w14:paraId="4E41A8F9"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Headless / system-of-record mode: Yes. Gold's can host the entire member-facing UI (join, account, billing, freeze, cancel, check-in confirmation) and use Zenoti purely as the transaction and record engine. This is a documented, supported deployment pattern.</w:t>
      </w:r>
    </w:p>
    <w:p w14:paraId="47FC2D5A"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API pricing: APIs and webhooks are included in the base subscription. Redshift / data lake integration is available as an enterprise data tier. No per-call fees at standard volumes.</w:t>
      </w:r>
    </w:p>
    <w:p w14:paraId="3064A7D1" w14:textId="0A746AFD" w:rsidR="000204A6" w:rsidRDefault="00167C71">
      <w:pPr>
        <w:pStyle w:val="ListParagraph"/>
        <w:numPr>
          <w:ilvl w:val="0"/>
          <w:numId w:val="1"/>
        </w:numPr>
        <w:spacing w:before="60" w:after="60"/>
        <w:ind w:left="360" w:hanging="259"/>
      </w:pPr>
      <w:r w:rsidRPr="2FC5D060">
        <w:rPr>
          <w:rFonts w:ascii="Calibri" w:eastAsia="Calibri" w:hAnsi="Calibri" w:cs="Calibri"/>
          <w:color w:val="1E293B"/>
          <w:sz w:val="22"/>
          <w:szCs w:val="22"/>
        </w:rPr>
        <w:t xml:space="preserve">Webhook catalog: </w:t>
      </w:r>
      <w:r w:rsidR="49C48217" w:rsidRPr="2FC5D060">
        <w:rPr>
          <w:rFonts w:ascii="Calibri" w:eastAsia="Calibri" w:hAnsi="Calibri" w:cs="Calibri"/>
          <w:color w:val="1E293B"/>
          <w:sz w:val="22"/>
          <w:szCs w:val="22"/>
        </w:rPr>
        <w:t>E</w:t>
      </w:r>
      <w:r w:rsidRPr="2FC5D060">
        <w:rPr>
          <w:rFonts w:ascii="Calibri" w:eastAsia="Calibri" w:hAnsi="Calibri" w:cs="Calibri"/>
          <w:color w:val="1E293B"/>
          <w:sz w:val="22"/>
          <w:szCs w:val="22"/>
        </w:rPr>
        <w:t>vent domains covering all member lifecycle, billing, POS, and class management events. All events are push — no polling required for any standard integration (Exhibit B).</w:t>
      </w:r>
    </w:p>
    <w:p w14:paraId="2086D9C4" w14:textId="00A28496" w:rsidR="000204A6" w:rsidRDefault="00167C71">
      <w:pPr>
        <w:pStyle w:val="ListParagraph"/>
        <w:numPr>
          <w:ilvl w:val="0"/>
          <w:numId w:val="1"/>
        </w:numPr>
        <w:spacing w:before="60" w:after="60"/>
        <w:ind w:left="360" w:hanging="259"/>
      </w:pPr>
      <w:r w:rsidRPr="2FC5D060">
        <w:rPr>
          <w:rFonts w:ascii="Calibri" w:eastAsia="Calibri" w:hAnsi="Calibri" w:cs="Calibri"/>
          <w:color w:val="1E293B"/>
          <w:sz w:val="22"/>
          <w:szCs w:val="22"/>
        </w:rPr>
        <w:t xml:space="preserve">Third-party integration policy: </w:t>
      </w:r>
      <w:r w:rsidR="697C3C48" w:rsidRPr="2FC5D060">
        <w:rPr>
          <w:rFonts w:ascii="Calibri" w:eastAsia="Calibri" w:hAnsi="Calibri" w:cs="Calibri"/>
          <w:color w:val="1E293B"/>
          <w:sz w:val="22"/>
          <w:szCs w:val="22"/>
        </w:rPr>
        <w:t>If Gold's wishes to have Zenoti integrated with any third party product, not a custom solution built for Gold’s, then such vendors have to work with Zenoti to become approved integration partners and then work with Zenoti to get the integration done to ensure all o</w:t>
      </w:r>
      <w:r w:rsidR="020D0A0D" w:rsidRPr="2FC5D060">
        <w:rPr>
          <w:rFonts w:ascii="Calibri" w:eastAsia="Calibri" w:hAnsi="Calibri" w:cs="Calibri"/>
          <w:color w:val="1E293B"/>
          <w:sz w:val="22"/>
          <w:szCs w:val="22"/>
        </w:rPr>
        <w:t>f our security, compliance and other requirements are met as part of such integrations</w:t>
      </w:r>
      <w:r w:rsidRPr="2FC5D060">
        <w:rPr>
          <w:rFonts w:ascii="Calibri" w:eastAsia="Calibri" w:hAnsi="Calibri" w:cs="Calibri"/>
          <w:color w:val="1E293B"/>
          <w:sz w:val="22"/>
          <w:szCs w:val="22"/>
        </w:rPr>
        <w:t>.</w:t>
      </w:r>
    </w:p>
    <w:p w14:paraId="705CE9B3" w14:textId="26DAECC2" w:rsidR="000204A6" w:rsidRDefault="00167C71">
      <w:pPr>
        <w:pStyle w:val="ListParagraph"/>
        <w:numPr>
          <w:ilvl w:val="0"/>
          <w:numId w:val="1"/>
        </w:numPr>
        <w:spacing w:before="60" w:after="60"/>
        <w:ind w:left="360" w:hanging="259"/>
      </w:pPr>
      <w:r w:rsidRPr="2FC5D060">
        <w:rPr>
          <w:rFonts w:ascii="Calibri" w:eastAsia="Calibri" w:hAnsi="Calibri" w:cs="Calibri"/>
          <w:color w:val="1E293B"/>
          <w:sz w:val="22"/>
          <w:szCs w:val="22"/>
        </w:rPr>
        <w:t xml:space="preserve">Adjacent-module pricing pressure: </w:t>
      </w:r>
      <w:r w:rsidR="10F7F10D" w:rsidRPr="2FC5D060">
        <w:rPr>
          <w:rFonts w:ascii="Calibri" w:eastAsia="Calibri" w:hAnsi="Calibri" w:cs="Calibri"/>
          <w:color w:val="1E293B"/>
          <w:sz w:val="22"/>
          <w:szCs w:val="22"/>
        </w:rPr>
        <w:t>***</w:t>
      </w:r>
      <w:r w:rsidRPr="2FC5D060">
        <w:rPr>
          <w:rFonts w:ascii="Calibri" w:eastAsia="Calibri" w:hAnsi="Calibri" w:cs="Calibri"/>
          <w:color w:val="1E293B"/>
          <w:sz w:val="22"/>
          <w:szCs w:val="22"/>
        </w:rPr>
        <w:t>None. Zenoti does not change pricing, SLA, or roadmap prioritization based on Gold's choice of third-party tools.</w:t>
      </w:r>
    </w:p>
    <w:p w14:paraId="377E6C64" w14:textId="4C1E6E3C" w:rsidR="000204A6" w:rsidRDefault="00167C71" w:rsidP="2FC5D060">
      <w:pPr>
        <w:pStyle w:val="ListParagraph"/>
        <w:numPr>
          <w:ilvl w:val="0"/>
          <w:numId w:val="1"/>
        </w:numPr>
        <w:spacing w:before="60" w:after="60"/>
        <w:ind w:left="360" w:hanging="259"/>
        <w:rPr>
          <w:rFonts w:ascii="Calibri" w:eastAsia="Calibri" w:hAnsi="Calibri" w:cs="Calibri"/>
          <w:color w:val="1E293B"/>
          <w:sz w:val="22"/>
          <w:szCs w:val="22"/>
        </w:rPr>
      </w:pPr>
      <w:r w:rsidRPr="2FC5D060">
        <w:rPr>
          <w:rFonts w:ascii="Calibri" w:eastAsia="Calibri" w:hAnsi="Calibri" w:cs="Calibri"/>
          <w:color w:val="1E293B"/>
          <w:sz w:val="22"/>
          <w:szCs w:val="22"/>
        </w:rPr>
        <w:t xml:space="preserve">Customer customization without PS: </w:t>
      </w:r>
      <w:r w:rsidR="020D7CDE" w:rsidRPr="2FC5D060">
        <w:rPr>
          <w:rFonts w:ascii="Calibri" w:eastAsia="Calibri" w:hAnsi="Calibri" w:cs="Calibri"/>
          <w:color w:val="1E293B"/>
          <w:sz w:val="22"/>
          <w:szCs w:val="22"/>
        </w:rPr>
        <w:t xml:space="preserve">This is supported and as an exmaple </w:t>
      </w:r>
      <w:r w:rsidRPr="2FC5D060">
        <w:rPr>
          <w:rFonts w:ascii="Calibri" w:eastAsia="Calibri" w:hAnsi="Calibri" w:cs="Calibri"/>
          <w:color w:val="1E293B"/>
          <w:sz w:val="22"/>
          <w:szCs w:val="22"/>
        </w:rPr>
        <w:t>Gold's admin users can create custom fields, custom member attributes, configurable workflows,</w:t>
      </w:r>
      <w:r w:rsidR="1A3E0A05" w:rsidRPr="2FC5D060">
        <w:rPr>
          <w:rFonts w:ascii="Calibri" w:eastAsia="Calibri" w:hAnsi="Calibri" w:cs="Calibri"/>
          <w:color w:val="1E293B"/>
          <w:sz w:val="22"/>
          <w:szCs w:val="22"/>
        </w:rPr>
        <w:t xml:space="preserve"> custom agreements and forms,</w:t>
      </w:r>
      <w:r w:rsidRPr="2FC5D060">
        <w:rPr>
          <w:rFonts w:ascii="Calibri" w:eastAsia="Calibri" w:hAnsi="Calibri" w:cs="Calibri"/>
          <w:color w:val="1E293B"/>
          <w:sz w:val="22"/>
          <w:szCs w:val="22"/>
        </w:rPr>
        <w:t xml:space="preserve"> custom reports </w:t>
      </w:r>
      <w:r w:rsidR="30CEDB05" w:rsidRPr="2FC5D060">
        <w:rPr>
          <w:rFonts w:ascii="Calibri" w:eastAsia="Calibri" w:hAnsi="Calibri" w:cs="Calibri"/>
          <w:color w:val="1E293B"/>
          <w:sz w:val="22"/>
          <w:szCs w:val="22"/>
        </w:rPr>
        <w:t xml:space="preserve">and other solutions </w:t>
      </w:r>
      <w:r w:rsidRPr="2FC5D060">
        <w:rPr>
          <w:rFonts w:ascii="Calibri" w:eastAsia="Calibri" w:hAnsi="Calibri" w:cs="Calibri"/>
          <w:color w:val="1E293B"/>
          <w:sz w:val="22"/>
          <w:szCs w:val="22"/>
        </w:rPr>
        <w:t>without professional services.</w:t>
      </w:r>
    </w:p>
    <w:p w14:paraId="0811159E"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Vendor use of customer data: Gold's data is never used for vendor-internal benchmarking, model training, or product development without explicit written consent. Gold's can opt out completely.</w:t>
      </w:r>
    </w:p>
    <w:p w14:paraId="12770759"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UI replaceability: Every major member-facing surface can be fully replaced by a Gold's-built UI calling Zenoti's APIs.</w:t>
      </w:r>
    </w:p>
    <w:p w14:paraId="7B61969A" w14:textId="4D6C117F" w:rsidR="000204A6" w:rsidRDefault="00167C71" w:rsidP="2FC5D060">
      <w:pPr>
        <w:pStyle w:val="ListParagraph"/>
        <w:numPr>
          <w:ilvl w:val="0"/>
          <w:numId w:val="1"/>
        </w:numPr>
        <w:spacing w:before="60" w:after="60"/>
        <w:ind w:left="360" w:hanging="259"/>
        <w:rPr>
          <w:rFonts w:ascii="Calibri" w:eastAsia="Calibri" w:hAnsi="Calibri" w:cs="Calibri"/>
          <w:color w:val="1E293B"/>
          <w:sz w:val="22"/>
          <w:szCs w:val="22"/>
        </w:rPr>
      </w:pPr>
      <w:r w:rsidRPr="2FC5D060">
        <w:rPr>
          <w:rFonts w:ascii="Calibri" w:eastAsia="Calibri" w:hAnsi="Calibri" w:cs="Calibri"/>
          <w:color w:val="1E293B"/>
          <w:sz w:val="22"/>
          <w:szCs w:val="22"/>
        </w:rPr>
        <w:t xml:space="preserve">Exit: On exit, Zenoti delivers all data in </w:t>
      </w:r>
      <w:r w:rsidR="686F1BAB" w:rsidRPr="2FC5D060">
        <w:rPr>
          <w:rFonts w:ascii="Calibri" w:eastAsia="Calibri" w:hAnsi="Calibri" w:cs="Calibri"/>
          <w:color w:val="1E293B"/>
          <w:sz w:val="22"/>
          <w:szCs w:val="22"/>
        </w:rPr>
        <w:t>our standar</w:t>
      </w:r>
      <w:r w:rsidRPr="2FC5D060">
        <w:rPr>
          <w:rFonts w:ascii="Calibri" w:eastAsia="Calibri" w:hAnsi="Calibri" w:cs="Calibri"/>
          <w:color w:val="1E293B"/>
          <w:sz w:val="22"/>
          <w:szCs w:val="22"/>
        </w:rPr>
        <w:t>d formats</w:t>
      </w:r>
      <w:r w:rsidR="3DE4FD72" w:rsidRPr="2FC5D060">
        <w:rPr>
          <w:rFonts w:ascii="Calibri" w:eastAsia="Calibri" w:hAnsi="Calibri" w:cs="Calibri"/>
          <w:color w:val="1E293B"/>
          <w:sz w:val="22"/>
          <w:szCs w:val="22"/>
        </w:rPr>
        <w:t xml:space="preserve"> and supports your organization as needed for your successful migration</w:t>
      </w:r>
      <w:r w:rsidRPr="2FC5D060">
        <w:rPr>
          <w:rFonts w:ascii="Calibri" w:eastAsia="Calibri" w:hAnsi="Calibri" w:cs="Calibri"/>
          <w:color w:val="1E293B"/>
          <w:sz w:val="22"/>
          <w:szCs w:val="22"/>
        </w:rPr>
        <w:t xml:space="preserve">. </w:t>
      </w:r>
      <w:r w:rsidR="2090C43D" w:rsidRPr="2FC5D060">
        <w:rPr>
          <w:rFonts w:ascii="Calibri" w:eastAsia="Calibri" w:hAnsi="Calibri" w:cs="Calibri"/>
          <w:color w:val="1E293B"/>
          <w:sz w:val="22"/>
          <w:szCs w:val="22"/>
        </w:rPr>
        <w:t>You will also have access to your data in a RedShift environment if you elect to use that service which will also provide you access to the data needed.</w:t>
      </w:r>
      <w:r w:rsidRPr="2FC5D060">
        <w:rPr>
          <w:rFonts w:ascii="Calibri" w:eastAsia="Calibri" w:hAnsi="Calibri" w:cs="Calibri"/>
          <w:color w:val="1E293B"/>
          <w:sz w:val="22"/>
          <w:szCs w:val="22"/>
        </w:rPr>
        <w:t xml:space="preserve"> (Exhibit A).</w:t>
      </w:r>
    </w:p>
    <w:p w14:paraId="69DB97C4" w14:textId="77777777" w:rsidR="000204A6" w:rsidRDefault="00167C71">
      <w:pPr>
        <w:pStyle w:val="Heading2"/>
        <w:spacing w:before="400" w:after="120"/>
      </w:pPr>
      <w:r>
        <w:rPr>
          <w:rFonts w:ascii="Calibri" w:eastAsia="Calibri" w:hAnsi="Calibri" w:cs="Calibri"/>
          <w:b/>
          <w:bCs/>
          <w:color w:val="1B2A6B"/>
          <w:sz w:val="28"/>
          <w:szCs w:val="28"/>
        </w:rPr>
        <w:t>6.7 Innovation</w:t>
      </w:r>
    </w:p>
    <w:p w14:paraId="285A23EE" w14:textId="77777777" w:rsidR="000204A6" w:rsidRDefault="00167C71">
      <w:pPr>
        <w:spacing w:before="80" w:after="120"/>
      </w:pPr>
      <w:r>
        <w:rPr>
          <w:rFonts w:ascii="Calibri" w:eastAsia="Calibri" w:hAnsi="Calibri" w:cs="Calibri"/>
          <w:color w:val="1E293B"/>
          <w:sz w:val="22"/>
          <w:szCs w:val="22"/>
        </w:rPr>
        <w:t>Zenoti's release process requires 100% automation pass, QA regression sign-off, 100% performance pass, and cross-functional release approval (PM, Engineering, SRE, Support) before any code reaches production (Exhibit B, Release Process). Sandbox previews are provided to customers for regression testing. Customers may request release delays for defined business events.</w:t>
      </w:r>
    </w:p>
    <w:p w14:paraId="25212041" w14:textId="77777777" w:rsidR="000204A6" w:rsidRDefault="00167C71">
      <w:pPr>
        <w:spacing w:before="80" w:after="120"/>
      </w:pPr>
      <w:r w:rsidRPr="2FC5D060">
        <w:rPr>
          <w:rFonts w:ascii="Calibri" w:eastAsia="Calibri" w:hAnsi="Calibri" w:cs="Calibri"/>
          <w:color w:val="1E293B"/>
          <w:sz w:val="22"/>
          <w:szCs w:val="22"/>
        </w:rPr>
        <w:t>Platform components are built on a modern microservices architecture: Kubernetes, Docker, Apache Kafka, Amazon DynamoDB, DocumentDB, and Redis, alongside the core SQL Server data layer — enabling independent scaling and innovation without disrupting the member management core (Exhibit B).</w:t>
      </w:r>
    </w:p>
    <w:p w14:paraId="005D4AA8" w14:textId="2BFE06FE" w:rsidR="35C5142A" w:rsidRDefault="35C5142A" w:rsidP="2FC5D060">
      <w:pPr>
        <w:spacing w:before="80" w:after="120"/>
        <w:rPr>
          <w:rFonts w:ascii="Calibri" w:eastAsia="Calibri" w:hAnsi="Calibri" w:cs="Calibri"/>
          <w:color w:val="1E293B"/>
          <w:sz w:val="22"/>
          <w:szCs w:val="22"/>
        </w:rPr>
      </w:pPr>
      <w:r w:rsidRPr="2FC5D060">
        <w:rPr>
          <w:rFonts w:ascii="Calibri" w:eastAsia="Calibri" w:hAnsi="Calibri" w:cs="Calibri"/>
          <w:color w:val="1E293B"/>
          <w:sz w:val="22"/>
          <w:szCs w:val="22"/>
        </w:rPr>
        <w:t>Zenoti typically has new product releases happening every 2 to 3 months which involve the release of significant product innovation and intermediate releases to release important critical features, hotfixes and security fixes to our product environments.</w:t>
      </w:r>
    </w:p>
    <w:p w14:paraId="02DF1956" w14:textId="77777777" w:rsidR="000204A6" w:rsidRDefault="000204A6">
      <w:pPr>
        <w:pBdr>
          <w:bottom w:val="single" w:sz="6" w:space="1" w:color="00B4D8"/>
        </w:pBdr>
        <w:spacing w:before="200" w:after="200"/>
      </w:pPr>
    </w:p>
    <w:p w14:paraId="43DBA2CD" w14:textId="77777777" w:rsidR="000204A6" w:rsidRDefault="00167C71">
      <w:pPr>
        <w:pStyle w:val="Heading1"/>
        <w:spacing w:before="400" w:after="120"/>
      </w:pPr>
      <w:r>
        <w:rPr>
          <w:rFonts w:ascii="Calibri" w:eastAsia="Calibri" w:hAnsi="Calibri" w:cs="Calibri"/>
          <w:b/>
          <w:bCs/>
          <w:color w:val="1B2A6B"/>
          <w:sz w:val="36"/>
          <w:szCs w:val="36"/>
        </w:rPr>
        <w:t>Section 7 — Franchise &amp; Multi-Tenant Architecture</w:t>
      </w:r>
    </w:p>
    <w:p w14:paraId="5C0172E8" w14:textId="77777777" w:rsidR="000204A6" w:rsidRDefault="00167C71">
      <w:pPr>
        <w:pStyle w:val="Heading2"/>
        <w:spacing w:before="400" w:after="120"/>
      </w:pPr>
      <w:r>
        <w:rPr>
          <w:rFonts w:ascii="Calibri" w:eastAsia="Calibri" w:hAnsi="Calibri" w:cs="Calibri"/>
          <w:b/>
          <w:bCs/>
          <w:color w:val="1B2A6B"/>
          <w:sz w:val="28"/>
          <w:szCs w:val="28"/>
        </w:rPr>
        <w:t>7.1 Centralized Data, Decentralized Execution</w:t>
      </w:r>
    </w:p>
    <w:p w14:paraId="3EA2165B" w14:textId="77777777" w:rsidR="000204A6" w:rsidRDefault="00167C71">
      <w:pPr>
        <w:spacing w:before="80" w:after="120"/>
      </w:pPr>
      <w:r>
        <w:rPr>
          <w:rFonts w:ascii="Calibri" w:eastAsia="Calibri" w:hAnsi="Calibri" w:cs="Calibri"/>
          <w:color w:val="1E293B"/>
          <w:sz w:val="22"/>
          <w:szCs w:val="22"/>
        </w:rPr>
        <w:t>Corporate has full network visibility and reporting across all locations while each franchisee sees and controls only their own location data. There are no direct Zenoti-to-franchisee consumer apps that bypass Gold's-controlled surfaces. Zenoti's Point of Delivery (POD) model delivers the service regionally while maintaining a unified data layer for corporate reporting (Exhibit B, Handling Scale slide).</w:t>
      </w:r>
    </w:p>
    <w:p w14:paraId="6B40865C" w14:textId="77777777" w:rsidR="000204A6" w:rsidRDefault="00167C71">
      <w:pPr>
        <w:pStyle w:val="Heading2"/>
        <w:spacing w:before="400" w:after="120"/>
      </w:pPr>
      <w:r>
        <w:rPr>
          <w:rFonts w:ascii="Calibri" w:eastAsia="Calibri" w:hAnsi="Calibri" w:cs="Calibri"/>
          <w:b/>
          <w:bCs/>
          <w:color w:val="1B2A6B"/>
          <w:sz w:val="28"/>
          <w:szCs w:val="28"/>
        </w:rPr>
        <w:t>7.2 Configuration Hierarchy</w:t>
      </w:r>
    </w:p>
    <w:p w14:paraId="256F6771" w14:textId="77777777" w:rsidR="000204A6" w:rsidRDefault="00167C71">
      <w:pPr>
        <w:spacing w:before="80" w:after="120"/>
      </w:pPr>
      <w:r>
        <w:rPr>
          <w:rFonts w:ascii="Calibri" w:eastAsia="Calibri" w:hAnsi="Calibri" w:cs="Calibri"/>
          <w:color w:val="1E293B"/>
          <w:sz w:val="22"/>
          <w:szCs w:val="22"/>
        </w:rPr>
        <w:t>Zenoti's franchise configuration hierarchy supports: corporate-mandated settings that cannot be overridden at the franchise level; and franchisee-configurable settings within corporate-defined guardrails. The boundary between mandatory and optional is fully configurable by corporate.</w:t>
      </w:r>
    </w:p>
    <w:p w14:paraId="3DE022CE" w14:textId="77777777" w:rsidR="000204A6" w:rsidRDefault="00167C71">
      <w:pPr>
        <w:pStyle w:val="Heading2"/>
        <w:spacing w:before="400" w:after="120"/>
      </w:pPr>
      <w:r>
        <w:rPr>
          <w:rFonts w:ascii="Calibri" w:eastAsia="Calibri" w:hAnsi="Calibri" w:cs="Calibri"/>
          <w:b/>
          <w:bCs/>
          <w:color w:val="1B2A6B"/>
          <w:sz w:val="28"/>
          <w:szCs w:val="28"/>
        </w:rPr>
        <w:t>7.3 Scale &amp; Onboarding</w:t>
      </w:r>
    </w:p>
    <w:p w14:paraId="5AA420FC" w14:textId="77777777" w:rsidR="000204A6" w:rsidRDefault="00167C71">
      <w:pPr>
        <w:spacing w:before="80" w:after="120"/>
      </w:pPr>
      <w:r>
        <w:rPr>
          <w:rFonts w:ascii="Calibri" w:eastAsia="Calibri" w:hAnsi="Calibri" w:cs="Calibri"/>
          <w:color w:val="1E293B"/>
          <w:sz w:val="22"/>
          <w:szCs w:val="22"/>
        </w:rPr>
        <w:t>Zenoti's enterprise onboarding methodology (Exhibit C — Implementation Customer Engagement Guide Ver 3.2) is prescriptive yet flexible, structured in four phases: Onboarding/SoW, Solution &amp; System Review, Training, and Go-Live. For Gold's ~180 (growing) locations, Zenoti recommends:</w:t>
      </w:r>
    </w:p>
    <w:p w14:paraId="65924FD1"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Wave 0 (Weeks 1–8): 3–5 pilot corporate-owned locations. Parallel run with incumbent. Full integration validation and franchisee feedback.</w:t>
      </w:r>
    </w:p>
    <w:p w14:paraId="390CF0D3"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Wave 1 (Weeks 9–20): 30–40 locations, mix of corporate and franchise. Validate onboarding playbook and training materials.</w:t>
      </w:r>
    </w:p>
    <w:p w14:paraId="407F97B5" w14:textId="77777777" w:rsidR="000204A6" w:rsidRDefault="00167C71" w:rsidP="2FC5D060">
      <w:pPr>
        <w:pStyle w:val="ListParagraph"/>
        <w:numPr>
          <w:ilvl w:val="0"/>
          <w:numId w:val="1"/>
        </w:numPr>
        <w:spacing w:before="60" w:after="60"/>
        <w:ind w:left="360" w:hanging="259"/>
        <w:rPr>
          <w:rFonts w:ascii="Calibri" w:eastAsia="Calibri" w:hAnsi="Calibri" w:cs="Calibri"/>
          <w:color w:val="1E293B"/>
          <w:sz w:val="22"/>
          <w:szCs w:val="22"/>
        </w:rPr>
      </w:pPr>
      <w:r w:rsidRPr="2FC5D060">
        <w:rPr>
          <w:rFonts w:ascii="Calibri" w:eastAsia="Calibri" w:hAnsi="Calibri" w:cs="Calibri"/>
          <w:color w:val="1E293B"/>
          <w:sz w:val="22"/>
          <w:szCs w:val="22"/>
        </w:rPr>
        <w:t>Waves 2–N (Weeks 21–52): Regional rollout in cohorts of 30–50. Incumbent decommissioned per location on go-live verification.</w:t>
      </w:r>
    </w:p>
    <w:p w14:paraId="76D21800" w14:textId="1B43F457" w:rsidR="7D743E1D" w:rsidRDefault="7D743E1D" w:rsidP="2FC5D060">
      <w:pPr>
        <w:spacing w:before="60" w:after="60"/>
      </w:pPr>
      <w:r w:rsidRPr="2FC5D060">
        <w:rPr>
          <w:rFonts w:ascii="Calibri" w:eastAsia="Calibri" w:hAnsi="Calibri" w:cs="Calibri"/>
          <w:color w:val="1E293B"/>
          <w:sz w:val="22"/>
          <w:szCs w:val="22"/>
        </w:rPr>
        <w:t>Please review Exhibit C for further details.</w:t>
      </w:r>
    </w:p>
    <w:p w14:paraId="67DA364B" w14:textId="77777777" w:rsidR="000204A6" w:rsidRDefault="00167C71">
      <w:pPr>
        <w:pStyle w:val="Heading2"/>
        <w:spacing w:before="400" w:after="120"/>
      </w:pPr>
      <w:r>
        <w:rPr>
          <w:rFonts w:ascii="Calibri" w:eastAsia="Calibri" w:hAnsi="Calibri" w:cs="Calibri"/>
          <w:b/>
          <w:bCs/>
          <w:color w:val="1B2A6B"/>
          <w:sz w:val="28"/>
          <w:szCs w:val="28"/>
        </w:rPr>
        <w:t>7.4 Brand Standard Enforcement</w:t>
      </w:r>
    </w:p>
    <w:p w14:paraId="3961C8B8" w14:textId="77777777" w:rsidR="000204A6" w:rsidRDefault="00167C71">
      <w:pPr>
        <w:spacing w:before="80" w:after="120"/>
      </w:pPr>
      <w:r>
        <w:rPr>
          <w:rFonts w:ascii="Calibri" w:eastAsia="Calibri" w:hAnsi="Calibri" w:cs="Calibri"/>
          <w:color w:val="1E293B"/>
          <w:sz w:val="22"/>
          <w:szCs w:val="22"/>
        </w:rPr>
        <w:t>Zenoti enforces brand standards at the corporate configuration level while preserving franchisee operational autonomy. Corporate controls member agreement text, required disclosures, and payment terms; franchisees control local promotional pricing within corporate-defined bands.</w:t>
      </w:r>
    </w:p>
    <w:p w14:paraId="775DFCC7" w14:textId="77777777" w:rsidR="000204A6" w:rsidRDefault="000204A6">
      <w:pPr>
        <w:pBdr>
          <w:bottom w:val="single" w:sz="6" w:space="1" w:color="00B4D8"/>
        </w:pBdr>
        <w:spacing w:before="200" w:after="200"/>
      </w:pPr>
    </w:p>
    <w:p w14:paraId="6BB75880" w14:textId="77777777" w:rsidR="000204A6" w:rsidRDefault="00167C71">
      <w:pPr>
        <w:pStyle w:val="Heading1"/>
        <w:spacing w:before="400" w:after="120"/>
      </w:pPr>
      <w:r>
        <w:rPr>
          <w:rFonts w:ascii="Calibri" w:eastAsia="Calibri" w:hAnsi="Calibri" w:cs="Calibri"/>
          <w:b/>
          <w:bCs/>
          <w:color w:val="1B2A6B"/>
          <w:sz w:val="36"/>
          <w:szCs w:val="36"/>
        </w:rPr>
        <w:t>Section 8 — Security, Compliance &amp; Data Privacy</w:t>
      </w:r>
    </w:p>
    <w:p w14:paraId="73CB0A3A" w14:textId="77777777" w:rsidR="000204A6" w:rsidRDefault="00167C71">
      <w:pPr>
        <w:spacing w:before="80" w:after="120"/>
      </w:pPr>
      <w:r>
        <w:rPr>
          <w:rFonts w:ascii="Calibri" w:eastAsia="Calibri" w:hAnsi="Calibri" w:cs="Calibri"/>
          <w:color w:val="1E293B"/>
          <w:sz w:val="22"/>
          <w:szCs w:val="22"/>
        </w:rPr>
        <w:t>All compliance documentation is available at trust.zenoti.com. Current certifications and reports are provided under NDA. Exhibit B (Technology Architecture Overview) provides full detail on cloud security tooling.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04A6" w14:paraId="2EBFD9D4" w14:textId="77777777">
        <w:tc>
          <w:tcPr>
            <w:tcW w:w="4500" w:type="dxa"/>
            <w:shd w:val="clear" w:color="auto" w:fill="1B2A6B"/>
            <w:tcMar>
              <w:top w:w="80" w:type="dxa"/>
              <w:left w:w="120" w:type="dxa"/>
              <w:bottom w:w="80" w:type="dxa"/>
              <w:right w:w="120" w:type="dxa"/>
            </w:tcMar>
          </w:tcPr>
          <w:p w14:paraId="4F544A48" w14:textId="77777777" w:rsidR="000204A6" w:rsidRDefault="00167C71">
            <w:r>
              <w:rPr>
                <w:rFonts w:ascii="Calibri" w:eastAsia="Calibri" w:hAnsi="Calibri" w:cs="Calibri"/>
                <w:b/>
                <w:bCs/>
                <w:color w:val="FFFFFF"/>
                <w:sz w:val="19"/>
                <w:szCs w:val="19"/>
              </w:rPr>
              <w:t>Area</w:t>
            </w:r>
          </w:p>
        </w:tc>
        <w:tc>
          <w:tcPr>
            <w:tcW w:w="4500" w:type="dxa"/>
            <w:shd w:val="clear" w:color="auto" w:fill="1B2A6B"/>
            <w:tcMar>
              <w:top w:w="80" w:type="dxa"/>
              <w:left w:w="120" w:type="dxa"/>
              <w:bottom w:w="80" w:type="dxa"/>
              <w:right w:w="120" w:type="dxa"/>
            </w:tcMar>
          </w:tcPr>
          <w:p w14:paraId="6FB285B1" w14:textId="77777777" w:rsidR="000204A6" w:rsidRDefault="00167C71">
            <w:r>
              <w:rPr>
                <w:rFonts w:ascii="Calibri" w:eastAsia="Calibri" w:hAnsi="Calibri" w:cs="Calibri"/>
                <w:b/>
                <w:bCs/>
                <w:color w:val="FFFFFF"/>
                <w:sz w:val="19"/>
                <w:szCs w:val="19"/>
              </w:rPr>
              <w:t>Zenoti Posture</w:t>
            </w:r>
          </w:p>
        </w:tc>
      </w:tr>
      <w:tr w:rsidR="000204A6" w14:paraId="0E66C331" w14:textId="77777777">
        <w:tc>
          <w:tcPr>
            <w:tcW w:w="4500" w:type="dxa"/>
            <w:shd w:val="clear" w:color="auto" w:fill="FFFFFF"/>
            <w:tcMar>
              <w:top w:w="80" w:type="dxa"/>
              <w:left w:w="120" w:type="dxa"/>
              <w:bottom w:w="80" w:type="dxa"/>
              <w:right w:w="120" w:type="dxa"/>
            </w:tcMar>
          </w:tcPr>
          <w:p w14:paraId="11145DAE" w14:textId="77777777" w:rsidR="000204A6" w:rsidRDefault="00167C71">
            <w:r>
              <w:rPr>
                <w:rFonts w:ascii="Calibri" w:eastAsia="Calibri" w:hAnsi="Calibri" w:cs="Calibri"/>
                <w:color w:val="1E293B"/>
              </w:rPr>
              <w:t>PCI-DSS</w:t>
            </w:r>
          </w:p>
        </w:tc>
        <w:tc>
          <w:tcPr>
            <w:tcW w:w="4500" w:type="dxa"/>
            <w:shd w:val="clear" w:color="auto" w:fill="FFFFFF"/>
            <w:tcMar>
              <w:top w:w="80" w:type="dxa"/>
              <w:left w:w="120" w:type="dxa"/>
              <w:bottom w:w="80" w:type="dxa"/>
              <w:right w:w="120" w:type="dxa"/>
            </w:tcMar>
          </w:tcPr>
          <w:p w14:paraId="555A9083" w14:textId="77777777" w:rsidR="000204A6" w:rsidRDefault="00167C71">
            <w:r>
              <w:rPr>
                <w:rFonts w:ascii="Calibri" w:eastAsia="Calibri" w:hAnsi="Calibri" w:cs="Calibri"/>
                <w:color w:val="1E293B"/>
              </w:rPr>
              <w:t>PCI-DSS v3.2.1 certified — no exceptions. Current certificate of compliance available (Exhibit B, Payments slide). Gold's retains its own processor relationship; Zenoti is the service provider.</w:t>
            </w:r>
          </w:p>
        </w:tc>
      </w:tr>
      <w:tr w:rsidR="000204A6" w14:paraId="55FCAE71" w14:textId="77777777">
        <w:tc>
          <w:tcPr>
            <w:tcW w:w="4500" w:type="dxa"/>
            <w:shd w:val="clear" w:color="auto" w:fill="F8FAFC"/>
            <w:tcMar>
              <w:top w:w="80" w:type="dxa"/>
              <w:left w:w="120" w:type="dxa"/>
              <w:bottom w:w="80" w:type="dxa"/>
              <w:right w:w="120" w:type="dxa"/>
            </w:tcMar>
          </w:tcPr>
          <w:p w14:paraId="175ADADD" w14:textId="77777777" w:rsidR="000204A6" w:rsidRDefault="00167C71">
            <w:r>
              <w:rPr>
                <w:rFonts w:ascii="Calibri" w:eastAsia="Calibri" w:hAnsi="Calibri" w:cs="Calibri"/>
                <w:color w:val="1E293B"/>
              </w:rPr>
              <w:t>SOC 1 Type 2</w:t>
            </w:r>
          </w:p>
        </w:tc>
        <w:tc>
          <w:tcPr>
            <w:tcW w:w="4500" w:type="dxa"/>
            <w:shd w:val="clear" w:color="auto" w:fill="F8FAFC"/>
            <w:tcMar>
              <w:top w:w="80" w:type="dxa"/>
              <w:left w:w="120" w:type="dxa"/>
              <w:bottom w:w="80" w:type="dxa"/>
              <w:right w:w="120" w:type="dxa"/>
            </w:tcMar>
          </w:tcPr>
          <w:p w14:paraId="138AFC45" w14:textId="77777777" w:rsidR="000204A6" w:rsidRDefault="00167C71">
            <w:r>
              <w:rPr>
                <w:rFonts w:ascii="Calibri" w:eastAsia="Calibri" w:hAnsi="Calibri" w:cs="Calibri"/>
                <w:color w:val="1E293B"/>
              </w:rPr>
              <w:t>Completed — no exceptions (Exhibit B, Compliance slide). Report available under NDA.</w:t>
            </w:r>
          </w:p>
        </w:tc>
      </w:tr>
      <w:tr w:rsidR="000204A6" w14:paraId="0E61B500" w14:textId="77777777">
        <w:tc>
          <w:tcPr>
            <w:tcW w:w="4500" w:type="dxa"/>
            <w:shd w:val="clear" w:color="auto" w:fill="FFFFFF"/>
            <w:tcMar>
              <w:top w:w="80" w:type="dxa"/>
              <w:left w:w="120" w:type="dxa"/>
              <w:bottom w:w="80" w:type="dxa"/>
              <w:right w:w="120" w:type="dxa"/>
            </w:tcMar>
          </w:tcPr>
          <w:p w14:paraId="59BD1AE9" w14:textId="77777777" w:rsidR="000204A6" w:rsidRDefault="00167C71">
            <w:r>
              <w:rPr>
                <w:rFonts w:ascii="Calibri" w:eastAsia="Calibri" w:hAnsi="Calibri" w:cs="Calibri"/>
                <w:color w:val="1E293B"/>
              </w:rPr>
              <w:t>SOC 2 Type 2</w:t>
            </w:r>
          </w:p>
        </w:tc>
        <w:tc>
          <w:tcPr>
            <w:tcW w:w="4500" w:type="dxa"/>
            <w:shd w:val="clear" w:color="auto" w:fill="FFFFFF"/>
            <w:tcMar>
              <w:top w:w="80" w:type="dxa"/>
              <w:left w:w="120" w:type="dxa"/>
              <w:bottom w:w="80" w:type="dxa"/>
              <w:right w:w="120" w:type="dxa"/>
            </w:tcMar>
          </w:tcPr>
          <w:p w14:paraId="46BE5222" w14:textId="77777777" w:rsidR="000204A6" w:rsidRDefault="00167C71">
            <w:r>
              <w:rPr>
                <w:rFonts w:ascii="Calibri" w:eastAsia="Calibri" w:hAnsi="Calibri" w:cs="Calibri"/>
                <w:color w:val="1E293B"/>
              </w:rPr>
              <w:t>Completed — no exceptions (Exhibit B). Report available under NDA.</w:t>
            </w:r>
          </w:p>
        </w:tc>
      </w:tr>
      <w:tr w:rsidR="000204A6" w14:paraId="24E11D18" w14:textId="77777777">
        <w:tc>
          <w:tcPr>
            <w:tcW w:w="4500" w:type="dxa"/>
            <w:shd w:val="clear" w:color="auto" w:fill="F8FAFC"/>
            <w:tcMar>
              <w:top w:w="80" w:type="dxa"/>
              <w:left w:w="120" w:type="dxa"/>
              <w:bottom w:w="80" w:type="dxa"/>
              <w:right w:w="120" w:type="dxa"/>
            </w:tcMar>
          </w:tcPr>
          <w:p w14:paraId="556981E3" w14:textId="77777777" w:rsidR="000204A6" w:rsidRDefault="00167C71">
            <w:r>
              <w:rPr>
                <w:rFonts w:ascii="Calibri" w:eastAsia="Calibri" w:hAnsi="Calibri" w:cs="Calibri"/>
                <w:color w:val="1E293B"/>
              </w:rPr>
              <w:t>HIPAA</w:t>
            </w:r>
          </w:p>
        </w:tc>
        <w:tc>
          <w:tcPr>
            <w:tcW w:w="4500" w:type="dxa"/>
            <w:shd w:val="clear" w:color="auto" w:fill="F8FAFC"/>
            <w:tcMar>
              <w:top w:w="80" w:type="dxa"/>
              <w:left w:w="120" w:type="dxa"/>
              <w:bottom w:w="80" w:type="dxa"/>
              <w:right w:w="120" w:type="dxa"/>
            </w:tcMar>
          </w:tcPr>
          <w:p w14:paraId="4BA8C6D8" w14:textId="77777777" w:rsidR="000204A6" w:rsidRDefault="00167C71">
            <w:r>
              <w:rPr>
                <w:rFonts w:ascii="Calibri" w:eastAsia="Calibri" w:hAnsi="Calibri" w:cs="Calibri"/>
                <w:color w:val="1E293B"/>
              </w:rPr>
              <w:t>Assessment completed — no exceptions (Exhibit B). BAA execution supported for health-adjacent data use cases.</w:t>
            </w:r>
          </w:p>
        </w:tc>
      </w:tr>
      <w:tr w:rsidR="000204A6" w14:paraId="25F32A5B" w14:textId="77777777">
        <w:tc>
          <w:tcPr>
            <w:tcW w:w="4500" w:type="dxa"/>
            <w:shd w:val="clear" w:color="auto" w:fill="FFFFFF"/>
            <w:tcMar>
              <w:top w:w="80" w:type="dxa"/>
              <w:left w:w="120" w:type="dxa"/>
              <w:bottom w:w="80" w:type="dxa"/>
              <w:right w:w="120" w:type="dxa"/>
            </w:tcMar>
          </w:tcPr>
          <w:p w14:paraId="6B25E647" w14:textId="77777777" w:rsidR="000204A6" w:rsidRDefault="00167C71">
            <w:r>
              <w:rPr>
                <w:rFonts w:ascii="Calibri" w:eastAsia="Calibri" w:hAnsi="Calibri" w:cs="Calibri"/>
                <w:color w:val="1E293B"/>
              </w:rPr>
              <w:t>CCPA / GDPR</w:t>
            </w:r>
          </w:p>
        </w:tc>
        <w:tc>
          <w:tcPr>
            <w:tcW w:w="4500" w:type="dxa"/>
            <w:shd w:val="clear" w:color="auto" w:fill="FFFFFF"/>
            <w:tcMar>
              <w:top w:w="80" w:type="dxa"/>
              <w:left w:w="120" w:type="dxa"/>
              <w:bottom w:w="80" w:type="dxa"/>
              <w:right w:w="120" w:type="dxa"/>
            </w:tcMar>
          </w:tcPr>
          <w:p w14:paraId="2800135A" w14:textId="77777777" w:rsidR="000204A6" w:rsidRDefault="00167C71">
            <w:r>
              <w:rPr>
                <w:rFonts w:ascii="Calibri" w:eastAsia="Calibri" w:hAnsi="Calibri" w:cs="Calibri"/>
                <w:color w:val="1E293B"/>
              </w:rPr>
              <w:t>Completed. Data subject access request workflows, consent capture and revocation are native platform features. GDPR compliance supported in European deployment.</w:t>
            </w:r>
          </w:p>
        </w:tc>
      </w:tr>
      <w:tr w:rsidR="000204A6" w14:paraId="739B4371" w14:textId="77777777">
        <w:tc>
          <w:tcPr>
            <w:tcW w:w="4500" w:type="dxa"/>
            <w:shd w:val="clear" w:color="auto" w:fill="F8FAFC"/>
            <w:tcMar>
              <w:top w:w="80" w:type="dxa"/>
              <w:left w:w="120" w:type="dxa"/>
              <w:bottom w:w="80" w:type="dxa"/>
              <w:right w:w="120" w:type="dxa"/>
            </w:tcMar>
          </w:tcPr>
          <w:p w14:paraId="7CACA38C" w14:textId="77777777" w:rsidR="000204A6" w:rsidRDefault="00167C71">
            <w:r>
              <w:rPr>
                <w:rFonts w:ascii="Calibri" w:eastAsia="Calibri" w:hAnsi="Calibri" w:cs="Calibri"/>
                <w:color w:val="1E293B"/>
              </w:rPr>
              <w:t>PIPEDA</w:t>
            </w:r>
          </w:p>
        </w:tc>
        <w:tc>
          <w:tcPr>
            <w:tcW w:w="4500" w:type="dxa"/>
            <w:shd w:val="clear" w:color="auto" w:fill="F8FAFC"/>
            <w:tcMar>
              <w:top w:w="80" w:type="dxa"/>
              <w:left w:w="120" w:type="dxa"/>
              <w:bottom w:w="80" w:type="dxa"/>
              <w:right w:w="120" w:type="dxa"/>
            </w:tcMar>
          </w:tcPr>
          <w:p w14:paraId="060B1E6F" w14:textId="77777777" w:rsidR="000204A6" w:rsidRDefault="00167C71">
            <w:r>
              <w:rPr>
                <w:rFonts w:ascii="Calibri" w:eastAsia="Calibri" w:hAnsi="Calibri" w:cs="Calibri"/>
                <w:color w:val="1E293B"/>
              </w:rPr>
              <w:t>Completed (Canada, supported via Canada Central AWS region).</w:t>
            </w:r>
          </w:p>
        </w:tc>
      </w:tr>
      <w:tr w:rsidR="000204A6" w14:paraId="154C834A" w14:textId="77777777">
        <w:tc>
          <w:tcPr>
            <w:tcW w:w="4500" w:type="dxa"/>
            <w:shd w:val="clear" w:color="auto" w:fill="FFFFFF"/>
            <w:tcMar>
              <w:top w:w="80" w:type="dxa"/>
              <w:left w:w="120" w:type="dxa"/>
              <w:bottom w:w="80" w:type="dxa"/>
              <w:right w:w="120" w:type="dxa"/>
            </w:tcMar>
          </w:tcPr>
          <w:p w14:paraId="26772BF5" w14:textId="77777777" w:rsidR="000204A6" w:rsidRDefault="00167C71">
            <w:r>
              <w:rPr>
                <w:rFonts w:ascii="Calibri" w:eastAsia="Calibri" w:hAnsi="Calibri" w:cs="Calibri"/>
                <w:color w:val="1E293B"/>
              </w:rPr>
              <w:t>Cloud security tooling</w:t>
            </w:r>
          </w:p>
        </w:tc>
        <w:tc>
          <w:tcPr>
            <w:tcW w:w="4500" w:type="dxa"/>
            <w:shd w:val="clear" w:color="auto" w:fill="FFFFFF"/>
            <w:tcMar>
              <w:top w:w="80" w:type="dxa"/>
              <w:left w:w="120" w:type="dxa"/>
              <w:bottom w:w="80" w:type="dxa"/>
              <w:right w:w="120" w:type="dxa"/>
            </w:tcMar>
          </w:tcPr>
          <w:p w14:paraId="44DE0AAE" w14:textId="77777777" w:rsidR="000204A6" w:rsidRDefault="00167C71">
            <w:r>
              <w:rPr>
                <w:rFonts w:ascii="Calibri" w:eastAsia="Calibri" w:hAnsi="Calibri" w:cs="Calibri"/>
                <w:color w:val="1E293B"/>
              </w:rPr>
              <w:t>AWS Shield Advanced (DDoS), AWS WAF (exploits), AWS GuardDuty (threat detection), Tenable (hardening), Trend Micro (malware/FIM), Datadog SIEM (Exhibit B, Cloud Security slide).</w:t>
            </w:r>
          </w:p>
        </w:tc>
      </w:tr>
      <w:tr w:rsidR="000204A6" w14:paraId="0E57FF06" w14:textId="77777777">
        <w:tc>
          <w:tcPr>
            <w:tcW w:w="4500" w:type="dxa"/>
            <w:shd w:val="clear" w:color="auto" w:fill="F8FAFC"/>
            <w:tcMar>
              <w:top w:w="80" w:type="dxa"/>
              <w:left w:w="120" w:type="dxa"/>
              <w:bottom w:w="80" w:type="dxa"/>
              <w:right w:w="120" w:type="dxa"/>
            </w:tcMar>
          </w:tcPr>
          <w:p w14:paraId="33556BB3" w14:textId="77777777" w:rsidR="000204A6" w:rsidRDefault="00167C71">
            <w:r>
              <w:rPr>
                <w:rFonts w:ascii="Calibri" w:eastAsia="Calibri" w:hAnsi="Calibri" w:cs="Calibri"/>
                <w:color w:val="1E293B"/>
              </w:rPr>
              <w:t>IT security</w:t>
            </w:r>
          </w:p>
        </w:tc>
        <w:tc>
          <w:tcPr>
            <w:tcW w:w="4500" w:type="dxa"/>
            <w:shd w:val="clear" w:color="auto" w:fill="F8FAFC"/>
            <w:tcMar>
              <w:top w:w="80" w:type="dxa"/>
              <w:left w:w="120" w:type="dxa"/>
              <w:bottom w:w="80" w:type="dxa"/>
              <w:right w:w="120" w:type="dxa"/>
            </w:tcMar>
          </w:tcPr>
          <w:p w14:paraId="6F11863F" w14:textId="77777777" w:rsidR="000204A6" w:rsidRDefault="00167C71">
            <w:r>
              <w:rPr>
                <w:rFonts w:ascii="Calibri" w:eastAsia="Calibri" w:hAnsi="Calibri" w:cs="Calibri"/>
                <w:color w:val="1E293B"/>
              </w:rPr>
              <w:t>Microsoft 365 E5 with Azure AD Premium, Microsoft Cloud App Security, Azure Information Protection, Microsoft Intune, Palo Alto GlobalProtect VPN (Exhibit B).</w:t>
            </w:r>
          </w:p>
        </w:tc>
      </w:tr>
      <w:tr w:rsidR="000204A6" w14:paraId="14D52229" w14:textId="77777777">
        <w:tc>
          <w:tcPr>
            <w:tcW w:w="4500" w:type="dxa"/>
            <w:shd w:val="clear" w:color="auto" w:fill="FFFFFF"/>
            <w:tcMar>
              <w:top w:w="80" w:type="dxa"/>
              <w:left w:w="120" w:type="dxa"/>
              <w:bottom w:w="80" w:type="dxa"/>
              <w:right w:w="120" w:type="dxa"/>
            </w:tcMar>
          </w:tcPr>
          <w:p w14:paraId="60DF3E74" w14:textId="77777777" w:rsidR="000204A6" w:rsidRDefault="00167C71">
            <w:r>
              <w:rPr>
                <w:rFonts w:ascii="Calibri" w:eastAsia="Calibri" w:hAnsi="Calibri" w:cs="Calibri"/>
                <w:color w:val="1E293B"/>
              </w:rPr>
              <w:t>Data residency &amp; encryption</w:t>
            </w:r>
          </w:p>
        </w:tc>
        <w:tc>
          <w:tcPr>
            <w:tcW w:w="4500" w:type="dxa"/>
            <w:shd w:val="clear" w:color="auto" w:fill="FFFFFF"/>
            <w:tcMar>
              <w:top w:w="80" w:type="dxa"/>
              <w:left w:w="120" w:type="dxa"/>
              <w:bottom w:w="80" w:type="dxa"/>
              <w:right w:w="120" w:type="dxa"/>
            </w:tcMar>
          </w:tcPr>
          <w:p w14:paraId="6F6BC799" w14:textId="77777777" w:rsidR="000204A6" w:rsidRDefault="00167C71">
            <w:r>
              <w:rPr>
                <w:rFonts w:ascii="Calibri" w:eastAsia="Calibri" w:hAnsi="Calibri" w:cs="Calibri"/>
                <w:color w:val="1E293B"/>
              </w:rPr>
              <w:t>U.S. East (N. Virginia) primary region. Encryption at rest and in transit. AWS Secrets Manager for key management. Cross-region backup via SQL Transactional Log Shipping (Exhibit B).</w:t>
            </w:r>
          </w:p>
        </w:tc>
      </w:tr>
      <w:tr w:rsidR="000204A6" w14:paraId="169F2C2F" w14:textId="77777777">
        <w:tc>
          <w:tcPr>
            <w:tcW w:w="4500" w:type="dxa"/>
            <w:shd w:val="clear" w:color="auto" w:fill="F8FAFC"/>
            <w:tcMar>
              <w:top w:w="80" w:type="dxa"/>
              <w:left w:w="120" w:type="dxa"/>
              <w:bottom w:w="80" w:type="dxa"/>
              <w:right w:w="120" w:type="dxa"/>
            </w:tcMar>
          </w:tcPr>
          <w:p w14:paraId="4F8C2FD2" w14:textId="77777777" w:rsidR="000204A6" w:rsidRDefault="00167C71">
            <w:r>
              <w:rPr>
                <w:rFonts w:ascii="Calibri" w:eastAsia="Calibri" w:hAnsi="Calibri" w:cs="Calibri"/>
                <w:color w:val="1E293B"/>
              </w:rPr>
              <w:t>Ransomware protection</w:t>
            </w:r>
          </w:p>
        </w:tc>
        <w:tc>
          <w:tcPr>
            <w:tcW w:w="4500" w:type="dxa"/>
            <w:shd w:val="clear" w:color="auto" w:fill="F8FAFC"/>
            <w:tcMar>
              <w:top w:w="80" w:type="dxa"/>
              <w:left w:w="120" w:type="dxa"/>
              <w:bottom w:w="80" w:type="dxa"/>
              <w:right w:w="120" w:type="dxa"/>
            </w:tcMar>
          </w:tcPr>
          <w:p w14:paraId="50137C94" w14:textId="77777777" w:rsidR="000204A6" w:rsidRDefault="00167C71">
            <w:r>
              <w:rPr>
                <w:rFonts w:ascii="Calibri" w:eastAsia="Calibri" w:hAnsi="Calibri" w:cs="Calibri"/>
                <w:color w:val="1E293B"/>
              </w:rPr>
              <w:t>Four-pillar plan: cross-region log shipping (RPO &lt; 45 min), cross-account AWS Backup replication, encryption at rest and in transit, monthly security patch cycle (Exhibit B).</w:t>
            </w:r>
          </w:p>
        </w:tc>
      </w:tr>
      <w:tr w:rsidR="000204A6" w14:paraId="35217836" w14:textId="77777777">
        <w:tc>
          <w:tcPr>
            <w:tcW w:w="4500" w:type="dxa"/>
            <w:shd w:val="clear" w:color="auto" w:fill="FFFFFF"/>
            <w:tcMar>
              <w:top w:w="80" w:type="dxa"/>
              <w:left w:w="120" w:type="dxa"/>
              <w:bottom w:w="80" w:type="dxa"/>
              <w:right w:w="120" w:type="dxa"/>
            </w:tcMar>
          </w:tcPr>
          <w:p w14:paraId="736EC88F" w14:textId="77777777" w:rsidR="000204A6" w:rsidRDefault="00167C71">
            <w:r>
              <w:rPr>
                <w:rFonts w:ascii="Calibri" w:eastAsia="Calibri" w:hAnsi="Calibri" w:cs="Calibri"/>
                <w:color w:val="1E293B"/>
              </w:rPr>
              <w:t>Access controls</w:t>
            </w:r>
          </w:p>
        </w:tc>
        <w:tc>
          <w:tcPr>
            <w:tcW w:w="4500" w:type="dxa"/>
            <w:shd w:val="clear" w:color="auto" w:fill="FFFFFF"/>
            <w:tcMar>
              <w:top w:w="80" w:type="dxa"/>
              <w:left w:w="120" w:type="dxa"/>
              <w:bottom w:w="80" w:type="dxa"/>
              <w:right w:w="120" w:type="dxa"/>
            </w:tcMar>
          </w:tcPr>
          <w:p w14:paraId="7C110CB5" w14:textId="77777777" w:rsidR="000204A6" w:rsidRDefault="00167C71">
            <w:r>
              <w:rPr>
                <w:rFonts w:ascii="Calibri" w:eastAsia="Calibri" w:hAnsi="Calibri" w:cs="Calibri"/>
                <w:color w:val="1E293B"/>
              </w:rPr>
              <w:t>RBAC with corporate/franchisee/location separation. SSO (SAML 2.0, OAuth) supported. CloudTrail audit logging enabled.</w:t>
            </w:r>
          </w:p>
        </w:tc>
      </w:tr>
      <w:tr w:rsidR="000204A6" w14:paraId="78F9CF22" w14:textId="77777777">
        <w:tc>
          <w:tcPr>
            <w:tcW w:w="4500" w:type="dxa"/>
            <w:shd w:val="clear" w:color="auto" w:fill="F8FAFC"/>
            <w:tcMar>
              <w:top w:w="80" w:type="dxa"/>
              <w:left w:w="120" w:type="dxa"/>
              <w:bottom w:w="80" w:type="dxa"/>
              <w:right w:w="120" w:type="dxa"/>
            </w:tcMar>
          </w:tcPr>
          <w:p w14:paraId="600D7E37" w14:textId="77777777" w:rsidR="000204A6" w:rsidRDefault="00167C71">
            <w:r>
              <w:rPr>
                <w:rFonts w:ascii="Calibri" w:eastAsia="Calibri" w:hAnsi="Calibri" w:cs="Calibri"/>
                <w:color w:val="1E293B"/>
              </w:rPr>
              <w:t>Accessibility</w:t>
            </w:r>
          </w:p>
        </w:tc>
        <w:tc>
          <w:tcPr>
            <w:tcW w:w="4500" w:type="dxa"/>
            <w:shd w:val="clear" w:color="auto" w:fill="F8FAFC"/>
            <w:tcMar>
              <w:top w:w="80" w:type="dxa"/>
              <w:left w:w="120" w:type="dxa"/>
              <w:bottom w:w="80" w:type="dxa"/>
              <w:right w:w="120" w:type="dxa"/>
            </w:tcMar>
          </w:tcPr>
          <w:p w14:paraId="00AFF294" w14:textId="77777777" w:rsidR="000204A6" w:rsidRDefault="00167C71">
            <w:r>
              <w:rPr>
                <w:rFonts w:ascii="Calibri" w:eastAsia="Calibri" w:hAnsi="Calibri" w:cs="Calibri"/>
                <w:color w:val="1E293B"/>
              </w:rPr>
              <w:t>Member-facing surfaces target WCAG 2.1 AA conformance.</w:t>
            </w:r>
          </w:p>
        </w:tc>
      </w:tr>
    </w:tbl>
    <w:p w14:paraId="228C5479" w14:textId="77777777" w:rsidR="000204A6" w:rsidRDefault="000204A6">
      <w:pPr>
        <w:pBdr>
          <w:bottom w:val="single" w:sz="6" w:space="1" w:color="00B4D8"/>
        </w:pBdr>
        <w:spacing w:before="200" w:after="200"/>
      </w:pPr>
    </w:p>
    <w:p w14:paraId="7C917467" w14:textId="77777777" w:rsidR="000204A6" w:rsidRDefault="00167C71">
      <w:pPr>
        <w:pStyle w:val="Heading1"/>
        <w:spacing w:before="400" w:after="120"/>
      </w:pPr>
      <w:r>
        <w:rPr>
          <w:rFonts w:ascii="Calibri" w:eastAsia="Calibri" w:hAnsi="Calibri" w:cs="Calibri"/>
          <w:b/>
          <w:bCs/>
          <w:color w:val="1B2A6B"/>
          <w:sz w:val="36"/>
          <w:szCs w:val="36"/>
        </w:rPr>
        <w:t>Section 9 — Service Levels (SLA)</w:t>
      </w:r>
    </w:p>
    <w:p w14:paraId="732B9A70" w14:textId="77777777" w:rsidR="000204A6" w:rsidRDefault="00167C71">
      <w:pPr>
        <w:spacing w:before="80" w:after="120"/>
      </w:pPr>
      <w:r>
        <w:rPr>
          <w:rFonts w:ascii="Calibri" w:eastAsia="Calibri" w:hAnsi="Calibri" w:cs="Calibri"/>
          <w:color w:val="1E293B"/>
          <w:sz w:val="22"/>
          <w:szCs w:val="22"/>
        </w:rPr>
        <w:t>The following commitments reflect Zenoti's standard SLA, provided as Exhibit A. Gold's is welcome to review the full SLA document prior to the proposal 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0204A6" w14:paraId="4A188BE2" w14:textId="77777777">
        <w:tc>
          <w:tcPr>
            <w:tcW w:w="4500" w:type="dxa"/>
            <w:shd w:val="clear" w:color="auto" w:fill="1B2A6B"/>
            <w:tcMar>
              <w:top w:w="80" w:type="dxa"/>
              <w:left w:w="120" w:type="dxa"/>
              <w:bottom w:w="80" w:type="dxa"/>
              <w:right w:w="120" w:type="dxa"/>
            </w:tcMar>
          </w:tcPr>
          <w:p w14:paraId="6AD0A0D0" w14:textId="77777777" w:rsidR="000204A6" w:rsidRDefault="00167C71">
            <w:r>
              <w:rPr>
                <w:rFonts w:ascii="Calibri" w:eastAsia="Calibri" w:hAnsi="Calibri" w:cs="Calibri"/>
                <w:b/>
                <w:bCs/>
                <w:color w:val="FFFFFF"/>
                <w:sz w:val="19"/>
                <w:szCs w:val="19"/>
              </w:rPr>
              <w:t>SLA Area</w:t>
            </w:r>
          </w:p>
        </w:tc>
        <w:tc>
          <w:tcPr>
            <w:tcW w:w="4500" w:type="dxa"/>
            <w:shd w:val="clear" w:color="auto" w:fill="1B2A6B"/>
            <w:tcMar>
              <w:top w:w="80" w:type="dxa"/>
              <w:left w:w="120" w:type="dxa"/>
              <w:bottom w:w="80" w:type="dxa"/>
              <w:right w:w="120" w:type="dxa"/>
            </w:tcMar>
          </w:tcPr>
          <w:p w14:paraId="60B63B94" w14:textId="77777777" w:rsidR="000204A6" w:rsidRDefault="00167C71">
            <w:r>
              <w:rPr>
                <w:rFonts w:ascii="Calibri" w:eastAsia="Calibri" w:hAnsi="Calibri" w:cs="Calibri"/>
                <w:b/>
                <w:bCs/>
                <w:color w:val="FFFFFF"/>
                <w:sz w:val="19"/>
                <w:szCs w:val="19"/>
              </w:rPr>
              <w:t>Zenoti Commitment (Source: Exhibit A)</w:t>
            </w:r>
          </w:p>
        </w:tc>
      </w:tr>
      <w:tr w:rsidR="000204A6" w14:paraId="13BA9E37" w14:textId="77777777">
        <w:tc>
          <w:tcPr>
            <w:tcW w:w="4500" w:type="dxa"/>
            <w:shd w:val="clear" w:color="auto" w:fill="FFFFFF"/>
            <w:tcMar>
              <w:top w:w="80" w:type="dxa"/>
              <w:left w:w="120" w:type="dxa"/>
              <w:bottom w:w="80" w:type="dxa"/>
              <w:right w:w="120" w:type="dxa"/>
            </w:tcMar>
          </w:tcPr>
          <w:p w14:paraId="2ABB4541" w14:textId="77777777" w:rsidR="000204A6" w:rsidRDefault="00167C71">
            <w:r>
              <w:rPr>
                <w:rFonts w:ascii="Calibri" w:eastAsia="Calibri" w:hAnsi="Calibri" w:cs="Calibri"/>
                <w:color w:val="1E293B"/>
              </w:rPr>
              <w:t>Uptime (9.1)</w:t>
            </w:r>
          </w:p>
        </w:tc>
        <w:tc>
          <w:tcPr>
            <w:tcW w:w="4500" w:type="dxa"/>
            <w:shd w:val="clear" w:color="auto" w:fill="FFFFFF"/>
            <w:tcMar>
              <w:top w:w="80" w:type="dxa"/>
              <w:left w:w="120" w:type="dxa"/>
              <w:bottom w:w="80" w:type="dxa"/>
              <w:right w:w="120" w:type="dxa"/>
            </w:tcMar>
          </w:tcPr>
          <w:p w14:paraId="6D5C9485" w14:textId="77777777" w:rsidR="000204A6" w:rsidRDefault="00167C71">
            <w:r>
              <w:rPr>
                <w:rFonts w:ascii="Calibri" w:eastAsia="Calibri" w:hAnsi="Calibri" w:cs="Calibri"/>
                <w:color w:val="1E293B"/>
              </w:rPr>
              <w:t>99.9% committed (contractual). Architecture designed for 99.99% via dual-AZ AWS deployment with SQL Server Always On (Exhibit B, Redundancy slide). Proactive monitoring alerts staff within 1 minute of any hosting environment issue.</w:t>
            </w:r>
          </w:p>
        </w:tc>
      </w:tr>
      <w:tr w:rsidR="000204A6" w14:paraId="7620B965" w14:textId="77777777">
        <w:tc>
          <w:tcPr>
            <w:tcW w:w="4500" w:type="dxa"/>
            <w:shd w:val="clear" w:color="auto" w:fill="F8FAFC"/>
            <w:tcMar>
              <w:top w:w="80" w:type="dxa"/>
              <w:left w:w="120" w:type="dxa"/>
              <w:bottom w:w="80" w:type="dxa"/>
              <w:right w:w="120" w:type="dxa"/>
            </w:tcMar>
          </w:tcPr>
          <w:p w14:paraId="79546D08" w14:textId="77777777" w:rsidR="000204A6" w:rsidRDefault="00167C71">
            <w:r>
              <w:rPr>
                <w:rFonts w:ascii="Calibri" w:eastAsia="Calibri" w:hAnsi="Calibri" w:cs="Calibri"/>
                <w:color w:val="1E293B"/>
              </w:rPr>
              <w:t>Severity 1 — Total inability to use material part of platform (9.2)</w:t>
            </w:r>
          </w:p>
        </w:tc>
        <w:tc>
          <w:tcPr>
            <w:tcW w:w="4500" w:type="dxa"/>
            <w:shd w:val="clear" w:color="auto" w:fill="F8FAFC"/>
            <w:tcMar>
              <w:top w:w="80" w:type="dxa"/>
              <w:left w:w="120" w:type="dxa"/>
              <w:bottom w:w="80" w:type="dxa"/>
              <w:right w:w="120" w:type="dxa"/>
            </w:tcMar>
          </w:tcPr>
          <w:p w14:paraId="36E7CFEE" w14:textId="77777777" w:rsidR="000204A6" w:rsidRDefault="00167C71">
            <w:r>
              <w:rPr>
                <w:rFonts w:ascii="Calibri" w:eastAsia="Calibri" w:hAnsi="Calibri" w:cs="Calibri"/>
                <w:color w:val="1E293B"/>
              </w:rPr>
              <w:t>Response: 1 hour. Zenoti staff automatically notified within 1 minute via monitoring systems.</w:t>
            </w:r>
          </w:p>
        </w:tc>
      </w:tr>
      <w:tr w:rsidR="000204A6" w14:paraId="40DA7D86" w14:textId="77777777">
        <w:tc>
          <w:tcPr>
            <w:tcW w:w="4500" w:type="dxa"/>
            <w:shd w:val="clear" w:color="auto" w:fill="FFFFFF"/>
            <w:tcMar>
              <w:top w:w="80" w:type="dxa"/>
              <w:left w:w="120" w:type="dxa"/>
              <w:bottom w:w="80" w:type="dxa"/>
              <w:right w:w="120" w:type="dxa"/>
            </w:tcMar>
          </w:tcPr>
          <w:p w14:paraId="60755306" w14:textId="77777777" w:rsidR="000204A6" w:rsidRDefault="00167C71">
            <w:r>
              <w:rPr>
                <w:rFonts w:ascii="Calibri" w:eastAsia="Calibri" w:hAnsi="Calibri" w:cs="Calibri"/>
                <w:color w:val="1E293B"/>
              </w:rPr>
              <w:t>Severity 2 — Severely restricted operation or degraded performance (9.2)</w:t>
            </w:r>
          </w:p>
        </w:tc>
        <w:tc>
          <w:tcPr>
            <w:tcW w:w="4500" w:type="dxa"/>
            <w:shd w:val="clear" w:color="auto" w:fill="FFFFFF"/>
            <w:tcMar>
              <w:top w:w="80" w:type="dxa"/>
              <w:left w:w="120" w:type="dxa"/>
              <w:bottom w:w="80" w:type="dxa"/>
              <w:right w:w="120" w:type="dxa"/>
            </w:tcMar>
          </w:tcPr>
          <w:p w14:paraId="0FFEE66C" w14:textId="77777777" w:rsidR="000204A6" w:rsidRDefault="00167C71">
            <w:r>
              <w:rPr>
                <w:rFonts w:ascii="Calibri" w:eastAsia="Calibri" w:hAnsi="Calibri" w:cs="Calibri"/>
                <w:color w:val="1E293B"/>
              </w:rPr>
              <w:t>Response: 1 hour.</w:t>
            </w:r>
          </w:p>
        </w:tc>
      </w:tr>
      <w:tr w:rsidR="000204A6" w14:paraId="647B31D3" w14:textId="77777777">
        <w:tc>
          <w:tcPr>
            <w:tcW w:w="4500" w:type="dxa"/>
            <w:shd w:val="clear" w:color="auto" w:fill="F8FAFC"/>
            <w:tcMar>
              <w:top w:w="80" w:type="dxa"/>
              <w:left w:w="120" w:type="dxa"/>
              <w:bottom w:w="80" w:type="dxa"/>
              <w:right w:w="120" w:type="dxa"/>
            </w:tcMar>
          </w:tcPr>
          <w:p w14:paraId="190E51AD" w14:textId="77777777" w:rsidR="000204A6" w:rsidRDefault="00167C71">
            <w:r>
              <w:rPr>
                <w:rFonts w:ascii="Calibri" w:eastAsia="Calibri" w:hAnsi="Calibri" w:cs="Calibri"/>
                <w:color w:val="1E293B"/>
              </w:rPr>
              <w:t>Severity 3 — Minor faults, non-critical to overall operations (9.2)</w:t>
            </w:r>
          </w:p>
        </w:tc>
        <w:tc>
          <w:tcPr>
            <w:tcW w:w="4500" w:type="dxa"/>
            <w:shd w:val="clear" w:color="auto" w:fill="F8FAFC"/>
            <w:tcMar>
              <w:top w:w="80" w:type="dxa"/>
              <w:left w:w="120" w:type="dxa"/>
              <w:bottom w:w="80" w:type="dxa"/>
              <w:right w:w="120" w:type="dxa"/>
            </w:tcMar>
          </w:tcPr>
          <w:p w14:paraId="55602513" w14:textId="77777777" w:rsidR="000204A6" w:rsidRDefault="00167C71">
            <w:r>
              <w:rPr>
                <w:rFonts w:ascii="Calibri" w:eastAsia="Calibri" w:hAnsi="Calibri" w:cs="Calibri"/>
                <w:color w:val="1E293B"/>
              </w:rPr>
              <w:t>Response: 4 hours.</w:t>
            </w:r>
          </w:p>
        </w:tc>
      </w:tr>
      <w:tr w:rsidR="000204A6" w14:paraId="4A26446E" w14:textId="77777777">
        <w:tc>
          <w:tcPr>
            <w:tcW w:w="4500" w:type="dxa"/>
            <w:shd w:val="clear" w:color="auto" w:fill="FFFFFF"/>
            <w:tcMar>
              <w:top w:w="80" w:type="dxa"/>
              <w:left w:w="120" w:type="dxa"/>
              <w:bottom w:w="80" w:type="dxa"/>
              <w:right w:w="120" w:type="dxa"/>
            </w:tcMar>
          </w:tcPr>
          <w:p w14:paraId="65336961" w14:textId="77777777" w:rsidR="000204A6" w:rsidRDefault="00167C71">
            <w:r>
              <w:rPr>
                <w:rFonts w:ascii="Calibri" w:eastAsia="Calibri" w:hAnsi="Calibri" w:cs="Calibri"/>
                <w:color w:val="1E293B"/>
              </w:rPr>
              <w:t>Maintenance windows (9.3)</w:t>
            </w:r>
          </w:p>
        </w:tc>
        <w:tc>
          <w:tcPr>
            <w:tcW w:w="4500" w:type="dxa"/>
            <w:shd w:val="clear" w:color="auto" w:fill="FFFFFF"/>
            <w:tcMar>
              <w:top w:w="80" w:type="dxa"/>
              <w:left w:w="120" w:type="dxa"/>
              <w:bottom w:w="80" w:type="dxa"/>
              <w:right w:w="120" w:type="dxa"/>
            </w:tcMar>
          </w:tcPr>
          <w:p w14:paraId="005EA681" w14:textId="77777777" w:rsidR="000204A6" w:rsidRDefault="00167C71">
            <w:r>
              <w:rPr>
                <w:rFonts w:ascii="Calibri" w:eastAsia="Calibri" w:hAnsi="Calibri" w:cs="Calibri"/>
                <w:color w:val="1E293B"/>
              </w:rPr>
              <w:t>Scheduled maintenance conducted 11pm–5am local time to the extent practicable. Minimum 48 hours advance notice to customers (Exhibit A).</w:t>
            </w:r>
          </w:p>
        </w:tc>
      </w:tr>
      <w:tr w:rsidR="000204A6" w14:paraId="67FEEA01" w14:textId="77777777">
        <w:tc>
          <w:tcPr>
            <w:tcW w:w="4500" w:type="dxa"/>
            <w:shd w:val="clear" w:color="auto" w:fill="F8FAFC"/>
            <w:tcMar>
              <w:top w:w="80" w:type="dxa"/>
              <w:left w:w="120" w:type="dxa"/>
              <w:bottom w:w="80" w:type="dxa"/>
              <w:right w:w="120" w:type="dxa"/>
            </w:tcMar>
          </w:tcPr>
          <w:p w14:paraId="391C1830" w14:textId="77777777" w:rsidR="000204A6" w:rsidRDefault="00167C71">
            <w:r>
              <w:rPr>
                <w:rFonts w:ascii="Calibri" w:eastAsia="Calibri" w:hAnsi="Calibri" w:cs="Calibri"/>
                <w:color w:val="1E293B"/>
              </w:rPr>
              <w:t>RTO / RPO (9.4)</w:t>
            </w:r>
          </w:p>
        </w:tc>
        <w:tc>
          <w:tcPr>
            <w:tcW w:w="4500" w:type="dxa"/>
            <w:shd w:val="clear" w:color="auto" w:fill="F8FAFC"/>
            <w:tcMar>
              <w:top w:w="80" w:type="dxa"/>
              <w:left w:w="120" w:type="dxa"/>
              <w:bottom w:w="80" w:type="dxa"/>
              <w:right w:w="120" w:type="dxa"/>
            </w:tcMar>
          </w:tcPr>
          <w:p w14:paraId="05D8C4B4" w14:textId="77777777" w:rsidR="000204A6" w:rsidRDefault="00167C71">
            <w:r>
              <w:rPr>
                <w:rFonts w:ascii="Calibri" w:eastAsia="Calibri" w:hAnsi="Calibri" w:cs="Calibri"/>
                <w:color w:val="1E293B"/>
              </w:rPr>
              <w:t>RTO: &lt; 15 minutes. RPO: &lt; 5 minutes. Worldwide. SQL Server Always On within-region failover; cross-region log shipping with RPO &lt; 45 minutes for ransomware scenarios (Exhibit B, Redundancy and Ransomware slides).</w:t>
            </w:r>
          </w:p>
        </w:tc>
      </w:tr>
      <w:tr w:rsidR="000204A6" w14:paraId="4F2D48AC" w14:textId="77777777">
        <w:tc>
          <w:tcPr>
            <w:tcW w:w="4500" w:type="dxa"/>
            <w:shd w:val="clear" w:color="auto" w:fill="FFFFFF"/>
            <w:tcMar>
              <w:top w:w="80" w:type="dxa"/>
              <w:left w:w="120" w:type="dxa"/>
              <w:bottom w:w="80" w:type="dxa"/>
              <w:right w:w="120" w:type="dxa"/>
            </w:tcMar>
          </w:tcPr>
          <w:p w14:paraId="3964268B" w14:textId="77777777" w:rsidR="000204A6" w:rsidRDefault="00167C71">
            <w:r>
              <w:rPr>
                <w:rFonts w:ascii="Calibri" w:eastAsia="Calibri" w:hAnsi="Calibri" w:cs="Calibri"/>
                <w:color w:val="1E293B"/>
              </w:rPr>
              <w:t>Backup frequency (9.4)</w:t>
            </w:r>
          </w:p>
        </w:tc>
        <w:tc>
          <w:tcPr>
            <w:tcW w:w="4500" w:type="dxa"/>
            <w:shd w:val="clear" w:color="auto" w:fill="FFFFFF"/>
            <w:tcMar>
              <w:top w:w="80" w:type="dxa"/>
              <w:left w:w="120" w:type="dxa"/>
              <w:bottom w:w="80" w:type="dxa"/>
              <w:right w:w="120" w:type="dxa"/>
            </w:tcMar>
          </w:tcPr>
          <w:p w14:paraId="522777D7" w14:textId="77777777" w:rsidR="000204A6" w:rsidRDefault="00167C71">
            <w:r>
              <w:rPr>
                <w:rFonts w:ascii="Calibri" w:eastAsia="Calibri" w:hAnsi="Calibri" w:cs="Calibri"/>
                <w:color w:val="1E293B"/>
              </w:rPr>
              <w:t>SQL Full Backup weekly (Sunday); Differential daily; Transaction Log every 15 minutes. Backups encrypted, compressed, stored in AWS S3 for 3 years (Exhibit B, Data Backups slide).</w:t>
            </w:r>
          </w:p>
        </w:tc>
      </w:tr>
      <w:tr w:rsidR="000204A6" w14:paraId="4DA4F0C5" w14:textId="77777777">
        <w:tc>
          <w:tcPr>
            <w:tcW w:w="4500" w:type="dxa"/>
            <w:shd w:val="clear" w:color="auto" w:fill="F8FAFC"/>
            <w:tcMar>
              <w:top w:w="80" w:type="dxa"/>
              <w:left w:w="120" w:type="dxa"/>
              <w:bottom w:w="80" w:type="dxa"/>
              <w:right w:w="120" w:type="dxa"/>
            </w:tcMar>
          </w:tcPr>
          <w:p w14:paraId="1749D8F6" w14:textId="77777777" w:rsidR="000204A6" w:rsidRDefault="00167C71">
            <w:r>
              <w:rPr>
                <w:rFonts w:ascii="Calibri" w:eastAsia="Calibri" w:hAnsi="Calibri" w:cs="Calibri"/>
                <w:color w:val="1E293B"/>
              </w:rPr>
              <w:t>Geographic redundancy</w:t>
            </w:r>
          </w:p>
        </w:tc>
        <w:tc>
          <w:tcPr>
            <w:tcW w:w="4500" w:type="dxa"/>
            <w:shd w:val="clear" w:color="auto" w:fill="F8FAFC"/>
            <w:tcMar>
              <w:top w:w="80" w:type="dxa"/>
              <w:left w:w="120" w:type="dxa"/>
              <w:bottom w:w="80" w:type="dxa"/>
              <w:right w:w="120" w:type="dxa"/>
            </w:tcMar>
          </w:tcPr>
          <w:p w14:paraId="07150D1E" w14:textId="77777777" w:rsidR="000204A6" w:rsidRDefault="00167C71">
            <w:r>
              <w:rPr>
                <w:rFonts w:ascii="Calibri" w:eastAsia="Calibri" w:hAnsi="Calibri" w:cs="Calibri"/>
                <w:color w:val="1E293B"/>
              </w:rPr>
              <w:t>Dual AWS availability zones per region. Cross-region replication via log shipping. Five global regions: US East, Canada, Europe, UAE, Asia Pacific (Exhibit B).</w:t>
            </w:r>
          </w:p>
        </w:tc>
      </w:tr>
      <w:tr w:rsidR="000204A6" w14:paraId="1FDF6314" w14:textId="77777777">
        <w:tc>
          <w:tcPr>
            <w:tcW w:w="4500" w:type="dxa"/>
            <w:shd w:val="clear" w:color="auto" w:fill="FFFFFF"/>
            <w:tcMar>
              <w:top w:w="80" w:type="dxa"/>
              <w:left w:w="120" w:type="dxa"/>
              <w:bottom w:w="80" w:type="dxa"/>
              <w:right w:w="120" w:type="dxa"/>
            </w:tcMar>
          </w:tcPr>
          <w:p w14:paraId="4BB58A3C" w14:textId="77777777" w:rsidR="000204A6" w:rsidRDefault="00167C71">
            <w:r>
              <w:rPr>
                <w:rFonts w:ascii="Calibri" w:eastAsia="Calibri" w:hAnsi="Calibri" w:cs="Calibri"/>
                <w:color w:val="1E293B"/>
              </w:rPr>
              <w:t>Service credits (9.5)</w:t>
            </w:r>
          </w:p>
        </w:tc>
        <w:tc>
          <w:tcPr>
            <w:tcW w:w="4500" w:type="dxa"/>
            <w:shd w:val="clear" w:color="auto" w:fill="FFFFFF"/>
            <w:tcMar>
              <w:top w:w="80" w:type="dxa"/>
              <w:left w:w="120" w:type="dxa"/>
              <w:bottom w:w="80" w:type="dxa"/>
              <w:right w:w="120" w:type="dxa"/>
            </w:tcMar>
          </w:tcPr>
          <w:p w14:paraId="0E850361" w14:textId="77777777" w:rsidR="000204A6" w:rsidRDefault="00167C71">
            <w:r>
              <w:rPr>
                <w:rFonts w:ascii="Calibri" w:eastAsia="Calibri" w:hAnsi="Calibri" w:cs="Calibri"/>
                <w:color w:val="1E293B"/>
              </w:rPr>
              <w:t>Credit schedule based on monthly fees; details in proposal round.</w:t>
            </w:r>
          </w:p>
        </w:tc>
      </w:tr>
    </w:tbl>
    <w:p w14:paraId="57E8AAA4" w14:textId="77777777" w:rsidR="000204A6" w:rsidRDefault="000204A6">
      <w:pPr>
        <w:pBdr>
          <w:bottom w:val="single" w:sz="6" w:space="1" w:color="00B4D8"/>
        </w:pBdr>
        <w:spacing w:before="200" w:after="200"/>
      </w:pPr>
    </w:p>
    <w:p w14:paraId="13E72E25" w14:textId="77777777" w:rsidR="000204A6" w:rsidRDefault="00167C71">
      <w:pPr>
        <w:pStyle w:val="Heading1"/>
        <w:spacing w:before="400" w:after="120"/>
      </w:pPr>
      <w:r>
        <w:rPr>
          <w:rFonts w:ascii="Calibri" w:eastAsia="Calibri" w:hAnsi="Calibri" w:cs="Calibri"/>
          <w:b/>
          <w:bCs/>
          <w:color w:val="1B2A6B"/>
          <w:sz w:val="36"/>
          <w:szCs w:val="36"/>
        </w:rPr>
        <w:t>Section 10 — Implementation, Migration &amp; Change Management</w:t>
      </w:r>
    </w:p>
    <w:p w14:paraId="26E20FBE" w14:textId="77777777" w:rsidR="000204A6" w:rsidRDefault="00167C71">
      <w:pPr>
        <w:spacing w:before="80" w:after="120"/>
      </w:pPr>
      <w:r>
        <w:rPr>
          <w:rFonts w:ascii="Calibri" w:eastAsia="Calibri" w:hAnsi="Calibri" w:cs="Calibri"/>
          <w:color w:val="1E293B"/>
          <w:sz w:val="22"/>
          <w:szCs w:val="22"/>
        </w:rPr>
        <w:t>Zenoti's implementation methodology for large enterprises is documented in the attached Implementation Customer Engagement Guide (Exhibit C, Ver 3.2). The following summarizes the approach for Gold's.</w:t>
      </w:r>
    </w:p>
    <w:p w14:paraId="4982BEBE" w14:textId="77777777" w:rsidR="000204A6" w:rsidRDefault="00167C71">
      <w:pPr>
        <w:pStyle w:val="Heading2"/>
        <w:spacing w:before="400" w:after="120"/>
      </w:pPr>
      <w:r>
        <w:rPr>
          <w:rFonts w:ascii="Calibri" w:eastAsia="Calibri" w:hAnsi="Calibri" w:cs="Calibri"/>
          <w:b/>
          <w:bCs/>
          <w:color w:val="1B2A6B"/>
          <w:sz w:val="28"/>
          <w:szCs w:val="28"/>
        </w:rPr>
        <w:t>10.1 Phased Rollout</w:t>
      </w:r>
    </w:p>
    <w:p w14:paraId="37DC6D3E" w14:textId="77777777" w:rsidR="000204A6" w:rsidRDefault="00167C71">
      <w:pPr>
        <w:spacing w:before="80" w:after="120"/>
      </w:pPr>
      <w:r>
        <w:rPr>
          <w:rFonts w:ascii="Calibri" w:eastAsia="Calibri" w:hAnsi="Calibri" w:cs="Calibri"/>
          <w:color w:val="1E293B"/>
          <w:sz w:val="22"/>
          <w:szCs w:val="22"/>
        </w:rPr>
        <w:t>Zenoti's methodology uses a pilot-then-wave structure (Exhibit C):</w:t>
      </w:r>
    </w:p>
    <w:p w14:paraId="1E57C4C8" w14:textId="021C26E5" w:rsidR="000204A6" w:rsidRDefault="00167C71" w:rsidP="2FC5D060">
      <w:pPr>
        <w:pStyle w:val="ListParagraph"/>
        <w:numPr>
          <w:ilvl w:val="0"/>
          <w:numId w:val="1"/>
        </w:numPr>
        <w:spacing w:before="60" w:after="60"/>
        <w:ind w:left="360" w:hanging="259"/>
        <w:rPr>
          <w:rFonts w:ascii="Calibri" w:eastAsia="Calibri" w:hAnsi="Calibri" w:cs="Calibri"/>
          <w:color w:val="1E293B"/>
          <w:sz w:val="22"/>
          <w:szCs w:val="22"/>
        </w:rPr>
      </w:pPr>
      <w:r w:rsidRPr="2FC5D060">
        <w:rPr>
          <w:rFonts w:ascii="Calibri" w:eastAsia="Calibri" w:hAnsi="Calibri" w:cs="Calibri"/>
          <w:color w:val="1E293B"/>
          <w:sz w:val="22"/>
          <w:szCs w:val="22"/>
        </w:rPr>
        <w:t>Pilot: Selected locations representing the rest of the organization. All Zenoti functionality implemented. Daily issue reviews in Week 1</w:t>
      </w:r>
      <w:r w:rsidR="5C2F920F" w:rsidRPr="2FC5D060">
        <w:rPr>
          <w:rFonts w:ascii="Calibri" w:eastAsia="Calibri" w:hAnsi="Calibri" w:cs="Calibri"/>
          <w:color w:val="1E293B"/>
          <w:sz w:val="22"/>
          <w:szCs w:val="22"/>
        </w:rPr>
        <w:t xml:space="preserve"> post go live of the Pilot location(s)</w:t>
      </w:r>
      <w:r w:rsidRPr="2FC5D060">
        <w:rPr>
          <w:rFonts w:ascii="Calibri" w:eastAsia="Calibri" w:hAnsi="Calibri" w:cs="Calibri"/>
          <w:color w:val="1E293B"/>
          <w:sz w:val="22"/>
          <w:szCs w:val="22"/>
        </w:rPr>
        <w:t>; success criteria review and Wave 2 decision gate at end of Week 2</w:t>
      </w:r>
      <w:r w:rsidR="3A6EF74A" w:rsidRPr="2FC5D060">
        <w:rPr>
          <w:rFonts w:ascii="Calibri" w:eastAsia="Calibri" w:hAnsi="Calibri" w:cs="Calibri"/>
          <w:color w:val="1E293B"/>
          <w:sz w:val="22"/>
          <w:szCs w:val="22"/>
        </w:rPr>
        <w:t xml:space="preserve"> post Pilot location(s) go live</w:t>
      </w:r>
      <w:r w:rsidRPr="2FC5D060">
        <w:rPr>
          <w:rFonts w:ascii="Calibri" w:eastAsia="Calibri" w:hAnsi="Calibri" w:cs="Calibri"/>
          <w:color w:val="1E293B"/>
          <w:sz w:val="22"/>
          <w:szCs w:val="22"/>
        </w:rPr>
        <w:t>.</w:t>
      </w:r>
    </w:p>
    <w:p w14:paraId="2824FDA8"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Wave rollouts: Each wave spaced 1–2 weeks apart. Weekly issue reviews; preliminary payroll data review at end of Week 1 of each wave. Incumbent runs in parallel until go-live verification.</w:t>
      </w:r>
    </w:p>
    <w:p w14:paraId="2E23D712" w14:textId="3A8862A6" w:rsidR="000204A6" w:rsidRDefault="00167C71" w:rsidP="2FC5D060">
      <w:pPr>
        <w:pStyle w:val="ListParagraph"/>
        <w:numPr>
          <w:ilvl w:val="0"/>
          <w:numId w:val="1"/>
        </w:numPr>
        <w:spacing w:before="60" w:after="60"/>
        <w:ind w:left="360" w:hanging="259"/>
        <w:rPr>
          <w:rFonts w:ascii="Calibri" w:eastAsia="Calibri" w:hAnsi="Calibri" w:cs="Calibri"/>
          <w:color w:val="1E293B"/>
          <w:sz w:val="22"/>
          <w:szCs w:val="22"/>
        </w:rPr>
      </w:pPr>
      <w:r w:rsidRPr="2FC5D060">
        <w:rPr>
          <w:rFonts w:ascii="Calibri" w:eastAsia="Calibri" w:hAnsi="Calibri" w:cs="Calibri"/>
          <w:color w:val="1E293B"/>
          <w:sz w:val="22"/>
          <w:szCs w:val="22"/>
        </w:rPr>
        <w:t>For Gold's ~180 locations, Zenoti recommends waves of 30–50 locations with a total timeline of 9–12 months from pilot to full network go-live.</w:t>
      </w:r>
      <w:r w:rsidR="3DE60B5C" w:rsidRPr="2FC5D060">
        <w:rPr>
          <w:rFonts w:ascii="Calibri" w:eastAsia="Calibri" w:hAnsi="Calibri" w:cs="Calibri"/>
          <w:color w:val="1E293B"/>
          <w:sz w:val="22"/>
          <w:szCs w:val="22"/>
        </w:rPr>
        <w:t xml:space="preserve"> Zenoti has the bandwidth to do waves as large as 250 at a time but the smaller groups, as stated above, is what we recommend for Gold’s.</w:t>
      </w:r>
    </w:p>
    <w:p w14:paraId="2FFE9A7E" w14:textId="77777777" w:rsidR="000204A6" w:rsidRDefault="00167C71">
      <w:pPr>
        <w:pStyle w:val="Heading2"/>
        <w:spacing w:before="400" w:after="120"/>
      </w:pPr>
      <w:r>
        <w:rPr>
          <w:rFonts w:ascii="Calibri" w:eastAsia="Calibri" w:hAnsi="Calibri" w:cs="Calibri"/>
          <w:b/>
          <w:bCs/>
          <w:color w:val="1B2A6B"/>
          <w:sz w:val="28"/>
          <w:szCs w:val="28"/>
        </w:rPr>
        <w:t>10.2 Vendor-Led Data Migration</w:t>
      </w:r>
    </w:p>
    <w:p w14:paraId="55799C27" w14:textId="77777777" w:rsidR="000204A6" w:rsidRDefault="00167C71">
      <w:pPr>
        <w:spacing w:before="80" w:after="120"/>
      </w:pPr>
      <w:r>
        <w:rPr>
          <w:rFonts w:ascii="Calibri" w:eastAsia="Calibri" w:hAnsi="Calibri" w:cs="Calibri"/>
          <w:color w:val="1E293B"/>
          <w:sz w:val="22"/>
          <w:szCs w:val="22"/>
        </w:rPr>
        <w:t>Zenoti extracts and loads data from the incumbent system as the first implementation step — enabling solution review against familiar data before a single location goes live (Exhibit C). Migration covers member master data, transaction history, payment tokens, freeze/pause states, custom attributes, and historical reporting. Validation is customer-led against Zenoti-provided reconciliation reports. Rollback capability is maintained per wave.</w:t>
      </w:r>
    </w:p>
    <w:p w14:paraId="35686FD7" w14:textId="77777777" w:rsidR="000204A6" w:rsidRDefault="00167C71">
      <w:pPr>
        <w:pStyle w:val="Heading2"/>
        <w:spacing w:before="400" w:after="120"/>
      </w:pPr>
      <w:r>
        <w:rPr>
          <w:rFonts w:ascii="Calibri" w:eastAsia="Calibri" w:hAnsi="Calibri" w:cs="Calibri"/>
          <w:b/>
          <w:bCs/>
          <w:color w:val="1B2A6B"/>
          <w:sz w:val="28"/>
          <w:szCs w:val="28"/>
        </w:rPr>
        <w:t>10.3 Training &amp; Change Management</w:t>
      </w:r>
    </w:p>
    <w:p w14:paraId="0297659F" w14:textId="77777777" w:rsidR="000204A6" w:rsidRDefault="00167C71">
      <w:pPr>
        <w:spacing w:before="80" w:after="120"/>
      </w:pPr>
      <w:r>
        <w:rPr>
          <w:rFonts w:ascii="Calibri" w:eastAsia="Calibri" w:hAnsi="Calibri" w:cs="Calibri"/>
          <w:color w:val="1E293B"/>
          <w:sz w:val="22"/>
          <w:szCs w:val="22"/>
        </w:rPr>
        <w:t>Zenoti provides role-based training tracks aligned to Gold's stakeholder map (Exhibit C):</w:t>
      </w:r>
    </w:p>
    <w:p w14:paraId="0522486D"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Front Desk Staff (30-min sessions, 3–4 repeats per wave): Appointment booking, check-in, POS, digital forms, Kiosk, Zenoti Mobile POS.</w:t>
      </w:r>
    </w:p>
    <w:p w14:paraId="0F4131E7"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Instructor Training (10-min): Mobile app for class management and student check-in.</w:t>
      </w:r>
    </w:p>
    <w:p w14:paraId="53242D25"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Admin &amp; Reports (2 sessions × 2hr each): Financial and operational reporting, resource management, org/center settings.</w:t>
      </w:r>
    </w:p>
    <w:p w14:paraId="2DE4C4EA"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Manager &amp; Owner Training (3hr): Employee management, payroll, commissions, marketing campaigns, guest management, inventory management.</w:t>
      </w:r>
    </w:p>
    <w:p w14:paraId="3C630659"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Train-the-trainer model available for Gold's in-house training team.</w:t>
      </w:r>
    </w:p>
    <w:p w14:paraId="3DF746CB" w14:textId="77777777" w:rsidR="000204A6" w:rsidRDefault="00167C71">
      <w:pPr>
        <w:pStyle w:val="Heading2"/>
        <w:spacing w:before="400" w:after="120"/>
      </w:pPr>
      <w:r>
        <w:rPr>
          <w:rFonts w:ascii="Calibri" w:eastAsia="Calibri" w:hAnsi="Calibri" w:cs="Calibri"/>
          <w:b/>
          <w:bCs/>
          <w:color w:val="1B2A6B"/>
          <w:sz w:val="28"/>
          <w:szCs w:val="28"/>
        </w:rPr>
        <w:t>10.4 Franchisee Adoption Playbook</w:t>
      </w:r>
    </w:p>
    <w:p w14:paraId="5263B801" w14:textId="23289B47" w:rsidR="000204A6" w:rsidRDefault="00167C71" w:rsidP="54541BA6">
      <w:pPr>
        <w:spacing w:before="80" w:after="120"/>
        <w:rPr>
          <w:rFonts w:ascii="Calibri" w:eastAsia="Calibri" w:hAnsi="Calibri" w:cs="Calibri"/>
          <w:color w:val="1E293B"/>
          <w:sz w:val="22"/>
          <w:szCs w:val="22"/>
        </w:rPr>
      </w:pPr>
      <w:r w:rsidRPr="54541BA6">
        <w:rPr>
          <w:rFonts w:ascii="Calibri" w:eastAsia="Calibri" w:hAnsi="Calibri" w:cs="Calibri"/>
          <w:color w:val="1E293B"/>
          <w:sz w:val="22"/>
          <w:szCs w:val="22"/>
        </w:rPr>
        <w:t>Zenoti's implementation methodology explicitly addresses managing change in franchise organizations, with recommendations including early involvement of key franchise owners and influencers as change champions, functional team representation on the project team, and phased rollout designed to build peer advocacy before full network deployment (Exhibit C, Change Management section).</w:t>
      </w:r>
      <w:r w:rsidR="203DFBBD" w:rsidRPr="54541BA6">
        <w:rPr>
          <w:rFonts w:ascii="Calibri" w:eastAsia="Calibri" w:hAnsi="Calibri" w:cs="Calibri"/>
          <w:color w:val="1E293B"/>
          <w:sz w:val="22"/>
          <w:szCs w:val="22"/>
        </w:rPr>
        <w:t xml:space="preserve"> Zenoti’s team will collaborate with Gold’s team to understand the current state of the Franchisee relationship, the Franchisee agreements and recommend how to get the broader network onboard with unifying with one integrated solution across the organization. Zenoti has more experience than any other Fitness vendor in </w:t>
      </w:r>
      <w:r w:rsidR="52C58F55" w:rsidRPr="54541BA6">
        <w:rPr>
          <w:rFonts w:ascii="Calibri" w:eastAsia="Calibri" w:hAnsi="Calibri" w:cs="Calibri"/>
          <w:color w:val="1E293B"/>
          <w:sz w:val="22"/>
          <w:szCs w:val="22"/>
        </w:rPr>
        <w:t>helping large Franchise businesses make the change to a unifying software solution and operating in that environment effectively.</w:t>
      </w:r>
    </w:p>
    <w:p w14:paraId="5696EB88" w14:textId="77777777" w:rsidR="000204A6" w:rsidRDefault="00167C71">
      <w:pPr>
        <w:pStyle w:val="Heading2"/>
        <w:spacing w:before="400" w:after="120"/>
      </w:pPr>
      <w:r>
        <w:rPr>
          <w:rFonts w:ascii="Calibri" w:eastAsia="Calibri" w:hAnsi="Calibri" w:cs="Calibri"/>
          <w:b/>
          <w:bCs/>
          <w:color w:val="1B2A6B"/>
          <w:sz w:val="28"/>
          <w:szCs w:val="28"/>
        </w:rPr>
        <w:t>10.5 Project Staffing &amp; RACI</w:t>
      </w:r>
    </w:p>
    <w:p w14:paraId="76D6B332" w14:textId="50EE8D99" w:rsidR="000204A6" w:rsidRDefault="00167C71">
      <w:pPr>
        <w:spacing w:before="80" w:after="120"/>
      </w:pPr>
      <w:r w:rsidRPr="54541BA6">
        <w:rPr>
          <w:rFonts w:ascii="Calibri" w:eastAsia="Calibri" w:hAnsi="Calibri" w:cs="Calibri"/>
          <w:color w:val="1E293B"/>
          <w:sz w:val="22"/>
          <w:szCs w:val="22"/>
        </w:rPr>
        <w:t>Zenoti assigns a dedicated Project Manager from contract signature through go-live (</w:t>
      </w:r>
      <w:r w:rsidR="5150951C" w:rsidRPr="54541BA6">
        <w:rPr>
          <w:rFonts w:ascii="Calibri" w:eastAsia="Calibri" w:hAnsi="Calibri" w:cs="Calibri"/>
          <w:color w:val="1E293B"/>
          <w:sz w:val="22"/>
          <w:szCs w:val="22"/>
        </w:rPr>
        <w:t xml:space="preserve">see </w:t>
      </w:r>
      <w:r w:rsidRPr="54541BA6">
        <w:rPr>
          <w:rFonts w:ascii="Calibri" w:eastAsia="Calibri" w:hAnsi="Calibri" w:cs="Calibri"/>
          <w:color w:val="1E293B"/>
          <w:sz w:val="22"/>
          <w:szCs w:val="22"/>
        </w:rPr>
        <w:t>Exhibit C</w:t>
      </w:r>
      <w:r w:rsidR="25E6C236" w:rsidRPr="54541BA6">
        <w:rPr>
          <w:rFonts w:ascii="Calibri" w:eastAsia="Calibri" w:hAnsi="Calibri" w:cs="Calibri"/>
          <w:color w:val="1E293B"/>
          <w:sz w:val="22"/>
          <w:szCs w:val="22"/>
        </w:rPr>
        <w:t xml:space="preserve"> for details</w:t>
      </w:r>
      <w:r w:rsidRPr="54541BA6">
        <w:rPr>
          <w:rFonts w:ascii="Calibri" w:eastAsia="Calibri" w:hAnsi="Calibri" w:cs="Calibri"/>
          <w:color w:val="1E293B"/>
          <w:sz w:val="22"/>
          <w:szCs w:val="22"/>
        </w:rPr>
        <w:t>). Named team members with credentials and prior project experience are provided in the proposal round. Escalation path to VP-level enterprise services leadership. RACI across Zenoti, Gold's, and the StackHack project team included in the implementation SOW.</w:t>
      </w:r>
    </w:p>
    <w:p w14:paraId="25A5697F" w14:textId="77777777" w:rsidR="000204A6" w:rsidRDefault="000204A6">
      <w:pPr>
        <w:pBdr>
          <w:bottom w:val="single" w:sz="6" w:space="1" w:color="00B4D8"/>
        </w:pBdr>
        <w:spacing w:before="200" w:after="200"/>
      </w:pPr>
    </w:p>
    <w:p w14:paraId="55CCE901" w14:textId="77777777" w:rsidR="000204A6" w:rsidRDefault="00167C71">
      <w:pPr>
        <w:pStyle w:val="Heading1"/>
        <w:spacing w:before="400" w:after="120"/>
      </w:pPr>
      <w:r>
        <w:rPr>
          <w:rFonts w:ascii="Calibri" w:eastAsia="Calibri" w:hAnsi="Calibri" w:cs="Calibri"/>
          <w:b/>
          <w:bCs/>
          <w:color w:val="1B2A6B"/>
          <w:sz w:val="36"/>
          <w:szCs w:val="36"/>
        </w:rPr>
        <w:t>Section 11 — Commercial Posture (Narrative)</w:t>
      </w:r>
    </w:p>
    <w:p w14:paraId="3113AA39" w14:textId="77777777" w:rsidR="000204A6" w:rsidRDefault="00167C71">
      <w:pPr>
        <w:spacing w:before="80" w:after="120"/>
      </w:pPr>
      <w:r>
        <w:rPr>
          <w:rFonts w:ascii="Calibri" w:eastAsia="Calibri" w:hAnsi="Calibri" w:cs="Calibri"/>
          <w:color w:val="1E293B"/>
          <w:sz w:val="22"/>
          <w:szCs w:val="22"/>
        </w:rPr>
        <w:t>Consistent with Gold's request, this section is narrative only. Full pricing and TCO are reserved for the proposal round.</w:t>
      </w:r>
    </w:p>
    <w:p w14:paraId="5A7624E5" w14:textId="77777777" w:rsidR="000204A6" w:rsidRDefault="00167C71">
      <w:pPr>
        <w:spacing w:before="80" w:after="120"/>
      </w:pPr>
      <w:r>
        <w:rPr>
          <w:rFonts w:ascii="Calibri" w:eastAsia="Calibri" w:hAnsi="Calibri" w:cs="Calibri"/>
          <w:color w:val="1E293B"/>
          <w:sz w:val="22"/>
          <w:szCs w:val="22"/>
        </w:rPr>
        <w:t>Pricing model overview: Zenoti's enterprise pricing is location-based, with per-location monthly fees that include all core MMS functions — member lifecycle, billing, check-in, POS, reporting, and transactional communications. There are no per-transaction or per-member fees at standard operational volumes. Implementation, migration, and support are separately scoped.</w:t>
      </w:r>
    </w:p>
    <w:p w14:paraId="01725D61" w14:textId="77777777" w:rsidR="000204A6" w:rsidRDefault="00167C71">
      <w:pPr>
        <w:spacing w:before="80" w:after="120"/>
      </w:pPr>
      <w:r>
        <w:rPr>
          <w:rFonts w:ascii="Calibri" w:eastAsia="Calibri" w:hAnsi="Calibri" w:cs="Calibri"/>
          <w:color w:val="1E293B"/>
          <w:sz w:val="22"/>
          <w:szCs w:val="22"/>
        </w:rPr>
        <w:t>Total cost of ownership: Zenoti is committed to providing a complete, A-to-Z five-year TCO in the proposal round — all recurring fees, one-time fees, professional services, integration costs, and optional modules — with nothing omitted.</w:t>
      </w:r>
    </w:p>
    <w:p w14:paraId="1B751334" w14:textId="77777777" w:rsidR="000204A6" w:rsidRDefault="00167C71">
      <w:pPr>
        <w:spacing w:before="80" w:after="120"/>
      </w:pPr>
      <w:r>
        <w:rPr>
          <w:rFonts w:ascii="Calibri" w:eastAsia="Calibri" w:hAnsi="Calibri" w:cs="Calibri"/>
          <w:color w:val="1E293B"/>
          <w:sz w:val="22"/>
          <w:szCs w:val="22"/>
        </w:rPr>
        <w:t>API &amp; integration economics: APIs and webhooks are included in the base subscription at standard volumes. Redshift / data lake streaming is available as an enterprise add-on. No per-call fees for standard member-facing and billing API usage. Zapier integration is self-service.</w:t>
      </w:r>
    </w:p>
    <w:p w14:paraId="756E77DF" w14:textId="77777777" w:rsidR="000204A6" w:rsidRDefault="00167C71">
      <w:pPr>
        <w:spacing w:before="80" w:after="120"/>
      </w:pPr>
      <w:r>
        <w:rPr>
          <w:rFonts w:ascii="Calibri" w:eastAsia="Calibri" w:hAnsi="Calibri" w:cs="Calibri"/>
          <w:color w:val="1E293B"/>
          <w:sz w:val="22"/>
          <w:szCs w:val="22"/>
        </w:rPr>
        <w:t>Member technology fee: Zenoti is open to discussing white-label support and revenue-share arrangements for a Gold's member technology fee. This is a negotiable commercial item.</w:t>
      </w:r>
    </w:p>
    <w:p w14:paraId="29F9A461" w14:textId="77777777" w:rsidR="000204A6" w:rsidRDefault="00167C71">
      <w:pPr>
        <w:spacing w:before="80" w:after="120"/>
      </w:pPr>
      <w:r>
        <w:rPr>
          <w:rFonts w:ascii="Calibri" w:eastAsia="Calibri" w:hAnsi="Calibri" w:cs="Calibri"/>
          <w:color w:val="1E293B"/>
          <w:sz w:val="22"/>
          <w:szCs w:val="22"/>
        </w:rPr>
        <w:t>What's negotiable: rate escalator caps, implementation fee structure, multi-year term pricing, data lake tier pricing, and module bundling economics.</w:t>
      </w:r>
    </w:p>
    <w:p w14:paraId="6923F0EE" w14:textId="77777777" w:rsidR="000204A6" w:rsidRDefault="000204A6">
      <w:pPr>
        <w:pBdr>
          <w:bottom w:val="single" w:sz="6" w:space="1" w:color="00B4D8"/>
        </w:pBdr>
        <w:spacing w:before="200" w:after="200"/>
      </w:pPr>
    </w:p>
    <w:p w14:paraId="22DED68B" w14:textId="77777777" w:rsidR="000204A6" w:rsidRDefault="00167C71">
      <w:pPr>
        <w:pStyle w:val="Heading1"/>
        <w:spacing w:before="400" w:after="120"/>
      </w:pPr>
      <w:r>
        <w:rPr>
          <w:rFonts w:ascii="Calibri" w:eastAsia="Calibri" w:hAnsi="Calibri" w:cs="Calibri"/>
          <w:b/>
          <w:bCs/>
          <w:color w:val="1B2A6B"/>
          <w:sz w:val="36"/>
          <w:szCs w:val="36"/>
        </w:rPr>
        <w:t>Section 12 — Vendor Qualifications &amp; References</w:t>
      </w:r>
    </w:p>
    <w:p w14:paraId="59D9648B" w14:textId="77777777" w:rsidR="000204A6" w:rsidRDefault="00167C71">
      <w:pPr>
        <w:pStyle w:val="Heading2"/>
        <w:spacing w:before="400" w:after="120"/>
      </w:pPr>
      <w:r>
        <w:rPr>
          <w:rFonts w:ascii="Calibri" w:eastAsia="Calibri" w:hAnsi="Calibri" w:cs="Calibri"/>
          <w:b/>
          <w:bCs/>
          <w:color w:val="1B2A6B"/>
          <w:sz w:val="28"/>
          <w:szCs w:val="28"/>
        </w:rPr>
        <w:t>12.1 Company Background</w:t>
      </w:r>
    </w:p>
    <w:p w14:paraId="03F2FE5E" w14:textId="6CF79FBF" w:rsidR="000204A6" w:rsidRDefault="00167C71" w:rsidP="54541BA6">
      <w:pPr>
        <w:spacing w:before="80" w:after="120" w:line="259" w:lineRule="auto"/>
      </w:pPr>
      <w:r w:rsidRPr="54541BA6">
        <w:rPr>
          <w:rFonts w:ascii="Calibri" w:eastAsia="Calibri" w:hAnsi="Calibri" w:cs="Calibri"/>
          <w:color w:val="1E293B"/>
          <w:sz w:val="22"/>
          <w:szCs w:val="22"/>
        </w:rPr>
        <w:t>Zenoti was founded in 2010 and is headquartered in Bellevue, Washington. The platform serves thousands of locations across fitness, wellness, spa, and salon verticals in 50+ countries, processing over $</w:t>
      </w:r>
      <w:r w:rsidR="721C1C14" w:rsidRPr="54541BA6">
        <w:rPr>
          <w:rFonts w:ascii="Calibri" w:eastAsia="Calibri" w:hAnsi="Calibri" w:cs="Calibri"/>
          <w:color w:val="1E293B"/>
          <w:sz w:val="22"/>
          <w:szCs w:val="22"/>
        </w:rPr>
        <w:t>2</w:t>
      </w:r>
      <w:r w:rsidRPr="54541BA6">
        <w:rPr>
          <w:rFonts w:ascii="Calibri" w:eastAsia="Calibri" w:hAnsi="Calibri" w:cs="Calibri"/>
          <w:color w:val="1E293B"/>
          <w:sz w:val="22"/>
          <w:szCs w:val="22"/>
        </w:rPr>
        <w:t>0 billion in consumer transactions annually. Zenoti's engineering team has designed and deployed large-scale systems for many Fortune 500 companies (Exhibit B).</w:t>
      </w:r>
    </w:p>
    <w:p w14:paraId="1C1515C5" w14:textId="77777777" w:rsidR="000204A6" w:rsidRDefault="00167C71">
      <w:pPr>
        <w:pStyle w:val="Heading2"/>
        <w:spacing w:before="400" w:after="120"/>
      </w:pPr>
      <w:r>
        <w:rPr>
          <w:rFonts w:ascii="Calibri" w:eastAsia="Calibri" w:hAnsi="Calibri" w:cs="Calibri"/>
          <w:b/>
          <w:bCs/>
          <w:color w:val="1B2A6B"/>
          <w:sz w:val="28"/>
          <w:szCs w:val="28"/>
        </w:rPr>
        <w:t>12.2 Comparable Deployments</w:t>
      </w:r>
    </w:p>
    <w:p w14:paraId="6FF0F431" w14:textId="77777777" w:rsidR="000204A6" w:rsidRDefault="00167C71">
      <w:pPr>
        <w:spacing w:before="80" w:after="120"/>
      </w:pPr>
      <w:r>
        <w:rPr>
          <w:rFonts w:ascii="Calibri" w:eastAsia="Calibri" w:hAnsi="Calibri" w:cs="Calibri"/>
          <w:color w:val="1E293B"/>
          <w:sz w:val="22"/>
          <w:szCs w:val="22"/>
        </w:rPr>
        <w:t>Zenoti has deployed across multi-location fitness franchise operators, multi-unit wellness networks, and multi-site hospitality brands at Gold's scale and larger. Specific named references and case studies provided under NDA, including franchise networks with corporate/franchisee configuration hierarchies comparable to Gold's operating model.</w:t>
      </w:r>
    </w:p>
    <w:p w14:paraId="09D4DC89" w14:textId="77777777" w:rsidR="000204A6" w:rsidRDefault="00167C71">
      <w:pPr>
        <w:pStyle w:val="Heading2"/>
        <w:spacing w:before="400" w:after="120"/>
      </w:pPr>
      <w:r>
        <w:rPr>
          <w:rFonts w:ascii="Calibri" w:eastAsia="Calibri" w:hAnsi="Calibri" w:cs="Calibri"/>
          <w:b/>
          <w:bCs/>
          <w:color w:val="1B2A6B"/>
          <w:sz w:val="28"/>
          <w:szCs w:val="28"/>
        </w:rPr>
        <w:t>12.3 References</w:t>
      </w:r>
    </w:p>
    <w:p w14:paraId="461D3A6D" w14:textId="47B5F97E" w:rsidR="000204A6" w:rsidRDefault="00167C71">
      <w:pPr>
        <w:spacing w:before="80" w:after="120"/>
      </w:pPr>
      <w:r w:rsidRPr="54541BA6">
        <w:rPr>
          <w:rFonts w:ascii="Calibri" w:eastAsia="Calibri" w:hAnsi="Calibri" w:cs="Calibri"/>
          <w:color w:val="1E293B"/>
          <w:sz w:val="22"/>
          <w:szCs w:val="22"/>
        </w:rPr>
        <w:t xml:space="preserve">A minimum of three customer references will be provided in the proposal round, including at least one at comparable network scale and franchise model. </w:t>
      </w:r>
    </w:p>
    <w:p w14:paraId="6A574C73" w14:textId="77777777" w:rsidR="000204A6" w:rsidRDefault="00167C71">
      <w:pPr>
        <w:pStyle w:val="Heading2"/>
        <w:spacing w:before="400" w:after="120"/>
      </w:pPr>
      <w:r>
        <w:rPr>
          <w:rFonts w:ascii="Calibri" w:eastAsia="Calibri" w:hAnsi="Calibri" w:cs="Calibri"/>
          <w:b/>
          <w:bCs/>
          <w:color w:val="1B2A6B"/>
          <w:sz w:val="28"/>
          <w:szCs w:val="28"/>
        </w:rPr>
        <w:t>12.4 Implementation Team</w:t>
      </w:r>
    </w:p>
    <w:p w14:paraId="321CC45A" w14:textId="548A2606" w:rsidR="000204A6" w:rsidRDefault="00167C71" w:rsidP="54541BA6">
      <w:pPr>
        <w:spacing w:before="80" w:after="120" w:line="259" w:lineRule="auto"/>
      </w:pPr>
      <w:r w:rsidRPr="54541BA6">
        <w:rPr>
          <w:rFonts w:ascii="Calibri" w:eastAsia="Calibri" w:hAnsi="Calibri" w:cs="Calibri"/>
          <w:color w:val="1E293B"/>
          <w:sz w:val="22"/>
          <w:szCs w:val="22"/>
        </w:rPr>
        <w:t xml:space="preserve">Named team members with credentials, tenure, and relevant prior project experience </w:t>
      </w:r>
      <w:r w:rsidR="3F95DEA1" w:rsidRPr="54541BA6">
        <w:rPr>
          <w:rFonts w:ascii="Calibri" w:eastAsia="Calibri" w:hAnsi="Calibri" w:cs="Calibri"/>
          <w:color w:val="1E293B"/>
          <w:sz w:val="22"/>
          <w:szCs w:val="22"/>
        </w:rPr>
        <w:t>will be</w:t>
      </w:r>
      <w:r w:rsidRPr="54541BA6">
        <w:rPr>
          <w:rFonts w:ascii="Calibri" w:eastAsia="Calibri" w:hAnsi="Calibri" w:cs="Calibri"/>
          <w:color w:val="1E293B"/>
          <w:sz w:val="22"/>
          <w:szCs w:val="22"/>
        </w:rPr>
        <w:t xml:space="preserve"> provided in the proposal round. Zenoti commits to PM continuity through go-live and escalation access to VP-level enterprise services leadership (Exhibit C).</w:t>
      </w:r>
    </w:p>
    <w:p w14:paraId="14A56BBE" w14:textId="77777777" w:rsidR="000204A6" w:rsidRDefault="00167C71">
      <w:pPr>
        <w:pStyle w:val="Heading2"/>
        <w:spacing w:before="400" w:after="120"/>
      </w:pPr>
      <w:r>
        <w:rPr>
          <w:rFonts w:ascii="Calibri" w:eastAsia="Calibri" w:hAnsi="Calibri" w:cs="Calibri"/>
          <w:b/>
          <w:bCs/>
          <w:color w:val="1B2A6B"/>
          <w:sz w:val="28"/>
          <w:szCs w:val="28"/>
        </w:rPr>
        <w:t>12.5 Product Roadmap &amp; Ecosystem Strategy</w:t>
      </w:r>
    </w:p>
    <w:p w14:paraId="29231099" w14:textId="4CFBD348" w:rsidR="000204A6" w:rsidRDefault="00167C71" w:rsidP="54541BA6">
      <w:pPr>
        <w:spacing w:before="80" w:after="120" w:line="259" w:lineRule="auto"/>
      </w:pPr>
      <w:r w:rsidRPr="54541BA6">
        <w:rPr>
          <w:rFonts w:ascii="Calibri" w:eastAsia="Calibri" w:hAnsi="Calibri" w:cs="Calibri"/>
          <w:color w:val="1E293B"/>
          <w:sz w:val="22"/>
          <w:szCs w:val="22"/>
        </w:rPr>
        <w:t>Zenoti's ecosystem strategy is platform-first: we are building a platform that operators extend with their own tools, integrations, and UIs — not a suite customers must adopt end-to-end. 12-month roadmap provided under NDA. Current AI/ML investments include Zeenie (AI workforce platform)</w:t>
      </w:r>
      <w:r w:rsidR="494BDB3C" w:rsidRPr="54541BA6">
        <w:rPr>
          <w:rFonts w:ascii="Calibri" w:eastAsia="Calibri" w:hAnsi="Calibri" w:cs="Calibri"/>
          <w:color w:val="1E293B"/>
          <w:sz w:val="22"/>
          <w:szCs w:val="22"/>
        </w:rPr>
        <w:t>,</w:t>
      </w:r>
      <w:r w:rsidRPr="54541BA6">
        <w:rPr>
          <w:rFonts w:ascii="Calibri" w:eastAsia="Calibri" w:hAnsi="Calibri" w:cs="Calibri"/>
          <w:color w:val="1E293B"/>
          <w:sz w:val="22"/>
          <w:szCs w:val="22"/>
        </w:rPr>
        <w:t xml:space="preserve"> Hyper Connect (Exhibit B, AI-first slide)</w:t>
      </w:r>
      <w:r w:rsidR="6D31DBF3" w:rsidRPr="54541BA6">
        <w:rPr>
          <w:rFonts w:ascii="Calibri" w:eastAsia="Calibri" w:hAnsi="Calibri" w:cs="Calibri"/>
          <w:color w:val="1E293B"/>
          <w:sz w:val="22"/>
          <w:szCs w:val="22"/>
        </w:rPr>
        <w:t>, Business Manager, Retention Manager, Employee Scheduler, AI Marketer and much more</w:t>
      </w:r>
      <w:r w:rsidRPr="54541BA6">
        <w:rPr>
          <w:rFonts w:ascii="Calibri" w:eastAsia="Calibri" w:hAnsi="Calibri" w:cs="Calibri"/>
          <w:color w:val="1E293B"/>
          <w:sz w:val="22"/>
          <w:szCs w:val="22"/>
        </w:rPr>
        <w:t>. Mobile development uses Flutter for cross-platform iOS/Android delivery.</w:t>
      </w:r>
    </w:p>
    <w:p w14:paraId="41407661" w14:textId="77777777" w:rsidR="000204A6" w:rsidRDefault="00167C71">
      <w:pPr>
        <w:pStyle w:val="Heading2"/>
        <w:spacing w:before="400" w:after="120"/>
      </w:pPr>
      <w:r>
        <w:rPr>
          <w:rFonts w:ascii="Calibri" w:eastAsia="Calibri" w:hAnsi="Calibri" w:cs="Calibri"/>
          <w:b/>
          <w:bCs/>
          <w:color w:val="1B2A6B"/>
          <w:sz w:val="28"/>
          <w:szCs w:val="28"/>
        </w:rPr>
        <w:t>12.6 Product Continuity &amp; Sunset Disclosure</w:t>
      </w:r>
    </w:p>
    <w:p w14:paraId="610A34F0" w14:textId="77777777" w:rsidR="000204A6" w:rsidRDefault="00167C71">
      <w:pPr>
        <w:spacing w:before="80" w:after="120"/>
      </w:pPr>
      <w:r>
        <w:rPr>
          <w:rFonts w:ascii="Calibri" w:eastAsia="Calibri" w:hAnsi="Calibri" w:cs="Calibri"/>
          <w:color w:val="1E293B"/>
          <w:sz w:val="22"/>
          <w:szCs w:val="22"/>
        </w:rPr>
        <w:t>This section is treated as a binding representation, as requested by Gold's.</w:t>
      </w:r>
    </w:p>
    <w:p w14:paraId="5F9DC2E3"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Sunset disclosure: No Zenoti product, platform, module, or feature set is planned for, under consideration for, or at risk of sunset, end-of-life, deprecation, or reduced investment within the next 12 months. Status: No current plan.</w:t>
      </w:r>
    </w:p>
    <w:p w14:paraId="424A674A"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Platform consolidation / forced migration: Zenoti has no plan, in progress or under consideration, to migrate or consolidate customers from one platform to another within the next 12 months.</w:t>
      </w:r>
    </w:p>
    <w:p w14:paraId="3B696025"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History (last 36 months): No customer has been required to migrate to a different platform. Where features have been deprecated, customers received minimum 12 months advance notice and migration tooling was provided by Zenoti.</w:t>
      </w:r>
    </w:p>
    <w:p w14:paraId="549A323F"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The product proposed to Gold's: Zenoti's core enterprise platform is the platform we intend to invest in long-term. It is not on a convergence path with another product.</w:t>
      </w:r>
    </w:p>
    <w:p w14:paraId="3A868DAD" w14:textId="77777777" w:rsidR="000204A6" w:rsidRDefault="00167C71">
      <w:pPr>
        <w:pStyle w:val="ListParagraph"/>
        <w:numPr>
          <w:ilvl w:val="0"/>
          <w:numId w:val="1"/>
        </w:numPr>
        <w:spacing w:before="60" w:after="60"/>
        <w:ind w:left="360" w:hanging="259"/>
      </w:pPr>
      <w:r>
        <w:rPr>
          <w:rFonts w:ascii="Calibri" w:eastAsia="Calibri" w:hAnsi="Calibri" w:cs="Calibri"/>
          <w:color w:val="1E293B"/>
          <w:sz w:val="22"/>
          <w:szCs w:val="22"/>
        </w:rPr>
        <w:t>Accountability: Zenoti confirms willingness to stand behind these answers contractually via the product-continuity and no-forced-migration protections in §15.7.</w:t>
      </w:r>
    </w:p>
    <w:p w14:paraId="56F60A2D" w14:textId="77777777" w:rsidR="000204A6" w:rsidRDefault="000204A6">
      <w:pPr>
        <w:pBdr>
          <w:bottom w:val="single" w:sz="6" w:space="1" w:color="00B4D8"/>
        </w:pBdr>
        <w:spacing w:before="200" w:after="200"/>
      </w:pPr>
    </w:p>
    <w:p w14:paraId="37F14281" w14:textId="77777777" w:rsidR="000204A6" w:rsidRDefault="00167C71">
      <w:pPr>
        <w:pStyle w:val="Heading1"/>
        <w:spacing w:before="400" w:after="120"/>
      </w:pPr>
      <w:r>
        <w:rPr>
          <w:rFonts w:ascii="Calibri" w:eastAsia="Calibri" w:hAnsi="Calibri" w:cs="Calibri"/>
          <w:b/>
          <w:bCs/>
          <w:color w:val="1B2A6B"/>
          <w:sz w:val="36"/>
          <w:szCs w:val="36"/>
        </w:rPr>
        <w:t>Section 13 — Demonstration Readiness</w:t>
      </w:r>
    </w:p>
    <w:p w14:paraId="3D9126C1" w14:textId="5E545450" w:rsidR="000204A6" w:rsidRDefault="00167C71" w:rsidP="54541BA6">
      <w:pPr>
        <w:spacing w:before="80" w:after="120" w:line="259" w:lineRule="auto"/>
      </w:pPr>
      <w:r w:rsidRPr="54541BA6">
        <w:rPr>
          <w:rFonts w:ascii="Calibri" w:eastAsia="Calibri" w:hAnsi="Calibri" w:cs="Calibri"/>
          <w:color w:val="1E293B"/>
          <w:sz w:val="22"/>
          <w:szCs w:val="22"/>
        </w:rPr>
        <w:t xml:space="preserve">Zenoti is prepared to demonstrate all seven flows specified in §13.2. Sessions can be conducted on Microsoft Teams and recorded per Gold's requirements. Sandbox available </w:t>
      </w:r>
      <w:r w:rsidR="24D7D611" w:rsidRPr="54541BA6">
        <w:rPr>
          <w:rFonts w:ascii="Calibri" w:eastAsia="Calibri" w:hAnsi="Calibri" w:cs="Calibri"/>
          <w:color w:val="1E293B"/>
          <w:sz w:val="22"/>
          <w:szCs w:val="22"/>
        </w:rPr>
        <w:t xml:space="preserve">based on collaboration between the parties to configure the solution for Gold’s and upon </w:t>
      </w:r>
      <w:r w:rsidR="0C24DB0C" w:rsidRPr="54541BA6">
        <w:rPr>
          <w:rFonts w:ascii="Calibri" w:eastAsia="Calibri" w:hAnsi="Calibri" w:cs="Calibri"/>
          <w:color w:val="1E293B"/>
          <w:sz w:val="22"/>
          <w:szCs w:val="22"/>
        </w:rPr>
        <w:t>completion of the signing of mutually agreed terms for the Sandbox</w:t>
      </w:r>
      <w:r w:rsidRPr="54541BA6">
        <w:rPr>
          <w:rFonts w:ascii="Calibri" w:eastAsia="Calibri" w:hAnsi="Calibri" w:cs="Calibri"/>
          <w:color w:val="1E293B"/>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04A6" w14:paraId="6F61160E" w14:textId="77777777" w:rsidTr="54541BA6">
        <w:tc>
          <w:tcPr>
            <w:tcW w:w="3000" w:type="dxa"/>
            <w:shd w:val="clear" w:color="auto" w:fill="1B2A6B"/>
            <w:tcMar>
              <w:top w:w="80" w:type="dxa"/>
              <w:left w:w="120" w:type="dxa"/>
              <w:bottom w:w="80" w:type="dxa"/>
              <w:right w:w="120" w:type="dxa"/>
            </w:tcMar>
          </w:tcPr>
          <w:p w14:paraId="0488966E" w14:textId="77777777" w:rsidR="000204A6" w:rsidRDefault="00167C71">
            <w:r>
              <w:rPr>
                <w:rFonts w:ascii="Calibri" w:eastAsia="Calibri" w:hAnsi="Calibri" w:cs="Calibri"/>
                <w:b/>
                <w:bCs/>
                <w:color w:val="FFFFFF"/>
                <w:sz w:val="19"/>
                <w:szCs w:val="19"/>
              </w:rPr>
              <w:t>Flow</w:t>
            </w:r>
          </w:p>
        </w:tc>
        <w:tc>
          <w:tcPr>
            <w:tcW w:w="3000" w:type="dxa"/>
            <w:shd w:val="clear" w:color="auto" w:fill="1B2A6B"/>
            <w:tcMar>
              <w:top w:w="80" w:type="dxa"/>
              <w:left w:w="120" w:type="dxa"/>
              <w:bottom w:w="80" w:type="dxa"/>
              <w:right w:w="120" w:type="dxa"/>
            </w:tcMar>
          </w:tcPr>
          <w:p w14:paraId="06FFA50C" w14:textId="77777777" w:rsidR="000204A6" w:rsidRDefault="00167C71">
            <w:r>
              <w:rPr>
                <w:rFonts w:ascii="Calibri" w:eastAsia="Calibri" w:hAnsi="Calibri" w:cs="Calibri"/>
                <w:b/>
                <w:bCs/>
                <w:color w:val="FFFFFF"/>
                <w:sz w:val="19"/>
                <w:szCs w:val="19"/>
              </w:rPr>
              <w:t>Description</w:t>
            </w:r>
          </w:p>
        </w:tc>
        <w:tc>
          <w:tcPr>
            <w:tcW w:w="3000" w:type="dxa"/>
            <w:shd w:val="clear" w:color="auto" w:fill="1B2A6B"/>
            <w:tcMar>
              <w:top w:w="80" w:type="dxa"/>
              <w:left w:w="120" w:type="dxa"/>
              <w:bottom w:w="80" w:type="dxa"/>
              <w:right w:w="120" w:type="dxa"/>
            </w:tcMar>
          </w:tcPr>
          <w:p w14:paraId="186B81D9" w14:textId="77777777" w:rsidR="000204A6" w:rsidRDefault="00167C71">
            <w:r>
              <w:rPr>
                <w:rFonts w:ascii="Calibri" w:eastAsia="Calibri" w:hAnsi="Calibri" w:cs="Calibri"/>
                <w:b/>
                <w:bCs/>
                <w:color w:val="FFFFFF"/>
                <w:sz w:val="19"/>
                <w:szCs w:val="19"/>
              </w:rPr>
              <w:t>Zenoti Readiness</w:t>
            </w:r>
          </w:p>
        </w:tc>
      </w:tr>
      <w:tr w:rsidR="000204A6" w14:paraId="19D4C6C2" w14:textId="77777777" w:rsidTr="54541BA6">
        <w:tc>
          <w:tcPr>
            <w:tcW w:w="3000" w:type="dxa"/>
            <w:shd w:val="clear" w:color="auto" w:fill="FFFFFF" w:themeFill="background1"/>
            <w:tcMar>
              <w:top w:w="80" w:type="dxa"/>
              <w:left w:w="120" w:type="dxa"/>
              <w:bottom w:w="80" w:type="dxa"/>
              <w:right w:w="120" w:type="dxa"/>
            </w:tcMar>
          </w:tcPr>
          <w:p w14:paraId="7A980813" w14:textId="77777777" w:rsidR="000204A6" w:rsidRDefault="00167C71">
            <w:r>
              <w:rPr>
                <w:rFonts w:ascii="Calibri" w:eastAsia="Calibri" w:hAnsi="Calibri" w:cs="Calibri"/>
                <w:color w:val="1E293B"/>
              </w:rPr>
              <w:t>a</w:t>
            </w:r>
          </w:p>
        </w:tc>
        <w:tc>
          <w:tcPr>
            <w:tcW w:w="3000" w:type="dxa"/>
            <w:shd w:val="clear" w:color="auto" w:fill="FFFFFF" w:themeFill="background1"/>
            <w:tcMar>
              <w:top w:w="80" w:type="dxa"/>
              <w:left w:w="120" w:type="dxa"/>
              <w:bottom w:w="80" w:type="dxa"/>
              <w:right w:w="120" w:type="dxa"/>
            </w:tcMar>
          </w:tcPr>
          <w:p w14:paraId="357ABDCF" w14:textId="77777777" w:rsidR="000204A6" w:rsidRDefault="00167C71">
            <w:r>
              <w:rPr>
                <w:rFonts w:ascii="Calibri" w:eastAsia="Calibri" w:hAnsi="Calibri" w:cs="Calibri"/>
                <w:color w:val="1E293B"/>
              </w:rPr>
              <w:t>Live join-online — web form to active member in &lt; 5 min on Gold's-accessible sandbox</w:t>
            </w:r>
          </w:p>
        </w:tc>
        <w:tc>
          <w:tcPr>
            <w:tcW w:w="3000" w:type="dxa"/>
            <w:shd w:val="clear" w:color="auto" w:fill="FFFFFF" w:themeFill="background1"/>
            <w:tcMar>
              <w:top w:w="80" w:type="dxa"/>
              <w:left w:w="120" w:type="dxa"/>
              <w:bottom w:w="80" w:type="dxa"/>
              <w:right w:w="120" w:type="dxa"/>
            </w:tcMar>
          </w:tcPr>
          <w:p w14:paraId="40D0803F" w14:textId="1BA87371" w:rsidR="000204A6" w:rsidRDefault="00167C71" w:rsidP="54541BA6">
            <w:pPr>
              <w:rPr>
                <w:rFonts w:ascii="Calibri" w:eastAsia="Calibri" w:hAnsi="Calibri" w:cs="Calibri"/>
                <w:color w:val="1E293B"/>
              </w:rPr>
            </w:pPr>
            <w:r w:rsidRPr="54541BA6">
              <w:rPr>
                <w:rFonts w:ascii="Calibri" w:eastAsia="Calibri" w:hAnsi="Calibri" w:cs="Calibri"/>
                <w:color w:val="1E293B"/>
              </w:rPr>
              <w:t>Ready</w:t>
            </w:r>
            <w:r w:rsidR="1089DE70" w:rsidRPr="54541BA6">
              <w:rPr>
                <w:rFonts w:ascii="Calibri" w:eastAsia="Calibri" w:hAnsi="Calibri" w:cs="Calibri"/>
                <w:color w:val="1E293B"/>
              </w:rPr>
              <w:t xml:space="preserve"> to demonstrate.</w:t>
            </w:r>
          </w:p>
        </w:tc>
      </w:tr>
      <w:tr w:rsidR="000204A6" w14:paraId="19920FFF" w14:textId="77777777" w:rsidTr="54541BA6">
        <w:tc>
          <w:tcPr>
            <w:tcW w:w="3000" w:type="dxa"/>
            <w:shd w:val="clear" w:color="auto" w:fill="F8FAFC"/>
            <w:tcMar>
              <w:top w:w="80" w:type="dxa"/>
              <w:left w:w="120" w:type="dxa"/>
              <w:bottom w:w="80" w:type="dxa"/>
              <w:right w:w="120" w:type="dxa"/>
            </w:tcMar>
          </w:tcPr>
          <w:p w14:paraId="12D9BA19" w14:textId="77777777" w:rsidR="000204A6" w:rsidRDefault="00167C71">
            <w:r>
              <w:rPr>
                <w:rFonts w:ascii="Calibri" w:eastAsia="Calibri" w:hAnsi="Calibri" w:cs="Calibri"/>
                <w:color w:val="1E293B"/>
              </w:rPr>
              <w:t>b</w:t>
            </w:r>
          </w:p>
        </w:tc>
        <w:tc>
          <w:tcPr>
            <w:tcW w:w="3000" w:type="dxa"/>
            <w:shd w:val="clear" w:color="auto" w:fill="F8FAFC"/>
            <w:tcMar>
              <w:top w:w="80" w:type="dxa"/>
              <w:left w:w="120" w:type="dxa"/>
              <w:bottom w:w="80" w:type="dxa"/>
              <w:right w:w="120" w:type="dxa"/>
            </w:tcMar>
          </w:tcPr>
          <w:p w14:paraId="45C51EB5" w14:textId="77777777" w:rsidR="000204A6" w:rsidRDefault="00167C71">
            <w:r>
              <w:rPr>
                <w:rFonts w:ascii="Calibri" w:eastAsia="Calibri" w:hAnsi="Calibri" w:cs="Calibri"/>
                <w:color w:val="1E293B"/>
              </w:rPr>
              <w:t>Multi-location check-in — travel-pass, one member, two locations, verified entitlement</w:t>
            </w:r>
          </w:p>
        </w:tc>
        <w:tc>
          <w:tcPr>
            <w:tcW w:w="3000" w:type="dxa"/>
            <w:shd w:val="clear" w:color="auto" w:fill="F8FAFC"/>
            <w:tcMar>
              <w:top w:w="80" w:type="dxa"/>
              <w:left w:w="120" w:type="dxa"/>
              <w:bottom w:w="80" w:type="dxa"/>
              <w:right w:w="120" w:type="dxa"/>
            </w:tcMar>
          </w:tcPr>
          <w:p w14:paraId="3637E67D" w14:textId="59FE51A9" w:rsidR="000204A6" w:rsidRDefault="00167C71" w:rsidP="54541BA6">
            <w:pPr>
              <w:rPr>
                <w:rFonts w:ascii="Calibri" w:eastAsia="Calibri" w:hAnsi="Calibri" w:cs="Calibri"/>
                <w:color w:val="1E293B"/>
              </w:rPr>
            </w:pPr>
            <w:r w:rsidRPr="54541BA6">
              <w:rPr>
                <w:rFonts w:ascii="Calibri" w:eastAsia="Calibri" w:hAnsi="Calibri" w:cs="Calibri"/>
                <w:color w:val="1E293B"/>
              </w:rPr>
              <w:t>Ready</w:t>
            </w:r>
            <w:r w:rsidR="694CFF4D" w:rsidRPr="54541BA6">
              <w:rPr>
                <w:rFonts w:ascii="Calibri" w:eastAsia="Calibri" w:hAnsi="Calibri" w:cs="Calibri"/>
                <w:color w:val="1E293B"/>
              </w:rPr>
              <w:t xml:space="preserve"> to demonstrate</w:t>
            </w:r>
            <w:r w:rsidRPr="54541BA6">
              <w:rPr>
                <w:rFonts w:ascii="Calibri" w:eastAsia="Calibri" w:hAnsi="Calibri" w:cs="Calibri"/>
                <w:color w:val="1E293B"/>
              </w:rPr>
              <w:t xml:space="preserve">. </w:t>
            </w:r>
          </w:p>
        </w:tc>
      </w:tr>
      <w:tr w:rsidR="000204A6" w14:paraId="2D59A01E" w14:textId="77777777" w:rsidTr="54541BA6">
        <w:tc>
          <w:tcPr>
            <w:tcW w:w="3000" w:type="dxa"/>
            <w:shd w:val="clear" w:color="auto" w:fill="FFFFFF" w:themeFill="background1"/>
            <w:tcMar>
              <w:top w:w="80" w:type="dxa"/>
              <w:left w:w="120" w:type="dxa"/>
              <w:bottom w:w="80" w:type="dxa"/>
              <w:right w:w="120" w:type="dxa"/>
            </w:tcMar>
          </w:tcPr>
          <w:p w14:paraId="137C6129" w14:textId="77777777" w:rsidR="000204A6" w:rsidRDefault="00167C71">
            <w:r>
              <w:rPr>
                <w:rFonts w:ascii="Calibri" w:eastAsia="Calibri" w:hAnsi="Calibri" w:cs="Calibri"/>
                <w:color w:val="1E293B"/>
              </w:rPr>
              <w:t>c</w:t>
            </w:r>
          </w:p>
        </w:tc>
        <w:tc>
          <w:tcPr>
            <w:tcW w:w="3000" w:type="dxa"/>
            <w:shd w:val="clear" w:color="auto" w:fill="FFFFFF" w:themeFill="background1"/>
            <w:tcMar>
              <w:top w:w="80" w:type="dxa"/>
              <w:left w:w="120" w:type="dxa"/>
              <w:bottom w:w="80" w:type="dxa"/>
              <w:right w:w="120" w:type="dxa"/>
            </w:tcMar>
          </w:tcPr>
          <w:p w14:paraId="25A82C3A" w14:textId="77777777" w:rsidR="000204A6" w:rsidRDefault="00167C71">
            <w:r>
              <w:rPr>
                <w:rFonts w:ascii="Calibri" w:eastAsia="Calibri" w:hAnsi="Calibri" w:cs="Calibri"/>
                <w:color w:val="1E293B"/>
              </w:rPr>
              <w:t>ACH failure / dunning — retry cadence, branded communications, recovery</w:t>
            </w:r>
          </w:p>
        </w:tc>
        <w:tc>
          <w:tcPr>
            <w:tcW w:w="3000" w:type="dxa"/>
            <w:shd w:val="clear" w:color="auto" w:fill="FFFFFF" w:themeFill="background1"/>
            <w:tcMar>
              <w:top w:w="80" w:type="dxa"/>
              <w:left w:w="120" w:type="dxa"/>
              <w:bottom w:w="80" w:type="dxa"/>
              <w:right w:w="120" w:type="dxa"/>
            </w:tcMar>
          </w:tcPr>
          <w:p w14:paraId="3FB567BD" w14:textId="4D478786" w:rsidR="000204A6" w:rsidRDefault="00167C71" w:rsidP="54541BA6">
            <w:pPr>
              <w:rPr>
                <w:rFonts w:ascii="Calibri" w:eastAsia="Calibri" w:hAnsi="Calibri" w:cs="Calibri"/>
                <w:color w:val="1E293B"/>
              </w:rPr>
            </w:pPr>
            <w:r w:rsidRPr="54541BA6">
              <w:rPr>
                <w:rFonts w:ascii="Calibri" w:eastAsia="Calibri" w:hAnsi="Calibri" w:cs="Calibri"/>
                <w:color w:val="1E293B"/>
              </w:rPr>
              <w:t>Ready</w:t>
            </w:r>
            <w:r w:rsidR="54ABB2BA" w:rsidRPr="54541BA6">
              <w:rPr>
                <w:rFonts w:ascii="Calibri" w:eastAsia="Calibri" w:hAnsi="Calibri" w:cs="Calibri"/>
                <w:color w:val="1E293B"/>
              </w:rPr>
              <w:t xml:space="preserve"> to demonstrate</w:t>
            </w:r>
            <w:r w:rsidRPr="54541BA6">
              <w:rPr>
                <w:rFonts w:ascii="Calibri" w:eastAsia="Calibri" w:hAnsi="Calibri" w:cs="Calibri"/>
                <w:color w:val="1E293B"/>
              </w:rPr>
              <w:t xml:space="preserve">. </w:t>
            </w:r>
          </w:p>
        </w:tc>
      </w:tr>
      <w:tr w:rsidR="000204A6" w14:paraId="5CAE3DA2" w14:textId="77777777" w:rsidTr="54541BA6">
        <w:tc>
          <w:tcPr>
            <w:tcW w:w="3000" w:type="dxa"/>
            <w:shd w:val="clear" w:color="auto" w:fill="F8FAFC"/>
            <w:tcMar>
              <w:top w:w="80" w:type="dxa"/>
              <w:left w:w="120" w:type="dxa"/>
              <w:bottom w:w="80" w:type="dxa"/>
              <w:right w:w="120" w:type="dxa"/>
            </w:tcMar>
          </w:tcPr>
          <w:p w14:paraId="62606C4C" w14:textId="77777777" w:rsidR="000204A6" w:rsidRDefault="00167C71">
            <w:r>
              <w:rPr>
                <w:rFonts w:ascii="Calibri" w:eastAsia="Calibri" w:hAnsi="Calibri" w:cs="Calibri"/>
                <w:color w:val="1E293B"/>
              </w:rPr>
              <w:t>d</w:t>
            </w:r>
          </w:p>
        </w:tc>
        <w:tc>
          <w:tcPr>
            <w:tcW w:w="3000" w:type="dxa"/>
            <w:shd w:val="clear" w:color="auto" w:fill="F8FAFC"/>
            <w:tcMar>
              <w:top w:w="80" w:type="dxa"/>
              <w:left w:w="120" w:type="dxa"/>
              <w:bottom w:w="80" w:type="dxa"/>
              <w:right w:w="120" w:type="dxa"/>
            </w:tcMar>
          </w:tcPr>
          <w:p w14:paraId="282791CD" w14:textId="77777777" w:rsidR="000204A6" w:rsidRDefault="00167C71">
            <w:r>
              <w:rPr>
                <w:rFonts w:ascii="Calibri" w:eastAsia="Calibri" w:hAnsi="Calibri" w:cs="Calibri"/>
                <w:color w:val="1E293B"/>
              </w:rPr>
              <w:t>Franchisee scorecard — corporate → franchisee → location drill-down with refresh latency</w:t>
            </w:r>
          </w:p>
        </w:tc>
        <w:tc>
          <w:tcPr>
            <w:tcW w:w="3000" w:type="dxa"/>
            <w:shd w:val="clear" w:color="auto" w:fill="F8FAFC"/>
            <w:tcMar>
              <w:top w:w="80" w:type="dxa"/>
              <w:left w:w="120" w:type="dxa"/>
              <w:bottom w:w="80" w:type="dxa"/>
              <w:right w:w="120" w:type="dxa"/>
            </w:tcMar>
          </w:tcPr>
          <w:p w14:paraId="1111386C" w14:textId="77777777" w:rsidR="000204A6" w:rsidRDefault="00167C71">
            <w:r>
              <w:rPr>
                <w:rFonts w:ascii="Calibri" w:eastAsia="Calibri" w:hAnsi="Calibri" w:cs="Calibri"/>
                <w:color w:val="1E293B"/>
              </w:rPr>
              <w:t>Ready. Real-time data; Redshift analytics layer.</w:t>
            </w:r>
          </w:p>
        </w:tc>
      </w:tr>
      <w:tr w:rsidR="000204A6" w14:paraId="287246AD" w14:textId="77777777" w:rsidTr="54541BA6">
        <w:tc>
          <w:tcPr>
            <w:tcW w:w="3000" w:type="dxa"/>
            <w:shd w:val="clear" w:color="auto" w:fill="FFFFFF" w:themeFill="background1"/>
            <w:tcMar>
              <w:top w:w="80" w:type="dxa"/>
              <w:left w:w="120" w:type="dxa"/>
              <w:bottom w:w="80" w:type="dxa"/>
              <w:right w:w="120" w:type="dxa"/>
            </w:tcMar>
          </w:tcPr>
          <w:p w14:paraId="237F44BF" w14:textId="77777777" w:rsidR="000204A6" w:rsidRDefault="00167C71">
            <w:r>
              <w:rPr>
                <w:rFonts w:ascii="Calibri" w:eastAsia="Calibri" w:hAnsi="Calibri" w:cs="Calibri"/>
                <w:color w:val="1E293B"/>
              </w:rPr>
              <w:t>e</w:t>
            </w:r>
          </w:p>
        </w:tc>
        <w:tc>
          <w:tcPr>
            <w:tcW w:w="3000" w:type="dxa"/>
            <w:shd w:val="clear" w:color="auto" w:fill="FFFFFF" w:themeFill="background1"/>
            <w:tcMar>
              <w:top w:w="80" w:type="dxa"/>
              <w:left w:w="120" w:type="dxa"/>
              <w:bottom w:w="80" w:type="dxa"/>
              <w:right w:w="120" w:type="dxa"/>
            </w:tcMar>
          </w:tcPr>
          <w:p w14:paraId="647D2582" w14:textId="77777777" w:rsidR="000204A6" w:rsidRDefault="00167C71">
            <w:r>
              <w:rPr>
                <w:rFonts w:ascii="Calibri" w:eastAsia="Calibri" w:hAnsi="Calibri" w:cs="Calibri"/>
                <w:color w:val="1E293B"/>
              </w:rPr>
              <w:t>API/webhook — trigger real-time event, consume in external sandbox system</w:t>
            </w:r>
          </w:p>
        </w:tc>
        <w:tc>
          <w:tcPr>
            <w:tcW w:w="3000" w:type="dxa"/>
            <w:shd w:val="clear" w:color="auto" w:fill="FFFFFF" w:themeFill="background1"/>
            <w:tcMar>
              <w:top w:w="80" w:type="dxa"/>
              <w:left w:w="120" w:type="dxa"/>
              <w:bottom w:w="80" w:type="dxa"/>
              <w:right w:w="120" w:type="dxa"/>
            </w:tcMar>
          </w:tcPr>
          <w:p w14:paraId="3014C910" w14:textId="3311241E" w:rsidR="000204A6" w:rsidRDefault="00167C71">
            <w:r w:rsidRPr="54541BA6">
              <w:rPr>
                <w:rFonts w:ascii="Calibri" w:eastAsia="Calibri" w:hAnsi="Calibri" w:cs="Calibri"/>
                <w:color w:val="1E293B"/>
              </w:rPr>
              <w:t>Ready</w:t>
            </w:r>
            <w:r w:rsidR="0BBD61A9" w:rsidRPr="54541BA6">
              <w:rPr>
                <w:rFonts w:ascii="Calibri" w:eastAsia="Calibri" w:hAnsi="Calibri" w:cs="Calibri"/>
                <w:color w:val="1E293B"/>
              </w:rPr>
              <w:t xml:space="preserve"> to demonstrate.</w:t>
            </w:r>
          </w:p>
        </w:tc>
      </w:tr>
      <w:tr w:rsidR="000204A6" w14:paraId="62944300" w14:textId="77777777" w:rsidTr="54541BA6">
        <w:tc>
          <w:tcPr>
            <w:tcW w:w="3000" w:type="dxa"/>
            <w:shd w:val="clear" w:color="auto" w:fill="F8FAFC"/>
            <w:tcMar>
              <w:top w:w="80" w:type="dxa"/>
              <w:left w:w="120" w:type="dxa"/>
              <w:bottom w:w="80" w:type="dxa"/>
              <w:right w:w="120" w:type="dxa"/>
            </w:tcMar>
          </w:tcPr>
          <w:p w14:paraId="430E28D9" w14:textId="77777777" w:rsidR="000204A6" w:rsidRDefault="00167C71">
            <w:r>
              <w:rPr>
                <w:rFonts w:ascii="Calibri" w:eastAsia="Calibri" w:hAnsi="Calibri" w:cs="Calibri"/>
                <w:color w:val="1E293B"/>
              </w:rPr>
              <w:t>f</w:t>
            </w:r>
          </w:p>
        </w:tc>
        <w:tc>
          <w:tcPr>
            <w:tcW w:w="3000" w:type="dxa"/>
            <w:shd w:val="clear" w:color="auto" w:fill="F8FAFC"/>
            <w:tcMar>
              <w:top w:w="80" w:type="dxa"/>
              <w:left w:w="120" w:type="dxa"/>
              <w:bottom w:w="80" w:type="dxa"/>
              <w:right w:w="120" w:type="dxa"/>
            </w:tcMar>
          </w:tcPr>
          <w:p w14:paraId="1141EA0C" w14:textId="77777777" w:rsidR="000204A6" w:rsidRDefault="00167C71">
            <w:r>
              <w:rPr>
                <w:rFonts w:ascii="Calibri" w:eastAsia="Calibri" w:hAnsi="Calibri" w:cs="Calibri"/>
                <w:color w:val="1E293B"/>
              </w:rPr>
              <w:t>POS transaction → member profile → location daily report → corporate roll-up</w:t>
            </w:r>
          </w:p>
        </w:tc>
        <w:tc>
          <w:tcPr>
            <w:tcW w:w="3000" w:type="dxa"/>
            <w:shd w:val="clear" w:color="auto" w:fill="F8FAFC"/>
            <w:tcMar>
              <w:top w:w="80" w:type="dxa"/>
              <w:left w:w="120" w:type="dxa"/>
              <w:bottom w:w="80" w:type="dxa"/>
              <w:right w:w="120" w:type="dxa"/>
            </w:tcMar>
          </w:tcPr>
          <w:p w14:paraId="28BC8057" w14:textId="7BD4BC4F" w:rsidR="000204A6" w:rsidRDefault="4D082555" w:rsidP="54541BA6">
            <w:pPr>
              <w:spacing w:line="259" w:lineRule="auto"/>
            </w:pPr>
            <w:r w:rsidRPr="54541BA6">
              <w:rPr>
                <w:rFonts w:ascii="Calibri" w:eastAsia="Calibri" w:hAnsi="Calibri" w:cs="Calibri"/>
                <w:color w:val="1E293B"/>
              </w:rPr>
              <w:t>Ready to demonstrate.</w:t>
            </w:r>
          </w:p>
        </w:tc>
      </w:tr>
      <w:tr w:rsidR="000204A6" w14:paraId="70B015FE" w14:textId="77777777" w:rsidTr="54541BA6">
        <w:tc>
          <w:tcPr>
            <w:tcW w:w="3000" w:type="dxa"/>
            <w:shd w:val="clear" w:color="auto" w:fill="FFFFFF" w:themeFill="background1"/>
            <w:tcMar>
              <w:top w:w="80" w:type="dxa"/>
              <w:left w:w="120" w:type="dxa"/>
              <w:bottom w:w="80" w:type="dxa"/>
              <w:right w:w="120" w:type="dxa"/>
            </w:tcMar>
          </w:tcPr>
          <w:p w14:paraId="6CDB3615" w14:textId="77777777" w:rsidR="000204A6" w:rsidRDefault="00167C71">
            <w:r>
              <w:rPr>
                <w:rFonts w:ascii="Calibri" w:eastAsia="Calibri" w:hAnsi="Calibri" w:cs="Calibri"/>
                <w:color w:val="1E293B"/>
              </w:rPr>
              <w:t>g</w:t>
            </w:r>
          </w:p>
        </w:tc>
        <w:tc>
          <w:tcPr>
            <w:tcW w:w="3000" w:type="dxa"/>
            <w:shd w:val="clear" w:color="auto" w:fill="FFFFFF" w:themeFill="background1"/>
            <w:tcMar>
              <w:top w:w="80" w:type="dxa"/>
              <w:left w:w="120" w:type="dxa"/>
              <w:bottom w:w="80" w:type="dxa"/>
              <w:right w:w="120" w:type="dxa"/>
            </w:tcMar>
          </w:tcPr>
          <w:p w14:paraId="30B6B0BA" w14:textId="77777777" w:rsidR="000204A6" w:rsidRDefault="00167C71">
            <w:r>
              <w:rPr>
                <w:rFonts w:ascii="Calibri" w:eastAsia="Calibri" w:hAnsi="Calibri" w:cs="Calibri"/>
                <w:color w:val="1E293B"/>
              </w:rPr>
              <w:t>Headless / Gold's UX — full member journey via APIs only, no Zenoti UI</w:t>
            </w:r>
          </w:p>
        </w:tc>
        <w:tc>
          <w:tcPr>
            <w:tcW w:w="3000" w:type="dxa"/>
            <w:shd w:val="clear" w:color="auto" w:fill="FFFFFF" w:themeFill="background1"/>
            <w:tcMar>
              <w:top w:w="80" w:type="dxa"/>
              <w:left w:w="120" w:type="dxa"/>
              <w:bottom w:w="80" w:type="dxa"/>
              <w:right w:w="120" w:type="dxa"/>
            </w:tcMar>
          </w:tcPr>
          <w:p w14:paraId="6BA69507" w14:textId="5D20890E" w:rsidR="000204A6" w:rsidRDefault="2D9EADA8" w:rsidP="54541BA6">
            <w:pPr>
              <w:spacing w:line="259" w:lineRule="auto"/>
            </w:pPr>
            <w:r w:rsidRPr="54541BA6">
              <w:rPr>
                <w:rFonts w:ascii="Calibri" w:eastAsia="Calibri" w:hAnsi="Calibri" w:cs="Calibri"/>
                <w:color w:val="1E293B"/>
              </w:rPr>
              <w:t>Ready to demonstrate how Zenoti supports this.</w:t>
            </w:r>
          </w:p>
        </w:tc>
      </w:tr>
    </w:tbl>
    <w:p w14:paraId="2E489335" w14:textId="77777777" w:rsidR="000204A6" w:rsidRDefault="000204A6">
      <w:pPr>
        <w:pBdr>
          <w:bottom w:val="single" w:sz="6" w:space="1" w:color="00B4D8"/>
        </w:pBdr>
        <w:spacing w:before="200" w:after="200"/>
      </w:pPr>
    </w:p>
    <w:p w14:paraId="31441B51" w14:textId="77777777" w:rsidR="000204A6" w:rsidRDefault="00167C71">
      <w:pPr>
        <w:pStyle w:val="Heading1"/>
        <w:spacing w:before="400" w:after="120"/>
      </w:pPr>
      <w:r>
        <w:rPr>
          <w:rFonts w:ascii="Calibri" w:eastAsia="Calibri" w:hAnsi="Calibri" w:cs="Calibri"/>
          <w:b/>
          <w:bCs/>
          <w:color w:val="1B2A6B"/>
          <w:sz w:val="36"/>
          <w:szCs w:val="36"/>
        </w:rPr>
        <w:t>Supporting Evidence — Attached Exhibits</w:t>
      </w:r>
    </w:p>
    <w:p w14:paraId="1CD8BBB5" w14:textId="77777777" w:rsidR="000204A6" w:rsidRDefault="00167C71">
      <w:pPr>
        <w:spacing w:before="80" w:after="120"/>
      </w:pPr>
      <w:r>
        <w:rPr>
          <w:rFonts w:ascii="Calibri" w:eastAsia="Calibri" w:hAnsi="Calibri" w:cs="Calibri"/>
          <w:color w:val="1E293B"/>
          <w:sz w:val="22"/>
          <w:szCs w:val="22"/>
        </w:rPr>
        <w:t>The following documents are attached to this RFI response and referenced throughout: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204A6" w14:paraId="392881AB" w14:textId="77777777">
        <w:tc>
          <w:tcPr>
            <w:tcW w:w="3000" w:type="dxa"/>
            <w:shd w:val="clear" w:color="auto" w:fill="1B2A6B"/>
            <w:tcMar>
              <w:top w:w="80" w:type="dxa"/>
              <w:left w:w="120" w:type="dxa"/>
              <w:bottom w:w="80" w:type="dxa"/>
              <w:right w:w="120" w:type="dxa"/>
            </w:tcMar>
          </w:tcPr>
          <w:p w14:paraId="41A5DAF5" w14:textId="77777777" w:rsidR="000204A6" w:rsidRDefault="00167C71">
            <w:r>
              <w:rPr>
                <w:rFonts w:ascii="Calibri" w:eastAsia="Calibri" w:hAnsi="Calibri" w:cs="Calibri"/>
                <w:b/>
                <w:bCs/>
                <w:color w:val="FFFFFF"/>
                <w:sz w:val="19"/>
                <w:szCs w:val="19"/>
              </w:rPr>
              <w:t>Exhibit</w:t>
            </w:r>
          </w:p>
        </w:tc>
        <w:tc>
          <w:tcPr>
            <w:tcW w:w="3000" w:type="dxa"/>
            <w:shd w:val="clear" w:color="auto" w:fill="1B2A6B"/>
            <w:tcMar>
              <w:top w:w="80" w:type="dxa"/>
              <w:left w:w="120" w:type="dxa"/>
              <w:bottom w:w="80" w:type="dxa"/>
              <w:right w:w="120" w:type="dxa"/>
            </w:tcMar>
          </w:tcPr>
          <w:p w14:paraId="12CDB86E" w14:textId="77777777" w:rsidR="000204A6" w:rsidRDefault="00167C71">
            <w:r>
              <w:rPr>
                <w:rFonts w:ascii="Calibri" w:eastAsia="Calibri" w:hAnsi="Calibri" w:cs="Calibri"/>
                <w:b/>
                <w:bCs/>
                <w:color w:val="FFFFFF"/>
                <w:sz w:val="19"/>
                <w:szCs w:val="19"/>
              </w:rPr>
              <w:t>Document</w:t>
            </w:r>
          </w:p>
        </w:tc>
        <w:tc>
          <w:tcPr>
            <w:tcW w:w="3000" w:type="dxa"/>
            <w:shd w:val="clear" w:color="auto" w:fill="1B2A6B"/>
            <w:tcMar>
              <w:top w:w="80" w:type="dxa"/>
              <w:left w:w="120" w:type="dxa"/>
              <w:bottom w:w="80" w:type="dxa"/>
              <w:right w:w="120" w:type="dxa"/>
            </w:tcMar>
          </w:tcPr>
          <w:p w14:paraId="79291C1D" w14:textId="77777777" w:rsidR="000204A6" w:rsidRDefault="00167C71">
            <w:r>
              <w:rPr>
                <w:rFonts w:ascii="Calibri" w:eastAsia="Calibri" w:hAnsi="Calibri" w:cs="Calibri"/>
                <w:b/>
                <w:bCs/>
                <w:color w:val="FFFFFF"/>
                <w:sz w:val="19"/>
                <w:szCs w:val="19"/>
              </w:rPr>
              <w:t>Relevance to This Response</w:t>
            </w:r>
          </w:p>
        </w:tc>
      </w:tr>
      <w:tr w:rsidR="000204A6" w14:paraId="3CC6DA47" w14:textId="77777777">
        <w:tc>
          <w:tcPr>
            <w:tcW w:w="3000" w:type="dxa"/>
            <w:shd w:val="clear" w:color="auto" w:fill="FFFFFF"/>
            <w:tcMar>
              <w:top w:w="80" w:type="dxa"/>
              <w:left w:w="120" w:type="dxa"/>
              <w:bottom w:w="80" w:type="dxa"/>
              <w:right w:w="120" w:type="dxa"/>
            </w:tcMar>
          </w:tcPr>
          <w:p w14:paraId="62033DC8" w14:textId="77777777" w:rsidR="000204A6" w:rsidRDefault="00167C71">
            <w:r>
              <w:rPr>
                <w:rFonts w:ascii="Calibri" w:eastAsia="Calibri" w:hAnsi="Calibri" w:cs="Calibri"/>
                <w:color w:val="1E293B"/>
              </w:rPr>
              <w:t>A</w:t>
            </w:r>
          </w:p>
        </w:tc>
        <w:tc>
          <w:tcPr>
            <w:tcW w:w="3000" w:type="dxa"/>
            <w:shd w:val="clear" w:color="auto" w:fill="FFFFFF"/>
            <w:tcMar>
              <w:top w:w="80" w:type="dxa"/>
              <w:left w:w="120" w:type="dxa"/>
              <w:bottom w:w="80" w:type="dxa"/>
              <w:right w:w="120" w:type="dxa"/>
            </w:tcMar>
          </w:tcPr>
          <w:p w14:paraId="3166187E" w14:textId="77777777" w:rsidR="000204A6" w:rsidRDefault="00167C71">
            <w:r>
              <w:rPr>
                <w:rFonts w:ascii="Calibri" w:eastAsia="Calibri" w:hAnsi="Calibri" w:cs="Calibri"/>
                <w:color w:val="1E293B"/>
              </w:rPr>
              <w:t>Zenoti Standard Service Level Agreement</w:t>
            </w:r>
          </w:p>
        </w:tc>
        <w:tc>
          <w:tcPr>
            <w:tcW w:w="3000" w:type="dxa"/>
            <w:shd w:val="clear" w:color="auto" w:fill="FFFFFF"/>
            <w:tcMar>
              <w:top w:w="80" w:type="dxa"/>
              <w:left w:w="120" w:type="dxa"/>
              <w:bottom w:w="80" w:type="dxa"/>
              <w:right w:w="120" w:type="dxa"/>
            </w:tcMar>
          </w:tcPr>
          <w:p w14:paraId="34C676C3" w14:textId="77777777" w:rsidR="000204A6" w:rsidRDefault="00167C71">
            <w:r>
              <w:rPr>
                <w:rFonts w:ascii="Calibri" w:eastAsia="Calibri" w:hAnsi="Calibri" w:cs="Calibri"/>
                <w:color w:val="1E293B"/>
              </w:rPr>
              <w:t>Contractual SLA commitments referenced in Sections 9 and 4.4. Confirms 99.9% uptime, 1-hour Sev1/Sev2 response, 11pm–5am maintenance windows, and 48-hour advance notice.</w:t>
            </w:r>
          </w:p>
        </w:tc>
      </w:tr>
      <w:tr w:rsidR="000204A6" w14:paraId="4879436C" w14:textId="77777777">
        <w:tc>
          <w:tcPr>
            <w:tcW w:w="3000" w:type="dxa"/>
            <w:shd w:val="clear" w:color="auto" w:fill="F8FAFC"/>
            <w:tcMar>
              <w:top w:w="80" w:type="dxa"/>
              <w:left w:w="120" w:type="dxa"/>
              <w:bottom w:w="80" w:type="dxa"/>
              <w:right w:w="120" w:type="dxa"/>
            </w:tcMar>
          </w:tcPr>
          <w:p w14:paraId="33B09B8D" w14:textId="77777777" w:rsidR="000204A6" w:rsidRDefault="00167C71">
            <w:r>
              <w:rPr>
                <w:rFonts w:ascii="Calibri" w:eastAsia="Calibri" w:hAnsi="Calibri" w:cs="Calibri"/>
                <w:color w:val="1E293B"/>
              </w:rPr>
              <w:t>B</w:t>
            </w:r>
          </w:p>
        </w:tc>
        <w:tc>
          <w:tcPr>
            <w:tcW w:w="3000" w:type="dxa"/>
            <w:shd w:val="clear" w:color="auto" w:fill="F8FAFC"/>
            <w:tcMar>
              <w:top w:w="80" w:type="dxa"/>
              <w:left w:w="120" w:type="dxa"/>
              <w:bottom w:w="80" w:type="dxa"/>
              <w:right w:w="120" w:type="dxa"/>
            </w:tcMar>
          </w:tcPr>
          <w:p w14:paraId="194C4E2F" w14:textId="77777777" w:rsidR="000204A6" w:rsidRDefault="00167C71">
            <w:r>
              <w:rPr>
                <w:rFonts w:ascii="Calibri" w:eastAsia="Calibri" w:hAnsi="Calibri" w:cs="Calibri"/>
                <w:color w:val="1E293B"/>
              </w:rPr>
              <w:t>Zenoti Technology Architecture Overview (October 2024, Confidential)</w:t>
            </w:r>
          </w:p>
        </w:tc>
        <w:tc>
          <w:tcPr>
            <w:tcW w:w="3000" w:type="dxa"/>
            <w:shd w:val="clear" w:color="auto" w:fill="F8FAFC"/>
            <w:tcMar>
              <w:top w:w="80" w:type="dxa"/>
              <w:left w:w="120" w:type="dxa"/>
              <w:bottom w:w="80" w:type="dxa"/>
              <w:right w:w="120" w:type="dxa"/>
            </w:tcMar>
          </w:tcPr>
          <w:p w14:paraId="1F603260" w14:textId="77777777" w:rsidR="000204A6" w:rsidRDefault="00167C71">
            <w:r>
              <w:rPr>
                <w:rFonts w:ascii="Calibri" w:eastAsia="Calibri" w:hAnsi="Calibri" w:cs="Calibri"/>
                <w:color w:val="1E293B"/>
              </w:rPr>
              <w:t>Infrastructure, security, compliance, API coverage, webhook catalog, analytics architecture, payments, messaging, release process, and monitoring tooling referenced in Sections 6, 7, 8, and 9.</w:t>
            </w:r>
          </w:p>
        </w:tc>
      </w:tr>
      <w:tr w:rsidR="000204A6" w14:paraId="4C3E4C0B" w14:textId="77777777">
        <w:tc>
          <w:tcPr>
            <w:tcW w:w="3000" w:type="dxa"/>
            <w:shd w:val="clear" w:color="auto" w:fill="FFFFFF"/>
            <w:tcMar>
              <w:top w:w="80" w:type="dxa"/>
              <w:left w:w="120" w:type="dxa"/>
              <w:bottom w:w="80" w:type="dxa"/>
              <w:right w:w="120" w:type="dxa"/>
            </w:tcMar>
          </w:tcPr>
          <w:p w14:paraId="6F1C6910" w14:textId="77777777" w:rsidR="000204A6" w:rsidRDefault="00167C71">
            <w:r>
              <w:rPr>
                <w:rFonts w:ascii="Calibri" w:eastAsia="Calibri" w:hAnsi="Calibri" w:cs="Calibri"/>
                <w:color w:val="1E293B"/>
              </w:rPr>
              <w:t>C</w:t>
            </w:r>
          </w:p>
        </w:tc>
        <w:tc>
          <w:tcPr>
            <w:tcW w:w="3000" w:type="dxa"/>
            <w:shd w:val="clear" w:color="auto" w:fill="FFFFFF"/>
            <w:tcMar>
              <w:top w:w="80" w:type="dxa"/>
              <w:left w:w="120" w:type="dxa"/>
              <w:bottom w:w="80" w:type="dxa"/>
              <w:right w:w="120" w:type="dxa"/>
            </w:tcMar>
          </w:tcPr>
          <w:p w14:paraId="2FF77B0E" w14:textId="77777777" w:rsidR="000204A6" w:rsidRDefault="00167C71">
            <w:r>
              <w:rPr>
                <w:rFonts w:ascii="Calibri" w:eastAsia="Calibri" w:hAnsi="Calibri" w:cs="Calibri"/>
                <w:color w:val="1E293B"/>
              </w:rPr>
              <w:t>Zenoti Implementation Customer Engagement Guide for Large Enterprises (Ver 3.2)</w:t>
            </w:r>
          </w:p>
        </w:tc>
        <w:tc>
          <w:tcPr>
            <w:tcW w:w="3000" w:type="dxa"/>
            <w:shd w:val="clear" w:color="auto" w:fill="FFFFFF"/>
            <w:tcMar>
              <w:top w:w="80" w:type="dxa"/>
              <w:left w:w="120" w:type="dxa"/>
              <w:bottom w:w="80" w:type="dxa"/>
              <w:right w:w="120" w:type="dxa"/>
            </w:tcMar>
          </w:tcPr>
          <w:p w14:paraId="4438A5D2" w14:textId="77777777" w:rsidR="000204A6" w:rsidRDefault="00167C71">
            <w:r>
              <w:rPr>
                <w:rFonts w:ascii="Calibri" w:eastAsia="Calibri" w:hAnsi="Calibri" w:cs="Calibri"/>
                <w:color w:val="1E293B"/>
              </w:rPr>
              <w:t>Full implementation methodology, role-based training tracks, pilot and wave rollout structure, change management framework, and project team structure referenced in Section 10.</w:t>
            </w:r>
          </w:p>
        </w:tc>
      </w:tr>
    </w:tbl>
    <w:p w14:paraId="0CF82B46" w14:textId="77777777" w:rsidR="000204A6" w:rsidRDefault="000204A6">
      <w:pPr>
        <w:pBdr>
          <w:bottom w:val="single" w:sz="6" w:space="1" w:color="00B4D8"/>
        </w:pBdr>
        <w:spacing w:before="200" w:after="200"/>
      </w:pPr>
    </w:p>
    <w:p w14:paraId="27A0D7C6" w14:textId="77777777" w:rsidR="000204A6" w:rsidRDefault="00167C71">
      <w:pPr>
        <w:pStyle w:val="Heading1"/>
        <w:spacing w:before="400" w:after="120"/>
      </w:pPr>
      <w:r>
        <w:rPr>
          <w:rFonts w:ascii="Calibri" w:eastAsia="Calibri" w:hAnsi="Calibri" w:cs="Calibri"/>
          <w:b/>
          <w:bCs/>
          <w:color w:val="1B2A6B"/>
          <w:sz w:val="36"/>
          <w:szCs w:val="36"/>
        </w:rPr>
        <w:t>Closing Statement</w:t>
      </w:r>
    </w:p>
    <w:p w14:paraId="60829B5F" w14:textId="77777777" w:rsidR="000204A6" w:rsidRDefault="00167C71">
      <w:pPr>
        <w:spacing w:before="80" w:after="120"/>
      </w:pPr>
      <w:r>
        <w:rPr>
          <w:rFonts w:ascii="Calibri" w:eastAsia="Calibri" w:hAnsi="Calibri" w:cs="Calibri"/>
          <w:color w:val="1E293B"/>
          <w:sz w:val="22"/>
          <w:szCs w:val="22"/>
        </w:rPr>
        <w:t>Gold's Gym is building the right thing in the right way. The decision to assemble rather than rent, to own the data layer and member experience, and to demand API-first, headless-compatible infrastructure — these are the architectural decisions that create durable competitive advantage for a franchise network at your scale.</w:t>
      </w:r>
    </w:p>
    <w:p w14:paraId="0D8F808E" w14:textId="77777777" w:rsidR="000204A6" w:rsidRDefault="00167C71">
      <w:pPr>
        <w:spacing w:before="80" w:after="120"/>
      </w:pPr>
      <w:r>
        <w:rPr>
          <w:rFonts w:ascii="Calibri" w:eastAsia="Calibri" w:hAnsi="Calibri" w:cs="Calibri"/>
          <w:color w:val="1E293B"/>
          <w:sz w:val="22"/>
          <w:szCs w:val="22"/>
        </w:rPr>
        <w:t>Zenoti was built for this model. We are not asking Gold's to adapt to our platform — we are asking for the opportunity to demonstrate that our platform adapts to yours.</w:t>
      </w:r>
    </w:p>
    <w:p w14:paraId="5543706C" w14:textId="77777777" w:rsidR="000204A6" w:rsidRDefault="00167C71">
      <w:pPr>
        <w:spacing w:before="80" w:after="120"/>
      </w:pPr>
      <w:r>
        <w:rPr>
          <w:rFonts w:ascii="Calibri" w:eastAsia="Calibri" w:hAnsi="Calibri" w:cs="Calibri"/>
          <w:color w:val="1E293B"/>
          <w:sz w:val="22"/>
          <w:szCs w:val="22"/>
        </w:rPr>
        <w:t>We look forward to advancing to the discovery and demonstration phase, and to earning a place as the operational backbone of Gold's reimagined technology stack.</w:t>
      </w:r>
    </w:p>
    <w:p w14:paraId="173CB8DA" w14:textId="77777777" w:rsidR="000204A6" w:rsidRDefault="00167C71">
      <w:pPr>
        <w:spacing w:before="300" w:after="80"/>
      </w:pPr>
      <w:r>
        <w:rPr>
          <w:rFonts w:ascii="Calibri" w:eastAsia="Calibri" w:hAnsi="Calibri" w:cs="Calibri"/>
          <w:color w:val="475569"/>
        </w:rPr>
        <w:t>Submitted by:</w:t>
      </w:r>
    </w:p>
    <w:p w14:paraId="0F8C3FF7" w14:textId="77777777" w:rsidR="000204A6" w:rsidRDefault="00167C71">
      <w:r>
        <w:rPr>
          <w:rFonts w:ascii="Calibri" w:eastAsia="Calibri" w:hAnsi="Calibri" w:cs="Calibri"/>
          <w:b/>
          <w:bCs/>
          <w:color w:val="1B2A6B"/>
          <w:sz w:val="24"/>
          <w:szCs w:val="24"/>
        </w:rPr>
        <w:t>Matthew Baer</w:t>
      </w:r>
    </w:p>
    <w:p w14:paraId="127EA61F" w14:textId="77777777" w:rsidR="000204A6" w:rsidRDefault="00167C71">
      <w:r>
        <w:rPr>
          <w:rFonts w:ascii="Calibri" w:eastAsia="Calibri" w:hAnsi="Calibri" w:cs="Calibri"/>
          <w:color w:val="1E293B"/>
          <w:sz w:val="22"/>
          <w:szCs w:val="22"/>
        </w:rPr>
        <w:t>General Manager, Fitness Vertical</w:t>
      </w:r>
    </w:p>
    <w:p w14:paraId="1FB7C05D" w14:textId="77777777" w:rsidR="000204A6" w:rsidRDefault="00167C71">
      <w:r>
        <w:rPr>
          <w:rFonts w:ascii="Calibri" w:eastAsia="Calibri" w:hAnsi="Calibri" w:cs="Calibri"/>
          <w:color w:val="1E293B"/>
          <w:sz w:val="22"/>
          <w:szCs w:val="22"/>
        </w:rPr>
        <w:t>Zenoti, Inc.</w:t>
      </w:r>
    </w:p>
    <w:p w14:paraId="675B861A" w14:textId="77777777" w:rsidR="000204A6" w:rsidRDefault="00167C71">
      <w:pPr>
        <w:spacing w:before="80"/>
      </w:pPr>
      <w:r>
        <w:rPr>
          <w:rFonts w:ascii="Calibri" w:eastAsia="Calibri" w:hAnsi="Calibri" w:cs="Calibri"/>
          <w:color w:val="475569"/>
          <w:sz w:val="22"/>
          <w:szCs w:val="22"/>
        </w:rPr>
        <w:t>July 9, 2026</w:t>
      </w:r>
    </w:p>
    <w:sectPr w:rsidR="000204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53031"/>
    <w:multiLevelType w:val="hybridMultilevel"/>
    <w:tmpl w:val="228248D0"/>
    <w:lvl w:ilvl="0" w:tplc="C3AE916E">
      <w:start w:val="1"/>
      <w:numFmt w:val="bullet"/>
      <w:lvlText w:val="●"/>
      <w:lvlJc w:val="left"/>
      <w:pPr>
        <w:ind w:left="720" w:hanging="360"/>
      </w:pPr>
    </w:lvl>
    <w:lvl w:ilvl="1" w:tplc="BB44BD8E">
      <w:start w:val="1"/>
      <w:numFmt w:val="bullet"/>
      <w:lvlText w:val="○"/>
      <w:lvlJc w:val="left"/>
      <w:pPr>
        <w:ind w:left="1440" w:hanging="360"/>
      </w:pPr>
    </w:lvl>
    <w:lvl w:ilvl="2" w:tplc="834C5BCE">
      <w:start w:val="1"/>
      <w:numFmt w:val="bullet"/>
      <w:lvlText w:val="■"/>
      <w:lvlJc w:val="left"/>
      <w:pPr>
        <w:ind w:left="2160" w:hanging="360"/>
      </w:pPr>
    </w:lvl>
    <w:lvl w:ilvl="3" w:tplc="4FA865DA">
      <w:start w:val="1"/>
      <w:numFmt w:val="bullet"/>
      <w:lvlText w:val="●"/>
      <w:lvlJc w:val="left"/>
      <w:pPr>
        <w:ind w:left="2880" w:hanging="360"/>
      </w:pPr>
    </w:lvl>
    <w:lvl w:ilvl="4" w:tplc="CDBAD90E">
      <w:start w:val="1"/>
      <w:numFmt w:val="bullet"/>
      <w:lvlText w:val="○"/>
      <w:lvlJc w:val="left"/>
      <w:pPr>
        <w:ind w:left="3600" w:hanging="360"/>
      </w:pPr>
    </w:lvl>
    <w:lvl w:ilvl="5" w:tplc="A42817DC">
      <w:start w:val="1"/>
      <w:numFmt w:val="bullet"/>
      <w:lvlText w:val="■"/>
      <w:lvlJc w:val="left"/>
      <w:pPr>
        <w:ind w:left="4320" w:hanging="360"/>
      </w:pPr>
    </w:lvl>
    <w:lvl w:ilvl="6" w:tplc="94C00EE8">
      <w:start w:val="1"/>
      <w:numFmt w:val="bullet"/>
      <w:lvlText w:val="●"/>
      <w:lvlJc w:val="left"/>
      <w:pPr>
        <w:ind w:left="5040" w:hanging="360"/>
      </w:pPr>
    </w:lvl>
    <w:lvl w:ilvl="7" w:tplc="4930252E">
      <w:start w:val="1"/>
      <w:numFmt w:val="bullet"/>
      <w:lvlText w:val="●"/>
      <w:lvlJc w:val="left"/>
      <w:pPr>
        <w:ind w:left="5760" w:hanging="360"/>
      </w:pPr>
    </w:lvl>
    <w:lvl w:ilvl="8" w:tplc="D8A82192">
      <w:start w:val="1"/>
      <w:numFmt w:val="bullet"/>
      <w:lvlText w:val="●"/>
      <w:lvlJc w:val="left"/>
      <w:pPr>
        <w:ind w:left="6480" w:hanging="360"/>
      </w:pPr>
    </w:lvl>
  </w:abstractNum>
  <w:num w:numId="1" w16cid:durableId="1218130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4A6"/>
    <w:rsid w:val="000204A6"/>
    <w:rsid w:val="0003407E"/>
    <w:rsid w:val="00144CB1"/>
    <w:rsid w:val="00167C71"/>
    <w:rsid w:val="002F3B06"/>
    <w:rsid w:val="003416E9"/>
    <w:rsid w:val="0046655E"/>
    <w:rsid w:val="00500199"/>
    <w:rsid w:val="00512A9F"/>
    <w:rsid w:val="007E151F"/>
    <w:rsid w:val="009F6946"/>
    <w:rsid w:val="00E06410"/>
    <w:rsid w:val="020D0A0D"/>
    <w:rsid w:val="020D7CDE"/>
    <w:rsid w:val="0BBD61A9"/>
    <w:rsid w:val="0C24DB0C"/>
    <w:rsid w:val="1089DE70"/>
    <w:rsid w:val="10F7F10D"/>
    <w:rsid w:val="1A3E0A05"/>
    <w:rsid w:val="203DFBBD"/>
    <w:rsid w:val="2090C43D"/>
    <w:rsid w:val="24D7D611"/>
    <w:rsid w:val="25185146"/>
    <w:rsid w:val="25E6C236"/>
    <w:rsid w:val="25F63C4A"/>
    <w:rsid w:val="2D9EADA8"/>
    <w:rsid w:val="2FC5D060"/>
    <w:rsid w:val="30CEDB05"/>
    <w:rsid w:val="333A029E"/>
    <w:rsid w:val="35C5142A"/>
    <w:rsid w:val="3A6EF74A"/>
    <w:rsid w:val="3DE4FD72"/>
    <w:rsid w:val="3DE60B5C"/>
    <w:rsid w:val="3F95DEA1"/>
    <w:rsid w:val="452CA34A"/>
    <w:rsid w:val="494BDB3C"/>
    <w:rsid w:val="49C48217"/>
    <w:rsid w:val="4D082555"/>
    <w:rsid w:val="4F6DFD1E"/>
    <w:rsid w:val="5150951C"/>
    <w:rsid w:val="52C58F55"/>
    <w:rsid w:val="54541BA6"/>
    <w:rsid w:val="54ABB2BA"/>
    <w:rsid w:val="5C2F920F"/>
    <w:rsid w:val="686F1BAB"/>
    <w:rsid w:val="694CFF4D"/>
    <w:rsid w:val="697C3C48"/>
    <w:rsid w:val="6D31DBF3"/>
    <w:rsid w:val="721C1C14"/>
    <w:rsid w:val="7D743E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E77FFB"/>
  <w15:docId w15:val="{F5D712F4-E8CE-4731-BC7C-A09D55BA9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63CF7E80-623C-4FD4-8D37-C25A9FC81A38}"/>
</file>

<file path=customXml/itemProps2.xml><?xml version="1.0" encoding="utf-8"?>
<ds:datastoreItem xmlns:ds="http://schemas.openxmlformats.org/officeDocument/2006/customXml" ds:itemID="{3DD9C11A-ABCA-4131-8A51-22A21B4E839C}"/>
</file>

<file path=customXml/itemProps3.xml><?xml version="1.0" encoding="utf-8"?>
<ds:datastoreItem xmlns:ds="http://schemas.openxmlformats.org/officeDocument/2006/customXml" ds:itemID="{23E542AC-DEB3-485D-9945-4538098FABEC}"/>
</file>

<file path=docProps/app.xml><?xml version="1.0" encoding="utf-8"?>
<Properties xmlns="http://schemas.openxmlformats.org/officeDocument/2006/extended-properties" xmlns:vt="http://schemas.openxmlformats.org/officeDocument/2006/docPropsVTypes">
  <Template>Normal.dotm</Template>
  <TotalTime>0</TotalTime>
  <Pages>1</Pages>
  <Words>4952</Words>
  <Characters>28229</Characters>
  <Application>Microsoft Office Word</Application>
  <DocSecurity>4</DocSecurity>
  <Lines>235</Lines>
  <Paragraphs>66</Paragraphs>
  <ScaleCrop>false</ScaleCrop>
  <Company/>
  <LinksUpToDate>false</LinksUpToDate>
  <CharactersWithSpaces>33115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Dheeraj Koneru</cp:lastModifiedBy>
  <cp:revision>2</cp:revision>
  <dcterms:created xsi:type="dcterms:W3CDTF">2026-07-09T13:44:00Z</dcterms:created>
  <dcterms:modified xsi:type="dcterms:W3CDTF">2026-07-10T20:29:00Z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