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INTERNAL — NOT FOR VENDOR DISTRIBUTION.</w:t>
      </w:r>
      <w:r>
        <w:t xml:space="preserve"> </w:t>
      </w:r>
      <w:r>
        <w:t xml:space="preserve">This rubric holds the</w:t>
      </w:r>
      <w:r>
        <w:t xml:space="preserve"> </w:t>
      </w:r>
      <w:r>
        <w:rPr>
          <w:b/>
          <w:bCs/>
        </w:rPr>
        <w:t xml:space="preserve">weighted scoring percentages</w:t>
      </w:r>
      <w:r>
        <w:t xml:space="preserve"> </w:t>
      </w:r>
      <w:r>
        <w:t xml:space="preserve">for evaluating responses to the MMS solicitation (GG-2026-MMS-001). The vendor-facing RFP (</w:t>
      </w:r>
      <w:r>
        <w:rPr>
          <w:rStyle w:val="VerbatimChar"/>
        </w:rPr>
        <w:t xml:space="preserve">2026-05-20-gg-mms-rfp.md</w:t>
      </w:r>
      <w:r>
        <w:t xml:space="preserve">, §13) discloses the evaluation</w:t>
      </w:r>
      <w:r>
        <w:t xml:space="preserve"> </w:t>
      </w:r>
      <w:r>
        <w:rPr>
          <w:b/>
          <w:bCs/>
        </w:rPr>
        <w:t xml:space="preserve">factors qualitatively but not the weights</w:t>
      </w:r>
      <w:r>
        <w:t xml:space="preserve"> </w:t>
      </w:r>
      <w:r>
        <w:t xml:space="preserve">— the weights live only here. Delivered separately to the Decision Council and SME evaluation teams.</w:t>
      </w:r>
    </w:p>
    <w:bookmarkStart w:id="15" w:name="mms-vendor-evaluation-rubric-internal"/>
    <w:p>
      <w:pPr>
        <w:pStyle w:val="Heading1"/>
      </w:pPr>
      <w:r>
        <w:t xml:space="preserve">MMS Vendor Evaluation Rubric (Internal)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t xml:space="preserve">GG-2026-MMS-001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StackHack Labs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2026-05-20</w:t>
      </w:r>
      <w:r>
        <w:t xml:space="preserve"> </w:t>
      </w:r>
      <w:r>
        <w:rPr>
          <w:b/>
          <w:bCs/>
        </w:rPr>
        <w:t xml:space="preserve">Companion to:</w:t>
      </w:r>
      <w:r>
        <w:t xml:space="preserve"> </w:t>
      </w:r>
      <w:r>
        <w:rPr>
          <w:rStyle w:val="VerbatimChar"/>
        </w:rPr>
        <w:t xml:space="preserve">2026-05-20-gg-mms-rfp.md</w:t>
      </w:r>
      <w:r>
        <w:t xml:space="preserve"> </w:t>
      </w:r>
      <w:r>
        <w:t xml:space="preserve">(RFP §13, factors only) and</w:t>
      </w:r>
      <w:r>
        <w:t xml:space="preserve"> </w:t>
      </w:r>
      <w:r>
        <w:rPr>
          <w:rStyle w:val="VerbatimChar"/>
        </w:rPr>
        <w:t xml:space="preserve">2026-05-20-gg-mms-requirements-and-demos-worksheet-internal.md</w:t>
      </w:r>
      <w:r>
        <w:t xml:space="preserve"> </w:t>
      </w:r>
      <w:r>
        <w:t xml:space="preserve">(per-group must-have/nice-to-have detail). The factor names below match RFP §13. Note: an earlier RFI draft (</w:t>
      </w:r>
      <w:r>
        <w:rPr>
          <w:rStyle w:val="VerbatimChar"/>
        </w:rPr>
        <w:t xml:space="preserve">2026-05-20-gg-mms-rfi.md</w:t>
      </w:r>
      <w:r>
        <w:t xml:space="preserve">) also exists; the RFP is the primary vendor document.</w:t>
      </w:r>
    </w:p>
    <w:p>
      <w:r>
        <w:pict>
          <v:rect style="width:0;height:1.5pt" o:hralign="center" o:hrstd="t" o:hr="t"/>
        </w:pict>
      </w:r>
    </w:p>
    <w:bookmarkStart w:id="9" w:name="X076600235b7ad5926497cea44873122f2d18fe0"/>
    <w:p>
      <w:pPr>
        <w:pStyle w:val="Heading2"/>
      </w:pPr>
      <w:r>
        <w:t xml:space="preserve">1. Weighted Scoring Categories</w:t>
      </w:r>
    </w:p>
    <w:p>
      <w:pPr>
        <w:pStyle w:val="FirstParagraph"/>
      </w:pPr>
      <w:r>
        <w:t xml:space="preserve">Scores reflect fit with Gold's "Assemble" architecture. The weighting deliberately favors integration and data control over feature breadth — fit into Gold's architecture matters more than the size of a vendor's feature checklist.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API &amp; Integration</w:t>
            </w:r>
          </w:p>
        </w:tc>
        <w:tc>
          <w:tcPr/>
          <w:p>
            <w:pPr>
              <w:pStyle w:val="Compact"/>
            </w:pPr>
            <w:r>
              <w:t xml:space="preserve">API maturity &amp; coverage, webhooks/event coverage, real-time sync, sandbox, documentation,</w:t>
            </w:r>
            <w:r>
              <w:t xml:space="preserve"> </w:t>
            </w:r>
            <w:r>
              <w:rPr>
                <w:b/>
                <w:bCs/>
              </w:rPr>
              <w:t xml:space="preserve">ecosystem openness (headless / system-of-record)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Data Ownership &amp; Portability</w:t>
            </w:r>
          </w:p>
        </w:tc>
        <w:tc>
          <w:tcPr/>
          <w:p>
            <w:pPr>
              <w:pStyle w:val="Compact"/>
            </w:pPr>
            <w:r>
              <w:t xml:space="preserve">Contractual data ownership, export formats, migration tooling/commitment, vendor-lock-in risk, data co-mingling / AI-training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Franchise Architecture</w:t>
            </w:r>
          </w:p>
        </w:tc>
        <w:tc>
          <w:tcPr/>
          <w:p>
            <w:pPr>
              <w:pStyle w:val="Compact"/>
            </w:pPr>
            <w:r>
              <w:t xml:space="preserve">Native multi-tenant design, corporate vs. franchisee controls, configuration hierarchy, scale &amp; onboarding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Core Features</w:t>
            </w:r>
          </w:p>
        </w:tc>
        <w:tc>
          <w:tcPr/>
          <w:p>
            <w:pPr>
              <w:pStyle w:val="Compact"/>
            </w:pPr>
            <w:r>
              <w:t xml:space="preserve">Member lifecycle, plans/pricing, billing &amp; collections, check-in, travel pass, POS, operational reporting, 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Commercial Terms</w:t>
            </w:r>
          </w:p>
        </w:tc>
        <w:tc>
          <w:tcPr/>
          <w:p>
            <w:pPr>
              <w:pStyle w:val="Compact"/>
            </w:pPr>
            <w:r>
              <w:t xml:space="preserve">Pricing transparency, term flexibility (monthly/annual/multi-year), incentives, volume discounts, tech-fee revenue-share, API economics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Reliability &amp; SLA</w:t>
            </w:r>
          </w:p>
        </w:tc>
        <w:tc>
          <w:tcPr/>
          <w:p>
            <w:pPr>
              <w:pStyle w:val="Compact"/>
            </w:pPr>
            <w:r>
              <w:t xml:space="preserve">Uptime, response/resolution by severity, maintenance windows, DR (RTO/RPO), track record at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Innovation &amp; Roadmap</w:t>
            </w:r>
          </w:p>
        </w:tc>
        <w:tc>
          <w:tcPr/>
          <w:p>
            <w:pPr>
              <w:pStyle w:val="Compact"/>
            </w:pPr>
            <w:r>
              <w:t xml:space="preserve">AI/ML, mobile-first, product velocity,</w:t>
            </w:r>
            <w:r>
              <w:t xml:space="preserve"> </w:t>
            </w:r>
            <w:r>
              <w:rPr>
                <w:b/>
                <w:bCs/>
              </w:rPr>
              <w:t xml:space="preserve">platform-vs-suite ecosystem strategy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API &amp; Integration (25%) + Data Ownership &amp; Portability (20%) =</w:t>
      </w:r>
      <w:r>
        <w:t xml:space="preserve"> </w:t>
      </w:r>
      <w:r>
        <w:rPr>
          <w:b/>
          <w:bCs/>
        </w:rPr>
        <w:t xml:space="preserve">45% combined</w:t>
      </w:r>
      <w:r>
        <w:t xml:space="preserve"> </w:t>
      </w:r>
      <w:r>
        <w:t xml:space="preserve">— a deliberate signal that ecosystem openness and data control are first-class criteria, not checkboxes. Vendors whose value proposition depends on ecosystem lock-in score low here regardless of feature richness.</w:t>
      </w:r>
    </w:p>
    <w:bookmarkEnd w:id="9"/>
    <w:bookmarkStart w:id="10" w:name="Xa9dc1dca123ceca963c04fe9abc9964fec0aee8"/>
    <w:p>
      <w:pPr>
        <w:pStyle w:val="Heading2"/>
      </w:pPr>
      <w:r>
        <w:t xml:space="preserve">2. Threshold Requirements (Pass / Fail — score before weighting)</w:t>
      </w:r>
    </w:p>
    <w:p>
      <w:pPr>
        <w:pStyle w:val="FirstParagraph"/>
      </w:pPr>
      <w:r>
        <w:t xml:space="preserve">These map to Section 4 of the RFI. A clear "No" on any of these is a material concern and should be escalated to the Decision Council before a vendor advances.</w:t>
      </w:r>
    </w:p>
    <w:p>
      <w:pPr>
        <w:pStyle w:val="Compact"/>
        <w:numPr>
          <w:ilvl w:val="0"/>
          <w:numId w:val="1001"/>
        </w:numPr>
      </w:pPr>
      <w:r>
        <w:t xml:space="preserve">Full data ownership (contractual)</w:t>
      </w:r>
    </w:p>
    <w:p>
      <w:pPr>
        <w:pStyle w:val="Compact"/>
        <w:numPr>
          <w:ilvl w:val="0"/>
          <w:numId w:val="1001"/>
        </w:numPr>
      </w:pPr>
      <w:r>
        <w:t xml:space="preserve">Real-time API access (REST + webhooks)</w:t>
      </w:r>
    </w:p>
    <w:p>
      <w:pPr>
        <w:pStyle w:val="Compact"/>
        <w:numPr>
          <w:ilvl w:val="0"/>
          <w:numId w:val="1001"/>
        </w:numPr>
      </w:pPr>
      <w:r>
        <w:t xml:space="preserve">Multi-location franchise architecture (native)</w:t>
      </w:r>
    </w:p>
    <w:p>
      <w:pPr>
        <w:pStyle w:val="Compact"/>
        <w:numPr>
          <w:ilvl w:val="0"/>
          <w:numId w:val="1001"/>
        </w:numPr>
      </w:pPr>
      <w:r>
        <w:t xml:space="preserve">Documented data export &amp; migration commitment</w:t>
      </w:r>
    </w:p>
    <w:p>
      <w:pPr>
        <w:pStyle w:val="Compact"/>
        <w:numPr>
          <w:ilvl w:val="0"/>
          <w:numId w:val="1001"/>
        </w:numPr>
      </w:pPr>
      <w:r>
        <w:t xml:space="preserve">U.S. market support</w:t>
      </w:r>
    </w:p>
    <w:p>
      <w:pPr>
        <w:pStyle w:val="Compact"/>
        <w:numPr>
          <w:ilvl w:val="0"/>
          <w:numId w:val="1001"/>
        </w:numPr>
      </w:pPr>
      <w:r>
        <w:t xml:space="preserve">POS / retail integrated or tightly coupled</w:t>
      </w:r>
    </w:p>
    <w:p>
      <w:pPr>
        <w:pStyle w:val="Compact"/>
        <w:numPr>
          <w:ilvl w:val="0"/>
          <w:numId w:val="1001"/>
        </w:numPr>
      </w:pPr>
      <w:r>
        <w:t xml:space="preserve">Open ecosystem / headless compatibility</w:t>
      </w:r>
    </w:p>
    <w:bookmarkEnd w:id="10"/>
    <w:bookmarkStart w:id="11" w:name="X2825fe1cca014fc52148426e25ecfcac8dcdcfa"/>
    <w:p>
      <w:pPr>
        <w:pStyle w:val="Heading2"/>
      </w:pPr>
      <w:r>
        <w:t xml:space="preserve">3. Scoring Scale (per item)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Exceeds requirement; named references / evidence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Fully meets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Meets with minor gaps or qualifications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Partial; significant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Minimal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Does not meet / no credible evidence</w:t>
            </w:r>
          </w:p>
        </w:tc>
      </w:tr>
    </w:tbl>
    <w:p>
      <w:pPr>
        <w:pStyle w:val="BodyText"/>
      </w:pPr>
      <w:r>
        <w:t xml:space="preserve">Category score = average of item scores within the category, then multiplied by the category weight.</w:t>
      </w:r>
    </w:p>
    <w:bookmarkEnd w:id="11"/>
    <w:bookmarkStart w:id="12" w:name="X625a6c33d407f0f84b137ef6b162a10e837e039"/>
    <w:p>
      <w:pPr>
        <w:pStyle w:val="Heading2"/>
      </w:pPr>
      <w:r>
        <w:t xml:space="preserve">4. High-Signal Items (carry disproportionate weight within their category)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Headless / system-of-record demonstration</w:t>
      </w:r>
      <w:r>
        <w:t xml:space="preserve"> </w:t>
      </w:r>
      <w:r>
        <w:t xml:space="preserve">— full member journey (join → check-in → freeze → cancel) via APIs with no vendor UI. Primary signal for API &amp; Integration (25%) and Data Ownership (20%).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Ecosystem-posture answers (RFI §6.6)</w:t>
      </w:r>
      <w:r>
        <w:t xml:space="preserve"> </w:t>
      </w:r>
      <w:r>
        <w:t xml:space="preserve">— vendors who soften, dodge, or use marketing language rather than specific numbers/lists/named examples are signaling a closed posture.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metering/pricing</w:t>
      </w:r>
      <w:r>
        <w:t xml:space="preserve"> </w:t>
      </w:r>
      <w:r>
        <w:t xml:space="preserve">— APIs positioned as a profit center or gated behind premium tiers is a closed-posture indicator.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Adjacent-module pricing pressure</w:t>
      </w:r>
      <w:r>
        <w:t xml:space="preserve"> </w:t>
      </w:r>
      <w:r>
        <w:t xml:space="preserve">— penalties or "bundle discounts" tied to adopting the vendor's own CRM/app/analytics indicate lock-in.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Platform-vs-suite roadmap answer (RFI §12.5)</w:t>
      </w:r>
      <w:r>
        <w:t xml:space="preserve"> </w:t>
      </w:r>
      <w:r>
        <w:t xml:space="preserve">— only "platform customers extend with their own tools" fits Gold's.</w:t>
      </w:r>
    </w:p>
    <w:bookmarkEnd w:id="12"/>
    <w:bookmarkStart w:id="13" w:name="Xac1339707e014420e9e9ea369660c6931ccc922"/>
    <w:p>
      <w:pPr>
        <w:pStyle w:val="Heading2"/>
      </w:pPr>
      <w:r>
        <w:t xml:space="preserve">5. Demonstration Scenarios (internal — for short-listed vendors)</w:t>
      </w:r>
    </w:p>
    <w:p>
      <w:pPr>
        <w:pStyle w:val="FirstParagraph"/>
      </w:pPr>
      <w:r>
        <w:t xml:space="preserve">Demonstrations run</w:t>
      </w:r>
      <w:r>
        <w:t xml:space="preserve"> </w:t>
      </w:r>
      <w:r>
        <w:rPr>
          <w:b/>
          <w:bCs/>
        </w:rPr>
        <w:t xml:space="preserve">in parallel</w:t>
      </w:r>
      <w:r>
        <w:t xml:space="preserve"> </w:t>
      </w:r>
      <w:r>
        <w:t xml:space="preserve">with RFI responses for the short list. Vendors demonstrate against standardized scenarios (not a generic pitch). Each scenario feeds evidence into the category it primarily exercises.</w:t>
      </w:r>
    </w:p>
    <w:p>
      <w:pPr>
        <w:pStyle w:val="Compact"/>
        <w:numPr>
          <w:ilvl w:val="0"/>
          <w:numId w:val="1003"/>
        </w:numPr>
      </w:pPr>
      <w:r>
        <w:t xml:space="preserve">Live join-online flow (web form → active member in under 5 minutes; sandbox available afterward)</w:t>
      </w:r>
    </w:p>
    <w:p>
      <w:pPr>
        <w:pStyle w:val="Compact"/>
        <w:numPr>
          <w:ilvl w:val="0"/>
          <w:numId w:val="1003"/>
        </w:numPr>
      </w:pPr>
      <w:r>
        <w:t xml:space="preserve">Multi-location member check-in (travel pass; one member, two locations, verified entitlement)</w:t>
      </w:r>
    </w:p>
    <w:p>
      <w:pPr>
        <w:pStyle w:val="Compact"/>
        <w:numPr>
          <w:ilvl w:val="0"/>
          <w:numId w:val="1003"/>
        </w:numPr>
      </w:pPr>
      <w:r>
        <w:t xml:space="preserve">ACH failure / dunning sequence (retry cadence, branded comms, recovery)</w:t>
      </w:r>
    </w:p>
    <w:p>
      <w:pPr>
        <w:pStyle w:val="Compact"/>
        <w:numPr>
          <w:ilvl w:val="0"/>
          <w:numId w:val="1003"/>
        </w:numPr>
      </w:pPr>
      <w:r>
        <w:t xml:space="preserve">Franchisee scorecard (corporate → franchisee → location drill-down; refresh latency)</w:t>
      </w:r>
    </w:p>
    <w:p>
      <w:pPr>
        <w:pStyle w:val="Compact"/>
        <w:numPr>
          <w:ilvl w:val="0"/>
          <w:numId w:val="1003"/>
        </w:numPr>
      </w:pPr>
      <w:r>
        <w:t xml:space="preserve">API and webhook demonstration (trigger a real-time event; consume it in a sandbox external system)</w:t>
      </w:r>
    </w:p>
    <w:p>
      <w:pPr>
        <w:pStyle w:val="Compact"/>
        <w:numPr>
          <w:ilvl w:val="0"/>
          <w:numId w:val="1003"/>
        </w:numPr>
      </w:pPr>
      <w:r>
        <w:t xml:space="preserve">POS transaction tied to member account (member profile, location daily report, corporate roll-up)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Headless / Gold's-owned UX on vendor APIs</w:t>
      </w:r>
      <w:r>
        <w:t xml:space="preserve"> </w:t>
      </w:r>
      <w:r>
        <w:t xml:space="preserve">(full member journey via APIs, no vendor UI) — highest-signal scenario</w:t>
      </w:r>
    </w:p>
    <w:bookmarkEnd w:id="13"/>
    <w:bookmarkStart w:id="14" w:name="X5d0c48688c85f4d96a61a6cd13bfcff28a87b75"/>
    <w:p>
      <w:pPr>
        <w:pStyle w:val="Heading2"/>
      </w:pPr>
      <w:r>
        <w:t xml:space="preserve">6. Detailed Taxonomy — Must-Have vs. Nice-to-Have (to be completed by SMEs)</w:t>
      </w:r>
    </w:p>
    <w:p>
      <w:pPr>
        <w:pStyle w:val="FirstParagraph"/>
      </w:pPr>
      <w:r>
        <w:t xml:space="preserve">Per the 2026-05-19 brainstorm, the Core-Features and adjacent categories need per-system</w:t>
      </w:r>
      <w:r>
        <w:t xml:space="preserve"> </w:t>
      </w:r>
      <w:r>
        <w:rPr>
          <w:b/>
          <w:bCs/>
        </w:rPr>
        <w:t xml:space="preserve">must-have vs. nice-to-have</w:t>
      </w:r>
      <w:r>
        <w:t xml:space="preserve"> </w:t>
      </w:r>
      <w:r>
        <w:t xml:space="preserve">definitions supplied by the functional owners (coordinated by Rick: marketing, member management, analytics, finance). Populate below; this becomes the detailed scoring sheet beneath the weighted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/ Module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Must-have / Nice-to-have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Lifecycle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Plans &amp; Pricing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Billing &amp; Collections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Check-in &amp;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Travel Pass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 / Retail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Analytics &amp;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API &amp; 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 Architecture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rubric stays internal. The external RFI discloses only the questions asked of vendors, not the weights or scoring methodology.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10" ma:contentTypeDescription="Create a new document." ma:contentTypeScope="" ma:versionID="319caf390a3d3a21c345061350c7ab31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733baaaa917cb3d5e40934a2c92a11ea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02FDCFED-199C-491D-87E1-DD18AA9E176E}"/>
</file>

<file path=customXml/itemProps2.xml><?xml version="1.0" encoding="utf-8"?>
<ds:datastoreItem xmlns:ds="http://schemas.openxmlformats.org/officeDocument/2006/customXml" ds:itemID="{606AF36B-C429-4600-A72B-F05587727D85}"/>
</file>

<file path=customXml/itemProps3.xml><?xml version="1.0" encoding="utf-8"?>
<ds:datastoreItem xmlns:ds="http://schemas.openxmlformats.org/officeDocument/2006/customXml" ds:itemID="{95C4FEE9-867F-456A-B2B8-351F843722FB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2026-05-20T15:47:54Z</dcterms:created>
  <dcterms:modified xsi:type="dcterms:W3CDTF">2026-05-20T15:47:54Z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