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INTERNAL — NOT FOR VENDOR DISTRIBUTION.</w:t>
      </w:r>
      <w:r>
        <w:t xml:space="preserve"> </w:t>
      </w:r>
      <w:r>
        <w:t xml:space="preserve">This worksheet drives the</w:t>
      </w:r>
      <w:r>
        <w:t xml:space="preserve"> </w:t>
      </w:r>
      <w:r>
        <w:rPr>
          <w:b/>
          <w:bCs/>
        </w:rPr>
        <w:t xml:space="preserve">🔧 [BUSINESS GROUP TO DEFINE]</w:t>
      </w:r>
      <w:r>
        <w:t xml:space="preserve"> </w:t>
      </w:r>
      <w:r>
        <w:t xml:space="preserve">callouts in the RFP (</w:t>
      </w:r>
      <w:r>
        <w:rPr>
          <w:rStyle w:val="VerbatimChar"/>
        </w:rPr>
        <w:t xml:space="preserve">2026-05-20-gg-mms-rfp.md</w:t>
      </w:r>
      <w:r>
        <w:t xml:space="preserve"> </w:t>
      </w:r>
      <w:r>
        <w:t xml:space="preserve">§5, §6, §8, §11, §14, §16) and the demonstration acceptance criteria (§14). Each functional group completes its section in a working session; the consolidated output is folded back into the RFP before vendor issue, and into the internal evaluation rubric (</w:t>
      </w:r>
      <w:r>
        <w:rPr>
          <w:rStyle w:val="VerbatimChar"/>
        </w:rPr>
        <w:t xml:space="preserve">2026-05-20-gg-mms-evaluation-rubric-internal.md</w:t>
      </w:r>
      <w:r>
        <w:t xml:space="preserve">).</w:t>
      </w:r>
    </w:p>
    <w:bookmarkStart w:id="28" w:name="X34b6dd17711a36bd47e0f1b925ab66f35cca8f1"/>
    <w:p>
      <w:pPr>
        <w:pStyle w:val="Heading1"/>
      </w:pPr>
      <w:r>
        <w:t xml:space="preserve">MMS RFP — Business-Group Requirements &amp; Demo Definition Worksheet (Internal)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r>
        <w:t xml:space="preserve">GG-2026-MMS-001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StackHack Labs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2026-05-20</w:t>
      </w:r>
      <w:r>
        <w:t xml:space="preserve"> </w:t>
      </w:r>
      <w:r>
        <w:rPr>
          <w:b/>
          <w:bCs/>
        </w:rPr>
        <w:t xml:space="preserve">Coordinator:</w:t>
      </w:r>
      <w:r>
        <w:t xml:space="preserve"> </w:t>
      </w:r>
      <w:r>
        <w:t xml:space="preserve">Rick [Gold's] — assigns sections to SMEs and consolidates input.</w:t>
      </w:r>
    </w:p>
    <w:bookmarkStart w:id="9" w:name="how-to-use-this-worksheet"/>
    <w:p>
      <w:pPr>
        <w:pStyle w:val="Heading2"/>
      </w:pPr>
      <w:r>
        <w:t xml:space="preserve">How to Use This Worksheet</w:t>
      </w:r>
    </w:p>
    <w:p>
      <w:pPr>
        <w:pStyle w:val="FirstParagraph"/>
      </w:pPr>
      <w:r>
        <w:t xml:space="preserve">For each business group: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Requirements</w:t>
      </w:r>
      <w:r>
        <w:t xml:space="preserve"> </w:t>
      </w:r>
      <w:r>
        <w:t xml:space="preserve">— for every seeded requirement, mark</w:t>
      </w:r>
      <w:r>
        <w:t xml:space="preserve"> </w:t>
      </w:r>
      <w:r>
        <w:rPr>
          <w:b/>
          <w:bCs/>
        </w:rPr>
        <w:t xml:space="preserve">Must-have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Nice-to-have</w:t>
      </w:r>
      <w:r>
        <w:t xml:space="preserve">, add detail/notes, and name the SME owner. Add rows for anything missing.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Demonstrations</w:t>
      </w:r>
      <w:r>
        <w:t xml:space="preserve"> </w:t>
      </w:r>
      <w:r>
        <w:t xml:space="preserve">— define what "good" looks like for the demo scenarios this group cares about: the specific scenario, the acceptance criteria (what the vendor must show to pass), the test data needed, and the SME who will judge it.</w:t>
      </w:r>
    </w:p>
    <w:p>
      <w:pPr>
        <w:pStyle w:val="FirstParagraph"/>
      </w:pPr>
      <w:r>
        <w:t xml:space="preserve">Status legend for the right-hand column: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= Must-have ·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= Nice-to-have ·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= needs discussion.</w:t>
      </w:r>
    </w:p>
    <w:p>
      <w:r>
        <w:pict>
          <v:rect style="width:0;height:1.5pt" o:hralign="center" o:hrstd="t" o:hr="t"/>
        </w:pict>
      </w:r>
    </w:p>
    <w:bookmarkEnd w:id="9"/>
    <w:bookmarkStart w:id="12" w:name="Xacd736bf16484225c90dccbff8494f5d6bcffb1"/>
    <w:p>
      <w:pPr>
        <w:pStyle w:val="Heading2"/>
      </w:pPr>
      <w:r>
        <w:t xml:space="preserve">1. Member Management / Operations</w:t>
      </w:r>
    </w:p>
    <w:p>
      <w:pPr>
        <w:pStyle w:val="FirstParagraph"/>
      </w:pPr>
      <w:r>
        <w:rPr>
          <w:b/>
          <w:bCs/>
        </w:rPr>
        <w:t xml:space="preserve">RFP sections owned:</w:t>
      </w:r>
      <w:r>
        <w:t xml:space="preserve"> </w:t>
      </w:r>
      <w:r>
        <w:t xml:space="preserve">§5.1 Member Lifecycle, §5.2 Plans &amp; Pricing (with Finance), §5.5 Travel Pass (with Finance), §5.6 POS (with Finance), §5.10 Mobile App (with Marketing).</w:t>
      </w:r>
    </w:p>
    <w:bookmarkStart w:id="10" w:name="requirements"/>
    <w:p>
      <w:pPr>
        <w:pStyle w:val="Heading3"/>
      </w:pPr>
      <w:r>
        <w:t xml:space="preserve">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(seed)</w:t>
            </w:r>
          </w:p>
        </w:tc>
        <w:tc>
          <w:tcPr/>
          <w:p>
            <w:pPr>
              <w:pStyle w:val="Compact"/>
            </w:pPr>
            <w:r>
              <w:t xml:space="preserve">RFP ref</w:t>
            </w:r>
          </w:p>
        </w:tc>
        <w:tc>
          <w:tcPr/>
          <w:p>
            <w:pPr>
              <w:pStyle w:val="Compact"/>
            </w:pPr>
            <w:r>
              <w:t xml:space="preserve">M / N / ?</w:t>
            </w:r>
          </w:p>
        </w:tc>
        <w:tc>
          <w:tcPr/>
          <w:p>
            <w:pPr>
              <w:pStyle w:val="Compact"/>
            </w:pPr>
            <w:r>
              <w:t xml:space="preserve">Detail / notes</w:t>
            </w:r>
          </w:p>
        </w:tc>
        <w:tc>
          <w:tcPr/>
          <w:p>
            <w:pPr>
              <w:pStyle w:val="Compact"/>
            </w:pPr>
            <w:r>
              <w:t xml:space="preserve">SME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join with Gold's-hosted front-end form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Same-day online-join activation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In-club join flow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Freeze / cancel with retention triggers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Pause &amp; reactivation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Win-back outreach hooks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Corporate plan templates applied locally</w:t>
            </w:r>
          </w:p>
        </w:tc>
        <w:tc>
          <w:tcPr/>
          <w:p>
            <w:pPr>
              <w:pStyle w:val="Compact"/>
            </w:pPr>
            <w:r>
              <w:t xml:space="preserve">§5.2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Bundled / family memberships</w:t>
            </w:r>
          </w:p>
        </w:tc>
        <w:tc>
          <w:tcPr/>
          <w:p>
            <w:pPr>
              <w:pStyle w:val="Compact"/>
            </w:pPr>
            <w:r>
              <w:t xml:space="preserve">§5.2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Travel-pass entitlement rules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Member-account linkage on all retail transactions</w:t>
            </w:r>
          </w:p>
        </w:tc>
        <w:tc>
          <w:tcPr/>
          <w:p>
            <w:pPr>
              <w:pStyle w:val="Compact"/>
            </w:pPr>
            <w:r>
              <w:t xml:space="preserve">§5.6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Member-app feature expectations</w:t>
            </w:r>
          </w:p>
        </w:tc>
        <w:tc>
          <w:tcPr/>
          <w:p>
            <w:pPr>
              <w:pStyle w:val="Compact"/>
            </w:pPr>
            <w:r>
              <w:t xml:space="preserve">§5.10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(add rows as needed)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demonstrations"/>
    <w:p>
      <w:pPr>
        <w:pStyle w:val="Heading3"/>
      </w:pPr>
      <w:r>
        <w:t xml:space="preserve">Demonstrations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RFP ref</w:t>
            </w:r>
          </w:p>
        </w:tc>
        <w:tc>
          <w:tcPr/>
          <w:p>
            <w:pPr>
              <w:pStyle w:val="Compact"/>
            </w:pPr>
            <w:r>
              <w:t xml:space="preserve">Acceptance criteria (what "good" looks like)</w:t>
            </w:r>
          </w:p>
        </w:tc>
        <w:tc>
          <w:tcPr/>
          <w:p>
            <w:pPr>
              <w:pStyle w:val="Compact"/>
            </w:pPr>
            <w:r>
              <w:t xml:space="preserve">Test data needed</w:t>
            </w:r>
          </w:p>
        </w:tc>
        <w:tc>
          <w:tcPr/>
          <w:p>
            <w:pPr>
              <w:pStyle w:val="Compact"/>
            </w:pPr>
            <w:r>
              <w:t xml:space="preserve">Judge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join-online flow</w:t>
            </w:r>
          </w:p>
        </w:tc>
        <w:tc>
          <w:tcPr/>
          <w:p>
            <w:pPr>
              <w:pStyle w:val="Compact"/>
            </w:pPr>
            <w:r>
              <w:t xml:space="preserve">§14.1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Multi-location member check-in</w:t>
            </w:r>
          </w:p>
        </w:tc>
        <w:tc>
          <w:tcPr/>
          <w:p>
            <w:pPr>
              <w:pStyle w:val="Compact"/>
            </w:pPr>
            <w:r>
              <w:t xml:space="preserve">§14.2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 transaction tied to member account</w:t>
            </w:r>
          </w:p>
        </w:tc>
        <w:tc>
          <w:tcPr/>
          <w:p>
            <w:pPr>
              <w:pStyle w:val="Compact"/>
            </w:pPr>
            <w:r>
              <w:t xml:space="preserve">§14.6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X819ec256b6f76e682d0b8ad080d7f3ae831fd0f"/>
    <w:p>
      <w:pPr>
        <w:pStyle w:val="Heading2"/>
      </w:pPr>
      <w:r>
        <w:t xml:space="preserve">2. Marketing &amp; CRM</w:t>
      </w:r>
    </w:p>
    <w:p>
      <w:pPr>
        <w:pStyle w:val="FirstParagraph"/>
      </w:pPr>
      <w:r>
        <w:rPr>
          <w:b/>
          <w:bCs/>
        </w:rPr>
        <w:t xml:space="preserve">RFP sections owned:</w:t>
      </w:r>
      <w:r>
        <w:t xml:space="preserve"> </w:t>
      </w:r>
      <w:r>
        <w:t xml:space="preserve">§5.8 Member Communications, §5.9 CRM, §5.10 Mobile App (with Member Mgmt).</w:t>
      </w:r>
    </w:p>
    <w:bookmarkStart w:id="13" w:name="requirements-1"/>
    <w:p>
      <w:pPr>
        <w:pStyle w:val="Heading3"/>
      </w:pPr>
      <w:r>
        <w:t xml:space="preserve">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(seed)</w:t>
            </w:r>
          </w:p>
        </w:tc>
        <w:tc>
          <w:tcPr/>
          <w:p>
            <w:pPr>
              <w:pStyle w:val="Compact"/>
            </w:pPr>
            <w:r>
              <w:t xml:space="preserve">RFP ref</w:t>
            </w:r>
          </w:p>
        </w:tc>
        <w:tc>
          <w:tcPr/>
          <w:p>
            <w:pPr>
              <w:pStyle w:val="Compact"/>
            </w:pPr>
            <w:r>
              <w:t xml:space="preserve">M / N / ?</w:t>
            </w:r>
          </w:p>
        </w:tc>
        <w:tc>
          <w:tcPr/>
          <w:p>
            <w:pPr>
              <w:pStyle w:val="Compact"/>
            </w:pPr>
            <w:r>
              <w:t xml:space="preserve">Detail / notes</w:t>
            </w:r>
          </w:p>
        </w:tc>
        <w:tc>
          <w:tcPr/>
          <w:p>
            <w:pPr>
              <w:pStyle w:val="Compact"/>
            </w:pPr>
            <w:r>
              <w:t xml:space="preserve">SME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Transactional message types (receipts, notices, confirmations, dunning)</w:t>
            </w:r>
          </w:p>
        </w:tc>
        <w:tc>
          <w:tcPr/>
          <w:p>
            <w:pPr>
              <w:pStyle w:val="Compact"/>
            </w:pPr>
            <w:r>
              <w:t xml:space="preserve">§5.8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Consent capture &amp; revocation; propagation to marketing systems</w:t>
            </w:r>
          </w:p>
        </w:tc>
        <w:tc>
          <w:tcPr/>
          <w:p>
            <w:pPr>
              <w:pStyle w:val="Compact"/>
            </w:pPr>
            <w:r>
              <w:t xml:space="preserve">§5.8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 CRM in scope for this procurement?</w:t>
            </w:r>
          </w:p>
        </w:tc>
        <w:tc>
          <w:tcPr/>
          <w:p>
            <w:pPr>
              <w:pStyle w:val="Compact"/>
            </w:pPr>
            <w:r>
              <w:t xml:space="preserve">§5.9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If CRM in scope: lead capture, pipeline, segmentation, campaigns</w:t>
            </w:r>
          </w:p>
        </w:tc>
        <w:tc>
          <w:tcPr/>
          <w:p>
            <w:pPr>
              <w:pStyle w:val="Compact"/>
            </w:pPr>
            <w:r>
              <w:t xml:space="preserve">§5.9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Ability to run third-party CRM (HubSpot) with no penalty</w:t>
            </w:r>
          </w:p>
        </w:tc>
        <w:tc>
          <w:tcPr/>
          <w:p>
            <w:pPr>
              <w:pStyle w:val="Compact"/>
            </w:pPr>
            <w:r>
              <w:t xml:space="preserve">§5.9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Member-app branding / experience requirements</w:t>
            </w:r>
          </w:p>
        </w:tc>
        <w:tc>
          <w:tcPr/>
          <w:p>
            <w:pPr>
              <w:pStyle w:val="Compact"/>
            </w:pPr>
            <w:r>
              <w:t xml:space="preserve">§5.10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(add rows as needed)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demonstrations-1"/>
    <w:p>
      <w:pPr>
        <w:pStyle w:val="Heading3"/>
      </w:pPr>
      <w:r>
        <w:t xml:space="preserve">Demonstrations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RFP ref</w:t>
            </w:r>
          </w:p>
        </w:tc>
        <w:tc>
          <w:tcPr/>
          <w:p>
            <w:pPr>
              <w:pStyle w:val="Compact"/>
            </w:pPr>
            <w:r>
              <w:t xml:space="preserve">Acceptance criteria (what "good" looks like)</w:t>
            </w:r>
          </w:p>
        </w:tc>
        <w:tc>
          <w:tcPr/>
          <w:p>
            <w:pPr>
              <w:pStyle w:val="Compact"/>
            </w:pPr>
            <w:r>
              <w:t xml:space="preserve">Test data needed</w:t>
            </w:r>
          </w:p>
        </w:tc>
        <w:tc>
          <w:tcPr/>
          <w:p>
            <w:pPr>
              <w:pStyle w:val="Compact"/>
            </w:pPr>
            <w:r>
              <w:t xml:space="preserve">Judge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Branded dunning / communication sequence</w:t>
            </w:r>
          </w:p>
        </w:tc>
        <w:tc>
          <w:tcPr/>
          <w:p>
            <w:pPr>
              <w:pStyle w:val="Compact"/>
            </w:pPr>
            <w:r>
              <w:t xml:space="preserve">§14.3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(add CRM/comms scenario if CRM in scope)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X0347d6106b51e86b433ece52ff81dde913e66dc"/>
    <w:p>
      <w:pPr>
        <w:pStyle w:val="Heading2"/>
      </w:pPr>
      <w:r>
        <w:t xml:space="preserve">3. Analytics &amp; Data / BI</w:t>
      </w:r>
    </w:p>
    <w:p>
      <w:pPr>
        <w:pStyle w:val="FirstParagraph"/>
      </w:pPr>
      <w:r>
        <w:rPr>
          <w:b/>
          <w:bCs/>
        </w:rPr>
        <w:t xml:space="preserve">RFP sections owned:</w:t>
      </w:r>
      <w:r>
        <w:t xml:space="preserve"> </w:t>
      </w:r>
      <w:r>
        <w:t xml:space="preserve">§5.7 Reporting &amp; Operational Analytics, §6.3 Analytics &amp; Data Access.</w:t>
      </w:r>
    </w:p>
    <w:bookmarkStart w:id="16" w:name="requirements-2"/>
    <w:p>
      <w:pPr>
        <w:pStyle w:val="Heading3"/>
      </w:pPr>
      <w:r>
        <w:t xml:space="preserve">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(seed)</w:t>
            </w:r>
          </w:p>
        </w:tc>
        <w:tc>
          <w:tcPr/>
          <w:p>
            <w:pPr>
              <w:pStyle w:val="Compact"/>
            </w:pPr>
            <w:r>
              <w:t xml:space="preserve">RFP ref</w:t>
            </w:r>
          </w:p>
        </w:tc>
        <w:tc>
          <w:tcPr/>
          <w:p>
            <w:pPr>
              <w:pStyle w:val="Compact"/>
            </w:pPr>
            <w:r>
              <w:t xml:space="preserve">M / N / ?</w:t>
            </w:r>
          </w:p>
        </w:tc>
        <w:tc>
          <w:tcPr/>
          <w:p>
            <w:pPr>
              <w:pStyle w:val="Compact"/>
            </w:pPr>
            <w:r>
              <w:t xml:space="preserve">Detail / notes</w:t>
            </w:r>
          </w:p>
        </w:tc>
        <w:tc>
          <w:tcPr/>
          <w:p>
            <w:pPr>
              <w:pStyle w:val="Compact"/>
            </w:pPr>
            <w:r>
              <w:t xml:space="preserve">SME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scorecard metrics &amp; KPI definitions (joins, churn, MRR, LTV)</w:t>
            </w:r>
          </w:p>
        </w:tc>
        <w:tc>
          <w:tcPr/>
          <w:p>
            <w:pPr>
              <w:pStyle w:val="Compact"/>
            </w:pPr>
            <w:r>
              <w:t xml:space="preserve">§5.7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Acceptable reporting refresh latency (real-time vs. near-real-time)</w:t>
            </w:r>
          </w:p>
        </w:tc>
        <w:tc>
          <w:tcPr/>
          <w:p>
            <w:pPr>
              <w:pStyle w:val="Compact"/>
            </w:pPr>
            <w:r>
              <w:t xml:space="preserve">§5.7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movement: push vs. feeds vs. unified-data-layer feed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Analytics baked-in vs. third-party (acceptable?)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Third-party viewer over Gold's-owned semantic model required?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Modular/replaceable analytics layer (start vendor → migrate to ours)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Target data warehouse assumption (Databricks / Snowflake / Fabric)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Required event schema &amp; CDC/webhook delivery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(add rows as needed)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demonstrations-2"/>
    <w:p>
      <w:pPr>
        <w:pStyle w:val="Heading3"/>
      </w:pPr>
      <w:r>
        <w:t xml:space="preserve">Demonstrations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RFP ref</w:t>
            </w:r>
          </w:p>
        </w:tc>
        <w:tc>
          <w:tcPr/>
          <w:p>
            <w:pPr>
              <w:pStyle w:val="Compact"/>
            </w:pPr>
            <w:r>
              <w:t xml:space="preserve">Acceptance criteria (what "good" looks like)</w:t>
            </w:r>
          </w:p>
        </w:tc>
        <w:tc>
          <w:tcPr/>
          <w:p>
            <w:pPr>
              <w:pStyle w:val="Compact"/>
            </w:pPr>
            <w:r>
              <w:t xml:space="preserve">Test data needed</w:t>
            </w:r>
          </w:p>
        </w:tc>
        <w:tc>
          <w:tcPr/>
          <w:p>
            <w:pPr>
              <w:pStyle w:val="Compact"/>
            </w:pPr>
            <w:r>
              <w:t xml:space="preserve">Judge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Franchisee scorecard drill-down + refresh latency</w:t>
            </w:r>
          </w:p>
        </w:tc>
        <w:tc>
          <w:tcPr/>
          <w:p>
            <w:pPr>
              <w:pStyle w:val="Compact"/>
            </w:pPr>
            <w:r>
              <w:t xml:space="preserve">§14.4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Xfc27db49d1868c534492d5c98f550c603409885"/>
    <w:p>
      <w:pPr>
        <w:pStyle w:val="Heading2"/>
      </w:pPr>
      <w:r>
        <w:t xml:space="preserve">4. Finance &amp; Billing</w:t>
      </w:r>
    </w:p>
    <w:p>
      <w:pPr>
        <w:pStyle w:val="FirstParagraph"/>
      </w:pPr>
      <w:r>
        <w:rPr>
          <w:b/>
          <w:bCs/>
        </w:rPr>
        <w:t xml:space="preserve">RFP sections owned:</w:t>
      </w:r>
      <w:r>
        <w:t xml:space="preserve"> </w:t>
      </w:r>
      <w:r>
        <w:t xml:space="preserve">§5.3 Billing &amp; Collections, §11 Commercial Terms &amp; Pricing; co-owns §5.2, §5.5, §5.6, §16.</w:t>
      </w:r>
    </w:p>
    <w:bookmarkStart w:id="19" w:name="requirements-3"/>
    <w:p>
      <w:pPr>
        <w:pStyle w:val="Heading3"/>
      </w:pPr>
      <w:r>
        <w:t xml:space="preserve">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(seed)</w:t>
            </w:r>
          </w:p>
        </w:tc>
        <w:tc>
          <w:tcPr/>
          <w:p>
            <w:pPr>
              <w:pStyle w:val="Compact"/>
            </w:pPr>
            <w:r>
              <w:t xml:space="preserve">RFP ref</w:t>
            </w:r>
          </w:p>
        </w:tc>
        <w:tc>
          <w:tcPr/>
          <w:p>
            <w:pPr>
              <w:pStyle w:val="Compact"/>
            </w:pPr>
            <w:r>
              <w:t xml:space="preserve">M / N / ?</w:t>
            </w:r>
          </w:p>
        </w:tc>
        <w:tc>
          <w:tcPr/>
          <w:p>
            <w:pPr>
              <w:pStyle w:val="Compact"/>
            </w:pPr>
            <w:r>
              <w:t xml:space="preserve">Detail / notes</w:t>
            </w:r>
          </w:p>
        </w:tc>
        <w:tc>
          <w:tcPr/>
          <w:p>
            <w:pPr>
              <w:pStyle w:val="Compact"/>
            </w:pPr>
            <w:r>
              <w:t xml:space="preserve">SME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 validation &amp; card processing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Automatic retry &amp; dunning cadence requirements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Chargeback &amp; refund workflows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Settlement &amp; reconciliation (location + corporate roll-up)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GL / accounting-system integration needs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Pricing-bound rules; franchisee-controlled levers</w:t>
            </w:r>
          </w:p>
        </w:tc>
        <w:tc>
          <w:tcPr/>
          <w:p>
            <w:pPr>
              <w:pStyle w:val="Compact"/>
            </w:pPr>
            <w:r>
              <w:t xml:space="preserve">§5.2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Inter-location travel-pass settlement model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Retail payment rails (card, ACH, member balance, gift card)</w:t>
            </w:r>
          </w:p>
        </w:tc>
        <w:tc>
          <w:tcPr/>
          <w:p>
            <w:pPr>
              <w:pStyle w:val="Compact"/>
            </w:pPr>
            <w:r>
              <w:t xml:space="preserve">§5.6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TCO assumptions &amp; budget guardrails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tech-fee monetization targets</w:t>
            </w:r>
          </w:p>
        </w:tc>
        <w:tc>
          <w:tcPr/>
          <w:p>
            <w:pPr>
              <w:pStyle w:val="Compact"/>
            </w:pPr>
            <w:r>
              <w:t xml:space="preserve">§11.5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(add rows as needed)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demonstrations-3"/>
    <w:p>
      <w:pPr>
        <w:pStyle w:val="Heading3"/>
      </w:pPr>
      <w:r>
        <w:t xml:space="preserve">Demonstrations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RFP ref</w:t>
            </w:r>
          </w:p>
        </w:tc>
        <w:tc>
          <w:tcPr/>
          <w:p>
            <w:pPr>
              <w:pStyle w:val="Compact"/>
            </w:pPr>
            <w:r>
              <w:t xml:space="preserve">Acceptance criteria (what "good" looks like)</w:t>
            </w:r>
          </w:p>
        </w:tc>
        <w:tc>
          <w:tcPr/>
          <w:p>
            <w:pPr>
              <w:pStyle w:val="Compact"/>
            </w:pPr>
            <w:r>
              <w:t xml:space="preserve">Test data needed</w:t>
            </w:r>
          </w:p>
        </w:tc>
        <w:tc>
          <w:tcPr/>
          <w:p>
            <w:pPr>
              <w:pStyle w:val="Compact"/>
            </w:pPr>
            <w:r>
              <w:t xml:space="preserve">Judge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 failure / dunning recovery</w:t>
            </w:r>
          </w:p>
        </w:tc>
        <w:tc>
          <w:tcPr/>
          <w:p>
            <w:pPr>
              <w:pStyle w:val="Compact"/>
            </w:pPr>
            <w:r>
              <w:t xml:space="preserve">§14.3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 transaction in daily report + corporate roll-up</w:t>
            </w:r>
          </w:p>
        </w:tc>
        <w:tc>
          <w:tcPr/>
          <w:p>
            <w:pPr>
              <w:pStyle w:val="Compact"/>
            </w:pPr>
            <w:r>
              <w:t xml:space="preserve">§14.6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Xbacbc02c7bfd5e114c794742a9a7823d10dfde3"/>
    <w:p>
      <w:pPr>
        <w:pStyle w:val="Heading2"/>
      </w:pPr>
      <w:r>
        <w:t xml:space="preserve">5. Front-desk / Access &amp; Facilities</w:t>
      </w:r>
    </w:p>
    <w:p>
      <w:pPr>
        <w:pStyle w:val="FirstParagraph"/>
      </w:pPr>
      <w:r>
        <w:rPr>
          <w:b/>
          <w:bCs/>
        </w:rPr>
        <w:t xml:space="preserve">RFP sections owned:</w:t>
      </w:r>
      <w:r>
        <w:t xml:space="preserve"> </w:t>
      </w:r>
      <w:r>
        <w:t xml:space="preserve">§5.4 Check-in &amp; Access Control; co-owns §14.2 (multi-location check-in).</w:t>
      </w:r>
    </w:p>
    <w:bookmarkStart w:id="22" w:name="requirements-4"/>
    <w:p>
      <w:pPr>
        <w:pStyle w:val="Heading3"/>
      </w:pPr>
      <w:r>
        <w:t xml:space="preserve">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(seed)</w:t>
            </w:r>
          </w:p>
        </w:tc>
        <w:tc>
          <w:tcPr/>
          <w:p>
            <w:pPr>
              <w:pStyle w:val="Compact"/>
            </w:pPr>
            <w:r>
              <w:t xml:space="preserve">RFP ref</w:t>
            </w:r>
          </w:p>
        </w:tc>
        <w:tc>
          <w:tcPr/>
          <w:p>
            <w:pPr>
              <w:pStyle w:val="Compact"/>
            </w:pPr>
            <w:r>
              <w:t xml:space="preserve">M / N / ?</w:t>
            </w:r>
          </w:p>
        </w:tc>
        <w:tc>
          <w:tcPr/>
          <w:p>
            <w:pPr>
              <w:pStyle w:val="Compact"/>
            </w:pPr>
            <w:r>
              <w:t xml:space="preserve">Detail / notes</w:t>
            </w:r>
          </w:p>
        </w:tc>
        <w:tc>
          <w:tcPr/>
          <w:p>
            <w:pPr>
              <w:pStyle w:val="Compact"/>
            </w:pPr>
            <w:r>
              <w:t xml:space="preserve">SME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Supported gate / turnstile / kiosk hardware lines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Multi-location access entitlement checks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Anomaly handling (expired, frozen, restricted)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Access audit logging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Access policies by membership type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(add rows as needed)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demonstrations-4"/>
    <w:p>
      <w:pPr>
        <w:pStyle w:val="Heading3"/>
      </w:pPr>
      <w:r>
        <w:t xml:space="preserve">Demonstrations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RFP ref</w:t>
            </w:r>
          </w:p>
        </w:tc>
        <w:tc>
          <w:tcPr/>
          <w:p>
            <w:pPr>
              <w:pStyle w:val="Compact"/>
            </w:pPr>
            <w:r>
              <w:t xml:space="preserve">Acceptance criteria (what "good" looks like)</w:t>
            </w:r>
          </w:p>
        </w:tc>
        <w:tc>
          <w:tcPr/>
          <w:p>
            <w:pPr>
              <w:pStyle w:val="Compact"/>
            </w:pPr>
            <w:r>
              <w:t xml:space="preserve">Test data needed</w:t>
            </w:r>
          </w:p>
        </w:tc>
        <w:tc>
          <w:tcPr/>
          <w:p>
            <w:pPr>
              <w:pStyle w:val="Compact"/>
            </w:pPr>
            <w:r>
              <w:t xml:space="preserve">Judge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Multi-location check-in with travel pass</w:t>
            </w:r>
          </w:p>
        </w:tc>
        <w:tc>
          <w:tcPr/>
          <w:p>
            <w:pPr>
              <w:pStyle w:val="Compact"/>
            </w:pPr>
            <w:r>
              <w:t xml:space="preserve">§14.2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X9ef79d52c5a198094f1d173b1218897bba5fba1"/>
    <w:p>
      <w:pPr>
        <w:pStyle w:val="Heading2"/>
      </w:pPr>
      <w:r>
        <w:t xml:space="preserve">6. IT / Security &amp; Compliance</w:t>
      </w:r>
    </w:p>
    <w:p>
      <w:pPr>
        <w:pStyle w:val="FirstParagraph"/>
      </w:pPr>
      <w:r>
        <w:rPr>
          <w:b/>
          <w:bCs/>
        </w:rPr>
        <w:t xml:space="preserve">RFP sections owned:</w:t>
      </w:r>
      <w:r>
        <w:t xml:space="preserve"> </w:t>
      </w:r>
      <w:r>
        <w:t xml:space="preserve">§8 Security &amp; Compliance, §6.3/§6.4 (with Analytics), §16 Contract Terms (with Finance); co-owns §14.5, §14.7 (API/headless demos).</w:t>
      </w:r>
    </w:p>
    <w:bookmarkStart w:id="25" w:name="requirements-5"/>
    <w:p>
      <w:pPr>
        <w:pStyle w:val="Heading3"/>
      </w:pPr>
      <w:r>
        <w:t xml:space="preserve">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(seed)</w:t>
            </w:r>
          </w:p>
        </w:tc>
        <w:tc>
          <w:tcPr/>
          <w:p>
            <w:pPr>
              <w:pStyle w:val="Compact"/>
            </w:pPr>
            <w:r>
              <w:t xml:space="preserve">RFP ref</w:t>
            </w:r>
          </w:p>
        </w:tc>
        <w:tc>
          <w:tcPr/>
          <w:p>
            <w:pPr>
              <w:pStyle w:val="Compact"/>
            </w:pPr>
            <w:r>
              <w:t xml:space="preserve">M / N / ?</w:t>
            </w:r>
          </w:p>
        </w:tc>
        <w:tc>
          <w:tcPr/>
          <w:p>
            <w:pPr>
              <w:pStyle w:val="Compact"/>
            </w:pPr>
            <w:r>
              <w:t xml:space="preserve">Detail / notes</w:t>
            </w:r>
          </w:p>
        </w:tc>
        <w:tc>
          <w:tcPr/>
          <w:p>
            <w:pPr>
              <w:pStyle w:val="Compact"/>
            </w:pPr>
            <w:r>
              <w:t xml:space="preserve">SME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certifications (PCI-DSS, SOC 2, others)</w:t>
            </w:r>
          </w:p>
        </w:tc>
        <w:tc>
          <w:tcPr/>
          <w:p>
            <w:pPr>
              <w:pStyle w:val="Compact"/>
            </w:pPr>
            <w:r>
              <w:t xml:space="preserve">§8.1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State privacy / CCPA compliance &amp; DSAR workflows</w:t>
            </w:r>
          </w:p>
        </w:tc>
        <w:tc>
          <w:tcPr/>
          <w:p>
            <w:pPr>
              <w:pStyle w:val="Compact"/>
            </w:pPr>
            <w:r>
              <w:t xml:space="preserve">§8.2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U.S. data residency; encryption; key management</w:t>
            </w:r>
          </w:p>
        </w:tc>
        <w:tc>
          <w:tcPr/>
          <w:p>
            <w:pPr>
              <w:pStyle w:val="Compact"/>
            </w:pPr>
            <w:r>
              <w:t xml:space="preserve">§8.3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RBAC, corporate/franchisee separation, access logging, SSO</w:t>
            </w:r>
          </w:p>
        </w:tc>
        <w:tc>
          <w:tcPr/>
          <w:p>
            <w:pPr>
              <w:pStyle w:val="Compact"/>
            </w:pPr>
            <w:r>
              <w:t xml:space="preserve">§8.4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Incident-response &amp; breach-notification expectations</w:t>
            </w:r>
          </w:p>
        </w:tc>
        <w:tc>
          <w:tcPr/>
          <w:p>
            <w:pPr>
              <w:pStyle w:val="Compact"/>
            </w:pPr>
            <w:r>
              <w:t xml:space="preserve">§8.5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WCAG 2.1 AA on member-facing surfaces</w:t>
            </w:r>
          </w:p>
        </w:tc>
        <w:tc>
          <w:tcPr/>
          <w:p>
            <w:pPr>
              <w:pStyle w:val="Compact"/>
            </w:pPr>
            <w:r>
              <w:t xml:space="preserve">§8.7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API access protections / no unilateral degradation</w:t>
            </w:r>
          </w:p>
        </w:tc>
        <w:tc>
          <w:tcPr/>
          <w:p>
            <w:pPr>
              <w:pStyle w:val="Compact"/>
            </w:pPr>
            <w:r>
              <w:t xml:space="preserve">§16.6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Counsel-required contract clauses</w:t>
            </w:r>
          </w:p>
        </w:tc>
        <w:tc>
          <w:tcPr/>
          <w:p>
            <w:pPr>
              <w:pStyle w:val="Compact"/>
            </w:pPr>
            <w:r>
              <w:t xml:space="preserve">§16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(add rows as needed)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demonstrations-5"/>
    <w:p>
      <w:pPr>
        <w:pStyle w:val="Heading3"/>
      </w:pPr>
      <w:r>
        <w:t xml:space="preserve">Demonstrations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RFP ref</w:t>
            </w:r>
          </w:p>
        </w:tc>
        <w:tc>
          <w:tcPr/>
          <w:p>
            <w:pPr>
              <w:pStyle w:val="Compact"/>
            </w:pPr>
            <w:r>
              <w:t xml:space="preserve">Acceptance criteria (what "good" looks like)</w:t>
            </w:r>
          </w:p>
        </w:tc>
        <w:tc>
          <w:tcPr/>
          <w:p>
            <w:pPr>
              <w:pStyle w:val="Compact"/>
            </w:pPr>
            <w:r>
              <w:t xml:space="preserve">Test data needed</w:t>
            </w:r>
          </w:p>
        </w:tc>
        <w:tc>
          <w:tcPr/>
          <w:p>
            <w:pPr>
              <w:pStyle w:val="Compact"/>
            </w:pPr>
            <w:r>
              <w:t xml:space="preserve">Judge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&amp; webhook real-time event consumption</w:t>
            </w:r>
          </w:p>
        </w:tc>
        <w:tc>
          <w:tcPr/>
          <w:p>
            <w:pPr>
              <w:pStyle w:val="Compact"/>
            </w:pPr>
            <w:r>
              <w:t xml:space="preserve">§14.5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Headless / Gold's-owned UX on vendor APIs</w:t>
            </w:r>
          </w:p>
        </w:tc>
        <w:tc>
          <w:tcPr/>
          <w:p>
            <w:pPr>
              <w:pStyle w:val="Compact"/>
            </w:pPr>
            <w:r>
              <w:t xml:space="preserve">§14.7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Consolidate completed sections back into the RFP §5/§6/§8/§11/§14/§16 callouts and align the internal evaluation rubric before vendor distribution.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A95BF13F2874EA53C62090463B696" ma:contentTypeVersion="10" ma:contentTypeDescription="Create a new document." ma:contentTypeScope="" ma:versionID="319caf390a3d3a21c345061350c7ab31">
  <xsd:schema xmlns:xsd="http://www.w3.org/2001/XMLSchema" xmlns:xs="http://www.w3.org/2001/XMLSchema" xmlns:p="http://schemas.microsoft.com/office/2006/metadata/properties" xmlns:ns2="45c2ad31-6081-47b0-9a1c-493171cf57bb" xmlns:ns3="f804db37-045c-4be0-9a8e-7e159ca899d9" targetNamespace="http://schemas.microsoft.com/office/2006/metadata/properties" ma:root="true" ma:fieldsID="733baaaa917cb3d5e40934a2c92a11ea" ns2:_="" ns3:_="">
    <xsd:import namespace="45c2ad31-6081-47b0-9a1c-493171cf57bb"/>
    <xsd:import namespace="f804db37-045c-4be0-9a8e-7e159ca899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ad31-6081-47b0-9a1c-493171cf5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ce0a4e-5409-43ac-ba09-f48763459c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4db37-045c-4be0-9a8e-7e159ca899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615b99-3ffa-4e96-b23e-d128d3dc0517}" ma:internalName="TaxCatchAll" ma:showField="CatchAllData" ma:web="f804db37-045c-4be0-9a8e-7e159ca899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c2ad31-6081-47b0-9a1c-493171cf57bb">
      <Terms xmlns="http://schemas.microsoft.com/office/infopath/2007/PartnerControls"/>
    </lcf76f155ced4ddcb4097134ff3c332f>
    <TaxCatchAll xmlns="f804db37-045c-4be0-9a8e-7e159ca899d9" xsi:nil="true"/>
  </documentManagement>
</p:properties>
</file>

<file path=customXml/itemProps1.xml><?xml version="1.0" encoding="utf-8"?>
<ds:datastoreItem xmlns:ds="http://schemas.openxmlformats.org/officeDocument/2006/customXml" ds:itemID="{17830AD3-106E-4047-A0D4-9F16DCA8B22D}"/>
</file>

<file path=customXml/itemProps2.xml><?xml version="1.0" encoding="utf-8"?>
<ds:datastoreItem xmlns:ds="http://schemas.openxmlformats.org/officeDocument/2006/customXml" ds:itemID="{CB2F7478-9725-4559-81D4-BE04ABBC4FAA}"/>
</file>

<file path=customXml/itemProps3.xml><?xml version="1.0" encoding="utf-8"?>
<ds:datastoreItem xmlns:ds="http://schemas.openxmlformats.org/officeDocument/2006/customXml" ds:itemID="{2B8E12E9-194E-4BF8-9914-B86DE543C76E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2026-05-20T15:47:54Z</dcterms:created>
  <dcterms:modified xsi:type="dcterms:W3CDTF">2026-05-20T15:47:54Z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0x010100A2BA95BF13F2874EA53C62090463B696</vt:lpwstr>
  </property>
</Properties>
</file>