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custom.xml" ContentType="application/vnd.openxmlformats-officedocument.custom-properties+xml"/>
  <Override PartName="/word/settings.xml" ContentType="application/vnd.openxmlformats-officedocument.wordprocessingml.settings+xml"/>
  <Override PartName="/docProps/app.xml" ContentType="application/vnd.openxmlformats-officedocument.extended-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4" w:name="Xcaea36961522f6cc86de5ab8cfdaf14ea490adf"/>
    <w:p>
      <w:pPr>
        <w:pStyle w:val="Heading1"/>
      </w:pPr>
      <w:r>
        <w:t xml:space="preserve">Member Management System — Request for Proposal (RFP)</w:t>
      </w:r>
    </w:p>
    <w:p>
      <w:pPr>
        <w:pStyle w:val="FirstParagraph"/>
      </w:pPr>
      <w:r>
        <w:rPr>
          <w:b/>
          <w:bCs/>
        </w:rPr>
        <w:t xml:space="preserve">RFP designation:</w:t>
      </w:r>
      <w:r>
        <w:t xml:space="preserve"> </w:t>
      </w:r>
      <w:r>
        <w:t xml:space="preserve">GG-2026-MMS-RFP-001</w:t>
      </w:r>
      <w:r>
        <w:t xml:space="preserve"> </w:t>
      </w:r>
      <w:r>
        <w:rPr>
          <w:b/>
          <w:bCs/>
        </w:rPr>
        <w:t xml:space="preserve">Companion document:</w:t>
      </w:r>
      <w:r>
        <w:t xml:space="preserve"> </w:t>
      </w:r>
      <w:r>
        <w:t xml:space="preserve">Request for Information GG-2026-MMS-RFI-001</w:t>
      </w:r>
      <w:r>
        <w:t xml:space="preserve"> </w:t>
      </w:r>
      <w:r>
        <w:rPr>
          <w:b/>
          <w:bCs/>
        </w:rPr>
        <w:t xml:space="preserve">Issued by:</w:t>
      </w:r>
      <w:r>
        <w:t xml:space="preserve"> </w:t>
      </w:r>
      <w:r>
        <w:t xml:space="preserve">Gold's Gym</w:t>
      </w:r>
      <w:r>
        <w:t xml:space="preserve"> </w:t>
      </w:r>
      <w:r>
        <w:rPr>
          <w:b/>
          <w:bCs/>
        </w:rPr>
        <w:t xml:space="preserve">Date issued:</w:t>
      </w:r>
      <w:r>
        <w:t xml:space="preserve"> </w:t>
      </w:r>
      <w:r>
        <w:t xml:space="preserve">[date: Gold's to set — after RFI review / finalist selection]</w:t>
      </w:r>
      <w:r>
        <w:t xml:space="preserve"> </w:t>
      </w:r>
      <w:r>
        <w:rPr>
          <w:b/>
          <w:bCs/>
        </w:rPr>
        <w:t xml:space="preserve">Proposals due:</w:t>
      </w:r>
      <w:r>
        <w:t xml:space="preserve"> </w:t>
      </w:r>
      <w:r>
        <w:t xml:space="preserve">[date: Gold's to set — propose a ~3-week window from issue]</w:t>
      </w:r>
      <w:r>
        <w:t xml:space="preserve"> </w:t>
      </w:r>
      <w:r>
        <w:rPr>
          <w:b/>
          <w:bCs/>
        </w:rPr>
        <w:t xml:space="preserve">Single point of contact:</w:t>
      </w:r>
      <w:r>
        <w:t xml:space="preserve"> </w:t>
      </w:r>
      <w:r>
        <w:t xml:space="preserve">[name, title, email — Gold's to designate]</w:t>
      </w:r>
    </w:p>
    <w:p>
      <w:pPr>
        <w:pStyle w:val="BlockText"/>
      </w:pPr>
      <w:r>
        <w:rPr>
          <w:b/>
          <w:bCs/>
        </w:rPr>
        <w:t xml:space="preserve">Working-draft note (internal — remove before vendor distribution).</w:t>
      </w:r>
      <w:r>
        <w:t xml:space="preserve"> </w:t>
      </w:r>
      <w:r>
        <w:t xml:space="preserve">This is the</w:t>
      </w:r>
      <w:r>
        <w:t xml:space="preserve"> </w:t>
      </w:r>
      <w:r>
        <w:rPr>
          <w:b/>
          <w:bCs/>
        </w:rPr>
        <w:t xml:space="preserve">binding proposal and commercial/legal stage</w:t>
      </w:r>
      <w:r>
        <w:t xml:space="preserve">, issued only to finalists selected from the RFI (GG-2026-MMS-RFI-001). Where the RFI asked vendors to</w:t>
      </w:r>
      <w:r>
        <w:t xml:space="preserve"> </w:t>
      </w:r>
      <w:r>
        <w:rPr>
          <w:i/>
          <w:iCs/>
        </w:rPr>
        <w:t xml:space="preserve">describe</w:t>
      </w:r>
      <w:r>
        <w:t xml:space="preserve"> </w:t>
      </w:r>
      <w:r>
        <w:t xml:space="preserve">capability and openness, this RFP asks them to</w:t>
      </w:r>
      <w:r>
        <w:t xml:space="preserve"> </w:t>
      </w:r>
      <w:r>
        <w:rPr>
          <w:i/>
          <w:iCs/>
        </w:rPr>
        <w:t xml:space="preserve">commit, price, and contract</w:t>
      </w:r>
      <w:r>
        <w:t xml:space="preserve">. The RFI gathered information; this document gathers binding offers. Callouts marked</w:t>
      </w:r>
      <w:r>
        <w:t xml:space="preserve"> </w:t>
      </w:r>
      <w:r>
        <w:rPr>
          <w:b/>
          <w:bCs/>
        </w:rPr>
        <w:t xml:space="preserve">🔧 [BUSINESS GROUP TO DEFINE — …]</w:t>
      </w:r>
      <w:r>
        <w:t xml:space="preserve"> </w:t>
      </w:r>
      <w:r>
        <w:t xml:space="preserve">flag where a Gold's functional group (or counsel) must finalize specifics before issue. Owners:</w:t>
      </w:r>
      <w:r>
        <w:t xml:space="preserve"> </w:t>
      </w:r>
      <w:r>
        <w:rPr>
          <w:b/>
          <w:bCs/>
        </w:rPr>
        <w:t xml:space="preserve">Finance &amp; Billing</w:t>
      </w:r>
      <w:r>
        <w:t xml:space="preserve"> </w:t>
      </w:r>
      <w:r>
        <w:t xml:space="preserve">(pricing/TCO assumptions, §4),</w:t>
      </w:r>
      <w:r>
        <w:t xml:space="preserve"> </w:t>
      </w:r>
      <w:r>
        <w:rPr>
          <w:b/>
          <w:bCs/>
        </w:rPr>
        <w:t xml:space="preserve">LT / counsel</w:t>
      </w:r>
      <w:r>
        <w:t xml:space="preserve"> </w:t>
      </w:r>
      <w:r>
        <w:t xml:space="preserve">(mandatory terms and contract language, §7–§8),</w:t>
      </w:r>
      <w:r>
        <w:t xml:space="preserve"> </w:t>
      </w:r>
      <w:r>
        <w:rPr>
          <w:b/>
          <w:bCs/>
        </w:rPr>
        <w:t xml:space="preserve">Ryan</w:t>
      </w:r>
      <w:r>
        <w:t xml:space="preserve"> </w:t>
      </w:r>
      <w:r>
        <w:t xml:space="preserve">(volumes and SLA thresholds),</w:t>
      </w:r>
      <w:r>
        <w:t xml:space="preserve"> </w:t>
      </w:r>
      <w:r>
        <w:rPr>
          <w:b/>
          <w:bCs/>
        </w:rPr>
        <w:t xml:space="preserve">Rick</w:t>
      </w:r>
      <w:r>
        <w:t xml:space="preserve"> </w:t>
      </w:r>
      <w:r>
        <w:t xml:space="preserve">(demonstration scheduling). Detailed scoring weights are maintained in the internal evaluation rubric (</w:t>
      </w:r>
      <w:r>
        <w:rPr>
          <w:rStyle w:val="VerbatimChar"/>
        </w:rPr>
        <w:t xml:space="preserve">2026-05-20-gg-mms-evaluation-rubric-internal.md</w:t>
      </w:r>
      <w:r>
        <w:t xml:space="preserve">), not in this document.</w:t>
      </w:r>
    </w:p>
    <w:p>
      <w:r>
        <w:pict>
          <v:rect style="width:0;height:1.5pt" o:hralign="center" o:hrstd="t" o:hr="t"/>
        </w:pict>
      </w:r>
    </w:p>
    <w:bookmarkStart w:id="9" w:name="Xd7161239c600e7ee7c01de035335db1b071f1e3"/>
    <w:p>
      <w:pPr>
        <w:pStyle w:val="Heading2"/>
      </w:pPr>
      <w:r>
        <w:t xml:space="preserve">0. Instructions to Respondents</w:t>
      </w:r>
    </w:p>
    <w:p>
      <w:pPr>
        <w:pStyle w:val="FirstParagraph"/>
      </w:pPr>
      <w:r>
        <w:t xml:space="preserve">This Request for Proposal invites</w:t>
      </w:r>
      <w:r>
        <w:t xml:space="preserve"> </w:t>
      </w:r>
      <w:r>
        <w:rPr>
          <w:b/>
          <w:bCs/>
        </w:rPr>
        <w:t xml:space="preserve">finalist vendors</w:t>
      </w:r>
      <w:r>
        <w:t xml:space="preserve"> </w:t>
      </w:r>
      <w:r>
        <w:t xml:space="preserve">— selected from responses to the companion RFI (GG-2026-MMS-RFI-001) and the departmental discovery/demonstration sessions — to submit a</w:t>
      </w:r>
      <w:r>
        <w:t xml:space="preserve"> </w:t>
      </w:r>
      <w:r>
        <w:rPr>
          <w:b/>
          <w:bCs/>
        </w:rPr>
        <w:t xml:space="preserve">binding proposal</w:t>
      </w:r>
      <w:r>
        <w:t xml:space="preserve"> </w:t>
      </w:r>
      <w:r>
        <w:t xml:space="preserve">for a Member Management System (MMS) and tightly-coupled retail Point of Sale (POS) for Gold's Gym.</w:t>
      </w:r>
    </w:p>
    <w:p>
      <w:pPr>
        <w:pStyle w:val="Compact"/>
        <w:numPr>
          <w:ilvl w:val="0"/>
          <w:numId w:val="1001"/>
        </w:numPr>
      </w:pPr>
      <w:r>
        <w:rPr>
          <w:b/>
          <w:bCs/>
        </w:rPr>
        <w:t xml:space="preserve">Builds on the RFI; does not repeat it.</w:t>
      </w:r>
      <w:r>
        <w:t xml:space="preserve"> </w:t>
      </w:r>
      <w:r>
        <w:t xml:space="preserve">Full strategic context, functional scope, technical/API requirements, and integration detail live in the RFI. This RFP references them rather than restating them. Where your RFP response differs from or supersedes your RFI response, say so explicitly.</w:t>
      </w:r>
    </w:p>
    <w:p>
      <w:pPr>
        <w:pStyle w:val="Compact"/>
        <w:numPr>
          <w:ilvl w:val="0"/>
          <w:numId w:val="1001"/>
        </w:numPr>
      </w:pPr>
      <w:r>
        <w:rPr>
          <w:b/>
          <w:bCs/>
        </w:rPr>
        <w:t xml:space="preserve">Binding offer.</w:t>
      </w:r>
      <w:r>
        <w:t xml:space="preserve"> </w:t>
      </w:r>
      <w:r>
        <w:t xml:space="preserve">Responses to this RFP are binding for the validity period stated in §9.1 and are intended to form the basis of a contract. Representations made in your RFI response (including the product-continuity and sunset disclosures of RFI §12.6) are incorporated by reference and carried forward as binding.</w:t>
      </w:r>
    </w:p>
    <w:p>
      <w:pPr>
        <w:pStyle w:val="Compact"/>
        <w:numPr>
          <w:ilvl w:val="0"/>
          <w:numId w:val="1001"/>
        </w:numPr>
      </w:pPr>
      <w:r>
        <w:rPr>
          <w:b/>
          <w:bCs/>
        </w:rPr>
        <w:t xml:space="preserve">NDA in force.</w:t>
      </w:r>
      <w:r>
        <w:t xml:space="preserve"> </w:t>
      </w:r>
      <w:r>
        <w:t xml:space="preserve">The mutual NDA executed at the RFI stage remains in effect. No new NDA is required unless Gold's provides one.</w:t>
      </w:r>
    </w:p>
    <w:p>
      <w:pPr>
        <w:pStyle w:val="Compact"/>
        <w:numPr>
          <w:ilvl w:val="0"/>
          <w:numId w:val="1001"/>
        </w:numPr>
      </w:pPr>
      <w:r>
        <w:rPr>
          <w:b/>
          <w:bCs/>
        </w:rPr>
        <w:t xml:space="preserve">Single point of contact.</w:t>
      </w:r>
      <w:r>
        <w:t xml:space="preserve"> </w:t>
      </w:r>
      <w:r>
        <w:t xml:space="preserve">All communication runs through the contact named above. Direct contact with any other Gold's stakeholder outside this channel may disqualify the respondent.</w:t>
      </w:r>
    </w:p>
    <w:p>
      <w:pPr>
        <w:pStyle w:val="Compact"/>
        <w:numPr>
          <w:ilvl w:val="0"/>
          <w:numId w:val="1001"/>
        </w:numPr>
      </w:pPr>
      <w:r>
        <w:rPr>
          <w:b/>
          <w:bCs/>
        </w:rPr>
        <w:t xml:space="preserve">Q&amp;A protocol.</w:t>
      </w:r>
      <w:r>
        <w:t xml:space="preserve"> </w:t>
      </w:r>
      <w:r>
        <w:t xml:space="preserve">Submit questions in writing by the deadline in §9. Material questions and answers are distributed to all finalist vendors.</w:t>
      </w:r>
    </w:p>
    <w:p>
      <w:pPr>
        <w:pStyle w:val="Compact"/>
        <w:numPr>
          <w:ilvl w:val="0"/>
          <w:numId w:val="1001"/>
        </w:numPr>
      </w:pPr>
      <w:r>
        <w:rPr>
          <w:b/>
          <w:bCs/>
        </w:rPr>
        <w:t xml:space="preserve">Response format.</w:t>
      </w:r>
      <w:r>
        <w:t xml:space="preserve"> </w:t>
      </w:r>
      <w:r>
        <w:t xml:space="preserve">Two parts, submitted as separate, clearly labeled documents: (1) the</w:t>
      </w:r>
      <w:r>
        <w:t xml:space="preserve"> </w:t>
      </w:r>
      <w:r>
        <w:rPr>
          <w:b/>
          <w:bCs/>
        </w:rPr>
        <w:t xml:space="preserve">Commercial Proposal</w:t>
      </w:r>
      <w:r>
        <w:t xml:space="preserve"> </w:t>
      </w:r>
      <w:r>
        <w:t xml:space="preserve">(§4 — pricing, TCO, and the completed pricing workbook, Appendix A); and (2) the</w:t>
      </w:r>
      <w:r>
        <w:t xml:space="preserve"> </w:t>
      </w:r>
      <w:r>
        <w:rPr>
          <w:b/>
          <w:bCs/>
        </w:rPr>
        <w:t xml:space="preserve">Compliance &amp; Terms Response</w:t>
      </w:r>
      <w:r>
        <w:t xml:space="preserve"> </w:t>
      </w:r>
      <w:r>
        <w:t xml:space="preserve">(mandatory-requirements confirmation Appendix B; contract-terms acceptance matrix Appendix C; SLA and implementation commitments). Confirm or qualify every mandatory requirement and contract term.</w:t>
      </w:r>
    </w:p>
    <w:p>
      <w:pPr>
        <w:pStyle w:val="Compact"/>
        <w:numPr>
          <w:ilvl w:val="0"/>
          <w:numId w:val="1001"/>
        </w:numPr>
      </w:pPr>
      <w:r>
        <w:rPr>
          <w:b/>
          <w:bCs/>
        </w:rPr>
        <w:t xml:space="preserve">No hidden fees.</w:t>
      </w:r>
      <w:r>
        <w:t xml:space="preserve"> </w:t>
      </w:r>
      <w:r>
        <w:t xml:space="preserve">Any fee, charge, or commercial condition not disclosed in your Commercial Proposal is presumed waived. Completeness is itself an evaluation factor.</w:t>
      </w:r>
    </w:p>
    <w:p>
      <w:r>
        <w:pict>
          <v:rect style="width:0;height:1.5pt" o:hralign="center" o:hrstd="t" o:hr="t"/>
        </w:pict>
      </w:r>
    </w:p>
    <w:bookmarkEnd w:id="9"/>
    <w:bookmarkStart w:id="13" w:name="X3518379853bcc2de2f90085f9f625ce747d0ed6"/>
    <w:p>
      <w:pPr>
        <w:pStyle w:val="Heading2"/>
      </w:pPr>
      <w:r>
        <w:t xml:space="preserve">1. Context &amp; Relationship to the RFI</w:t>
      </w:r>
    </w:p>
    <w:bookmarkStart w:id="10" w:name="Xd698cc147c09a66ac8628d9e013cdd65c037db9"/>
    <w:p>
      <w:pPr>
        <w:pStyle w:val="Heading3"/>
      </w:pPr>
      <w:r>
        <w:t xml:space="preserve">1.1 Where This Fits</w:t>
      </w:r>
    </w:p>
    <w:p>
      <w:pPr>
        <w:pStyle w:val="FirstParagraph"/>
      </w:pPr>
      <w:r>
        <w:t xml:space="preserve">This is the second and final stage of Gold's selection process:</w:t>
      </w:r>
    </w:p>
    <w:p>
      <w:pPr>
        <w:pStyle w:val="Compact"/>
        <w:numPr>
          <w:ilvl w:val="0"/>
          <w:numId w:val="1002"/>
        </w:numPr>
      </w:pPr>
      <w:r>
        <w:rPr>
          <w:b/>
          <w:bCs/>
        </w:rPr>
        <w:t xml:space="preserve">RFI (complete for finalists):</w:t>
      </w:r>
      <w:r>
        <w:t xml:space="preserve"> </w:t>
      </w:r>
      <w:r>
        <w:t xml:space="preserve">capability, openness, and fit — information-gathering, plus departmental discovery and demonstration sessions.</w:t>
      </w:r>
    </w:p>
    <w:p>
      <w:pPr>
        <w:pStyle w:val="Compact"/>
        <w:numPr>
          <w:ilvl w:val="0"/>
          <w:numId w:val="1002"/>
        </w:numPr>
      </w:pPr>
      <w:r>
        <w:rPr>
          <w:b/>
          <w:bCs/>
        </w:rPr>
        <w:t xml:space="preserve">RFP (this document):</w:t>
      </w:r>
      <w:r>
        <w:t xml:space="preserve"> </w:t>
      </w:r>
      <w:r>
        <w:t xml:space="preserve">binding proposal, full pricing and total cost of ownership, mandatory-requirement commitments, service levels, implementation plan, and contract terms — leading to selection and contract negotiation.</w:t>
      </w:r>
    </w:p>
    <w:bookmarkEnd w:id="10"/>
    <w:bookmarkStart w:id="11" w:name="Xafe07db93866e4802d60de0abdade840e5bf2f1"/>
    <w:p>
      <w:pPr>
        <w:pStyle w:val="Heading3"/>
      </w:pPr>
      <w:r>
        <w:t xml:space="preserve">1.2 Strategic Frame (Carried From the RFI)</w:t>
      </w:r>
    </w:p>
    <w:p>
      <w:pPr>
        <w:pStyle w:val="FirstParagraph"/>
      </w:pPr>
      <w:r>
        <w:t xml:space="preserve">The operating principles from RFI §1.3 govern this RFP and the contract that follows:</w:t>
      </w:r>
    </w:p>
    <w:p>
      <w:pPr>
        <w:pStyle w:val="Compact"/>
        <w:numPr>
          <w:ilvl w:val="0"/>
          <w:numId w:val="1003"/>
        </w:numPr>
      </w:pPr>
      <w:r>
        <w:rPr>
          <w:b/>
          <w:bCs/>
        </w:rPr>
        <w:t xml:space="preserve">"We assemble the platform — we do not rent it."</w:t>
      </w:r>
    </w:p>
    <w:p>
      <w:pPr>
        <w:pStyle w:val="Compact"/>
        <w:numPr>
          <w:ilvl w:val="0"/>
          <w:numId w:val="1003"/>
        </w:numPr>
      </w:pPr>
      <w:r>
        <w:rPr>
          <w:b/>
          <w:bCs/>
        </w:rPr>
        <w:t xml:space="preserve">"All member data belongs to Gold's, not the vendor."</w:t>
      </w:r>
    </w:p>
    <w:p>
      <w:pPr>
        <w:pStyle w:val="Compact"/>
        <w:numPr>
          <w:ilvl w:val="0"/>
          <w:numId w:val="1003"/>
        </w:numPr>
      </w:pPr>
      <w:r>
        <w:rPr>
          <w:b/>
          <w:bCs/>
        </w:rPr>
        <w:t xml:space="preserve">"Vendors operate within our system, not outside of it."</w:t>
      </w:r>
    </w:p>
    <w:p>
      <w:pPr>
        <w:pStyle w:val="FirstParagraph"/>
      </w:pPr>
      <w:r>
        <w:t xml:space="preserve">Gold's is assembling a platform on a Gold's-owned data layer and member experience, with best-in-class vendors integrating via a Gold's-controlled integration layer. The MMS is the operational system of record and the subject of this procurement.</w:t>
      </w:r>
    </w:p>
    <w:bookmarkEnd w:id="11"/>
    <w:bookmarkStart w:id="12" w:name="X9c5a09baf5c9be785000929d81645b35b922974"/>
    <w:p>
      <w:pPr>
        <w:pStyle w:val="Heading3"/>
      </w:pPr>
      <w:r>
        <w:t xml:space="preserve">1.3 What Has Changed Since the RFI</w:t>
      </w:r>
    </w:p>
    <w:p>
      <w:pPr>
        <w:pStyle w:val="FirstParagraph"/>
      </w:pPr>
      <w:r>
        <w:t xml:space="preserve">If anything in your offer has changed since your RFI response — capabilities now available, roadmap items now shipped, integrations added, or constraints discovered — state it here. Silence is treated as confirmation that your RFI representations still hold.</w:t>
      </w:r>
    </w:p>
    <w:p>
      <w:r>
        <w:pict>
          <v:rect style="width:0;height:1.5pt" o:hralign="center" o:hrstd="t" o:hr="t"/>
        </w:pict>
      </w:r>
    </w:p>
    <w:bookmarkEnd w:id="12"/>
    <w:bookmarkEnd w:id="13"/>
    <w:bookmarkStart w:id="17" w:name="X07ba1c73cfe7cd15812cb6069041edfdae05d0a"/>
    <w:p>
      <w:pPr>
        <w:pStyle w:val="Heading2"/>
      </w:pPr>
      <w:r>
        <w:t xml:space="preserve">2. Scope of This Proposal</w:t>
      </w:r>
    </w:p>
    <w:bookmarkStart w:id="14" w:name="Xbf6fb8078cd5f0d1048b58582d4d132400958bd"/>
    <w:p>
      <w:pPr>
        <w:pStyle w:val="Heading3"/>
      </w:pPr>
      <w:r>
        <w:t xml:space="preserve">2.1 Core Procurement</w:t>
      </w:r>
    </w:p>
    <w:p>
      <w:pPr>
        <w:pStyle w:val="FirstParagraph"/>
      </w:pPr>
      <w:r>
        <w:t xml:space="preserve">The binding scope of this RFP is the MMS and tightly-coupled retail POS covering the functional areas described in</w:t>
      </w:r>
      <w:r>
        <w:t xml:space="preserve"> </w:t>
      </w:r>
      <w:r>
        <w:rPr>
          <w:b/>
          <w:bCs/>
        </w:rPr>
        <w:t xml:space="preserve">RFI §2.1 and §5</w:t>
      </w:r>
      <w:r>
        <w:t xml:space="preserve"> </w:t>
      </w:r>
      <w:r>
        <w:t xml:space="preserve">(member lifecycle, plans &amp; pricing, billing &amp; collections, check-in &amp; access control, travel pass, POS/retail, reporting, and transactional communications). Propose against those requirements; you need not restate them.</w:t>
      </w:r>
    </w:p>
    <w:bookmarkEnd w:id="14"/>
    <w:bookmarkStart w:id="15" w:name="Xb2c7176e0d581d7c66e3bc0cfd80d24ab5e1dce"/>
    <w:p>
      <w:pPr>
        <w:pStyle w:val="Heading3"/>
      </w:pPr>
      <w:r>
        <w:t xml:space="preserve">2.2 Adjacent Categories (Resolved From RFI Findings)</w:t>
      </w:r>
    </w:p>
    <w:p>
      <w:pPr>
        <w:pStyle w:val="FirstParagraph"/>
      </w:pPr>
      <w:r>
        <w:t xml:space="preserve">Based on RFI responses and discovery, Gold's will indicate to each finalist which adjacent categories (CRM, member app, analytics &amp; data access — RFI §5.9, §5.10, §6.3) are</w:t>
      </w:r>
      <w:r>
        <w:t xml:space="preserve"> </w:t>
      </w:r>
      <w:r>
        <w:rPr>
          <w:b/>
          <w:bCs/>
        </w:rPr>
        <w:t xml:space="preserve">included in this procurement</w:t>
      </w:r>
      <w:r>
        <w:t xml:space="preserve">,</w:t>
      </w:r>
      <w:r>
        <w:t xml:space="preserve"> </w:t>
      </w:r>
      <w:r>
        <w:rPr>
          <w:b/>
          <w:bCs/>
        </w:rPr>
        <w:t xml:space="preserve">deferred</w:t>
      </w:r>
      <w:r>
        <w:t xml:space="preserve">, or</w:t>
      </w:r>
      <w:r>
        <w:t xml:space="preserve"> </w:t>
      </w:r>
      <w:r>
        <w:rPr>
          <w:b/>
          <w:bCs/>
        </w:rPr>
        <w:t xml:space="preserve">excluded</w:t>
      </w:r>
      <w:r>
        <w:t xml:space="preserve"> </w:t>
      </w:r>
      <w:r>
        <w:t xml:space="preserve">for that vendor. Price only what Gold's includes; list deferred/excluded items as priced options so Gold's retains the choice later.</w:t>
      </w:r>
    </w:p>
    <w:p>
      <w:pPr>
        <w:pStyle w:val="BlockText"/>
      </w:pPr>
      <w:r>
        <w:t xml:space="preserve">🔧</w:t>
      </w:r>
      <w:r>
        <w:t xml:space="preserve"> </w:t>
      </w:r>
      <w:r>
        <w:rPr>
          <w:b/>
          <w:bCs/>
        </w:rPr>
        <w:t xml:space="preserve">[BUSINESS GROUP TO DEFINE — per finalist]:</w:t>
      </w:r>
      <w:r>
        <w:t xml:space="preserve"> </w:t>
      </w:r>
      <w:r>
        <w:t xml:space="preserve">Which adjacent categories are in/out of each finalist's priced scope, based on RFI outcomes.</w:t>
      </w:r>
    </w:p>
    <w:bookmarkEnd w:id="15"/>
    <w:bookmarkStart w:id="16" w:name="Xe8ca490dc0d06a0097232a3148b51988a4288d9"/>
    <w:p>
      <w:pPr>
        <w:pStyle w:val="Heading3"/>
      </w:pPr>
      <w:r>
        <w:t xml:space="preserve">2.3 Integration Scope</w:t>
      </w:r>
    </w:p>
    <w:p>
      <w:pPr>
        <w:pStyle w:val="FirstParagraph"/>
      </w:pPr>
      <w:r>
        <w:t xml:space="preserve">Binding integration scope is the inventory in</w:t>
      </w:r>
      <w:r>
        <w:t xml:space="preserve"> </w:t>
      </w:r>
      <w:r>
        <w:rPr>
          <w:b/>
          <w:bCs/>
        </w:rPr>
        <w:t xml:space="preserve">RFI §6.4 and Appendix B</w:t>
      </w:r>
      <w:r>
        <w:t xml:space="preserve"> </w:t>
      </w:r>
      <w:r>
        <w:t xml:space="preserve">(CRM, member app, gate-control hardware, payment processor, email/SMS, unified data layer). Price all integrations required for go-live; identify any that are optional or phased.</w:t>
      </w:r>
    </w:p>
    <w:p>
      <w:r>
        <w:pict>
          <v:rect style="width:0;height:1.5pt" o:hralign="center" o:hrstd="t" o:hr="t"/>
        </w:pict>
      </w:r>
    </w:p>
    <w:bookmarkEnd w:id="16"/>
    <w:bookmarkEnd w:id="17"/>
    <w:bookmarkStart w:id="18" w:name="X3248bb5f294759abe7e6cd7547f6ad04ea29b38"/>
    <w:p>
      <w:pPr>
        <w:pStyle w:val="Heading2"/>
      </w:pPr>
      <w:r>
        <w:t xml:space="preserve">3. Mandatory Requirements (Binding Threshold)</w:t>
      </w:r>
    </w:p>
    <w:p>
      <w:pPr>
        <w:pStyle w:val="FirstParagraph"/>
      </w:pPr>
      <w:r>
        <w:t xml:space="preserve">These are the RFI §4 foundational requirements, now</w:t>
      </w:r>
      <w:r>
        <w:t xml:space="preserve"> </w:t>
      </w:r>
      <w:r>
        <w:rPr>
          <w:b/>
          <w:bCs/>
        </w:rPr>
        <w:t xml:space="preserve">binding and threshold</w:t>
      </w:r>
      <w:r>
        <w:t xml:space="preserve">. For each, confirm</w:t>
      </w:r>
      <w:r>
        <w:t xml:space="preserve"> </w:t>
      </w:r>
      <w:r>
        <w:rPr>
          <w:b/>
          <w:bCs/>
        </w:rPr>
        <w:t xml:space="preserve">full / partial / no</w:t>
      </w:r>
      <w:r>
        <w:t xml:space="preserve"> </w:t>
      </w:r>
      <w:r>
        <w:t xml:space="preserve">compliance in Appendix B and commit to it contractually. A "no" on a mandatory requirement may disqualify the proposal. Partial compliance must include a dated remediation commitment.</w:t>
      </w:r>
    </w:p>
    <w:p>
      <w:pPr>
        <w:pStyle w:val="Compact"/>
        <w:numPr>
          <w:ilvl w:val="0"/>
          <w:numId w:val="1004"/>
        </w:numPr>
      </w:pPr>
      <w:r>
        <w:rPr>
          <w:b/>
          <w:bCs/>
        </w:rPr>
        <w:t xml:space="preserve">3.1 Full data ownership</w:t>
      </w:r>
      <w:r>
        <w:t xml:space="preserve"> </w:t>
      </w:r>
      <w:r>
        <w:t xml:space="preserve">(contractual; per §7.1).</w:t>
      </w:r>
    </w:p>
    <w:p>
      <w:pPr>
        <w:pStyle w:val="Compact"/>
        <w:numPr>
          <w:ilvl w:val="0"/>
          <w:numId w:val="1004"/>
        </w:numPr>
      </w:pPr>
      <w:r>
        <w:rPr>
          <w:b/>
          <w:bCs/>
        </w:rPr>
        <w:t xml:space="preserve">3.2 Real-time API access</w:t>
      </w:r>
      <w:r>
        <w:t xml:space="preserve"> </w:t>
      </w:r>
      <w:r>
        <w:t xml:space="preserve">(REST + webhooks; event-driven sync).</w:t>
      </w:r>
    </w:p>
    <w:p>
      <w:pPr>
        <w:pStyle w:val="Compact"/>
        <w:numPr>
          <w:ilvl w:val="0"/>
          <w:numId w:val="1004"/>
        </w:numPr>
      </w:pPr>
      <w:r>
        <w:rPr>
          <w:b/>
          <w:bCs/>
        </w:rPr>
        <w:t xml:space="preserve">3.3 Multi-location franchise architecture</w:t>
      </w:r>
      <w:r>
        <w:t xml:space="preserve"> </w:t>
      </w:r>
      <w:r>
        <w:t xml:space="preserve">(native).</w:t>
      </w:r>
    </w:p>
    <w:p>
      <w:pPr>
        <w:pStyle w:val="Compact"/>
        <w:numPr>
          <w:ilvl w:val="0"/>
          <w:numId w:val="1004"/>
        </w:numPr>
      </w:pPr>
      <w:r>
        <w:rPr>
          <w:b/>
          <w:bCs/>
        </w:rPr>
        <w:t xml:space="preserve">3.4 Documented data export &amp; migration</w:t>
      </w:r>
      <w:r>
        <w:t xml:space="preserve"> </w:t>
      </w:r>
      <w:r>
        <w:t xml:space="preserve">(CSV, JSON, Parquet on demand; migration cooperation).</w:t>
      </w:r>
    </w:p>
    <w:p>
      <w:pPr>
        <w:pStyle w:val="Compact"/>
        <w:numPr>
          <w:ilvl w:val="0"/>
          <w:numId w:val="1004"/>
        </w:numPr>
      </w:pPr>
      <w:r>
        <w:rPr>
          <w:b/>
          <w:bCs/>
        </w:rPr>
        <w:t xml:space="preserve">3.5 U.S. market support.</w:t>
      </w:r>
    </w:p>
    <w:p>
      <w:pPr>
        <w:pStyle w:val="Compact"/>
        <w:numPr>
          <w:ilvl w:val="0"/>
          <w:numId w:val="1004"/>
        </w:numPr>
      </w:pPr>
      <w:r>
        <w:rPr>
          <w:b/>
          <w:bCs/>
        </w:rPr>
        <w:t xml:space="preserve">3.6 POS / retail integrated or tightly coupled.</w:t>
      </w:r>
    </w:p>
    <w:p>
      <w:pPr>
        <w:pStyle w:val="Compact"/>
        <w:numPr>
          <w:ilvl w:val="0"/>
          <w:numId w:val="1004"/>
        </w:numPr>
      </w:pPr>
      <w:r>
        <w:rPr>
          <w:b/>
          <w:bCs/>
        </w:rPr>
        <w:t xml:space="preserve">3.7 Open ecosystem / headless compatibility</w:t>
      </w:r>
      <w:r>
        <w:t xml:space="preserve"> </w:t>
      </w:r>
      <w:r>
        <w:t xml:space="preserve">(APIs first-class; vendor UI optional; no commercial penalty for third-party tools in adjacent categories).</w:t>
      </w:r>
    </w:p>
    <w:p>
      <w:pPr>
        <w:pStyle w:val="Compact"/>
        <w:numPr>
          <w:ilvl w:val="0"/>
          <w:numId w:val="1004"/>
        </w:numPr>
      </w:pPr>
      <w:r>
        <w:rPr>
          <w:b/>
          <w:bCs/>
        </w:rPr>
        <w:t xml:space="preserve">3.8 Product continuity &amp; no forced migration</w:t>
      </w:r>
      <w:r>
        <w:t xml:space="preserve"> </w:t>
      </w:r>
      <w:r>
        <w:t xml:space="preserve">(per §7.7; the RFI §12.6 sunset/migration disclosures are binding here).</w:t>
      </w:r>
    </w:p>
    <w:p>
      <w:r>
        <w:pict>
          <v:rect style="width:0;height:1.5pt" o:hralign="center" o:hrstd="t" o:hr="t"/>
        </w:pict>
      </w:r>
    </w:p>
    <w:bookmarkEnd w:id="18"/>
    <w:bookmarkStart w:id="19" w:name="X3ba102661ba8af654bc6cea417b4f50528b4767"/>
    <w:p>
      <w:pPr>
        <w:pStyle w:val="Heading2"/>
      </w:pPr>
      <w:r>
        <w:t xml:space="preserve">4. Commercial Proposal &amp; Pricing</w:t>
      </w:r>
    </w:p>
    <w:p>
      <w:pPr>
        <w:pStyle w:val="FirstParagraph"/>
      </w:pPr>
      <w:r>
        <w:t xml:space="preserve">This is the core of the RFP and the content deliberately</w:t>
      </w:r>
      <w:r>
        <w:t xml:space="preserve"> </w:t>
      </w:r>
      <w:r>
        <w:rPr>
          <w:b/>
          <w:bCs/>
        </w:rPr>
        <w:t xml:space="preserve">not</w:t>
      </w:r>
      <w:r>
        <w:t xml:space="preserve"> </w:t>
      </w:r>
      <w:r>
        <w:t xml:space="preserve">requested at the RFI stage. Submit as a separate Commercial Proposal document, with the pricing workbook (Appendix A) completed in full. Present your own pricing structure</w:t>
      </w:r>
      <w:r>
        <w:t xml:space="preserve"> </w:t>
      </w:r>
      <w:r>
        <w:rPr>
          <w:b/>
          <w:bCs/>
        </w:rPr>
        <w:t xml:space="preserve">in addition to</w:t>
      </w:r>
      <w:r>
        <w:t xml:space="preserve"> </w:t>
      </w:r>
      <w:r>
        <w:t xml:space="preserve">the workbook so Gold's can compare across vendors without losing your native model.</w:t>
      </w:r>
    </w:p>
    <w:p>
      <w:pPr>
        <w:pStyle w:val="Compact"/>
        <w:numPr>
          <w:ilvl w:val="0"/>
          <w:numId w:val="1005"/>
        </w:numPr>
      </w:pPr>
      <w:r>
        <w:rPr>
          <w:b/>
          <w:bCs/>
        </w:rPr>
        <w:t xml:space="preserve">4.1 Pricing model.</w:t>
      </w:r>
      <w:r>
        <w:t xml:space="preserve"> </w:t>
      </w:r>
      <w:r>
        <w:t xml:space="preserve">Disclose every component — per-location, per-member, per-transaction, implementation, integration, professional services, and support-tier fees. State which components are negotiable. No hidden line items (§0).</w:t>
      </w:r>
    </w:p>
    <w:p>
      <w:pPr>
        <w:pStyle w:val="Compact"/>
        <w:numPr>
          <w:ilvl w:val="0"/>
          <w:numId w:val="1005"/>
        </w:numPr>
      </w:pPr>
      <w:r>
        <w:rPr>
          <w:b/>
          <w:bCs/>
        </w:rPr>
        <w:t xml:space="preserve">4.2 Five-year TCO.</w:t>
      </w:r>
      <w:r>
        <w:t xml:space="preserve"> </w:t>
      </w:r>
      <w:r>
        <w:t xml:space="preserve">Line-item total cost of ownership over five years at projected network scale, with stated member-growth and transaction-volume assumptions. Use the assumptions Gold's provides for an apples-to-apples baseline, then add your own scenario if you wish.</w:t>
      </w:r>
    </w:p>
    <w:p>
      <w:pPr>
        <w:pStyle w:val="Compact"/>
        <w:numPr>
          <w:ilvl w:val="0"/>
          <w:numId w:val="1005"/>
        </w:numPr>
      </w:pPr>
      <w:r>
        <w:rPr>
          <w:b/>
          <w:bCs/>
        </w:rPr>
        <w:t xml:space="preserve">4.3 A-to-Z menu.</w:t>
      </w:r>
      <w:r>
        <w:t xml:space="preserve"> </w:t>
      </w:r>
      <w:r>
        <w:t xml:space="preserve">A complete menu of all available modules and services — including items Gold's has not requested — so Gold's can see optional/negotiable additions. Mark each as in-scope, optional, or future.</w:t>
      </w:r>
    </w:p>
    <w:p>
      <w:pPr>
        <w:pStyle w:val="Compact"/>
        <w:numPr>
          <w:ilvl w:val="0"/>
          <w:numId w:val="1005"/>
        </w:numPr>
      </w:pPr>
      <w:r>
        <w:rPr>
          <w:b/>
          <w:bCs/>
        </w:rPr>
        <w:t xml:space="preserve">4.4 Implementation &amp; migration fees.</w:t>
      </w:r>
      <w:r>
        <w:t xml:space="preserve"> </w:t>
      </w:r>
      <w:r>
        <w:t xml:space="preserve">One-time fees broken out from recurring; migration-assistance fees disclosed even if discounted to zero.</w:t>
      </w:r>
    </w:p>
    <w:p>
      <w:pPr>
        <w:pStyle w:val="Compact"/>
        <w:numPr>
          <w:ilvl w:val="0"/>
          <w:numId w:val="1005"/>
        </w:numPr>
      </w:pPr>
      <w:r>
        <w:rPr>
          <w:b/>
          <w:bCs/>
        </w:rPr>
        <w:t xml:space="preserve">4.5 Volume incentives.</w:t>
      </w:r>
      <w:r>
        <w:t xml:space="preserve"> </w:t>
      </w:r>
      <w:r>
        <w:t xml:space="preserve">Scale discounts as Gold's onboards the full network; propose the discount curve by location count.</w:t>
      </w:r>
    </w:p>
    <w:p>
      <w:pPr>
        <w:pStyle w:val="Compact"/>
        <w:numPr>
          <w:ilvl w:val="0"/>
          <w:numId w:val="1005"/>
        </w:numPr>
      </w:pPr>
      <w:r>
        <w:rPr>
          <w:b/>
          <w:bCs/>
        </w:rPr>
        <w:t xml:space="preserve">4.6 Member technology fee / revenue share.</w:t>
      </w:r>
      <w:r>
        <w:t xml:space="preserve"> </w:t>
      </w:r>
      <w:r>
        <w:t xml:space="preserve">Gold's intends to introduce a member technology fee. State your willingness to support, white-label, or revenue-share, and the mechanics.</w:t>
      </w:r>
    </w:p>
    <w:p>
      <w:pPr>
        <w:pStyle w:val="Compact"/>
        <w:numPr>
          <w:ilvl w:val="0"/>
          <w:numId w:val="1005"/>
        </w:numPr>
      </w:pPr>
      <w:r>
        <w:rPr>
          <w:b/>
          <w:bCs/>
        </w:rPr>
        <w:t xml:space="preserve">4.7 Price lock &amp; escalators.</w:t>
      </w:r>
      <w:r>
        <w:t xml:space="preserve"> </w:t>
      </w:r>
      <w:r>
        <w:t xml:space="preserve">Caps on annual increases, benchmark used (CPI or fixed %), and renewal-price mechanics.</w:t>
      </w:r>
    </w:p>
    <w:p>
      <w:pPr>
        <w:pStyle w:val="Compact"/>
        <w:numPr>
          <w:ilvl w:val="0"/>
          <w:numId w:val="1005"/>
        </w:numPr>
      </w:pPr>
      <w:r>
        <w:rPr>
          <w:b/>
          <w:bCs/>
        </w:rPr>
        <w:t xml:space="preserve">4.8 API &amp; integration economics.</w:t>
      </w:r>
      <w:r>
        <w:t xml:space="preserve"> </w:t>
      </w:r>
      <w:r>
        <w:t xml:space="preserve">Whether APIs/webhooks are included in base or metered; per-call fees at scale, rate-limit tiers, integration-marketplace fees, and any premium event-stream fees.</w:t>
      </w:r>
    </w:p>
    <w:p>
      <w:pPr>
        <w:pStyle w:val="BlockText"/>
      </w:pPr>
      <w:r>
        <w:t xml:space="preserve">🔧</w:t>
      </w:r>
      <w:r>
        <w:t xml:space="preserve"> </w:t>
      </w:r>
      <w:r>
        <w:rPr>
          <w:b/>
          <w:bCs/>
        </w:rPr>
        <w:t xml:space="preserve">[BUSINESS GROUP TO DEFINE — Finance &amp; Billing]:</w:t>
      </w:r>
      <w:r>
        <w:t xml:space="preserve"> </w:t>
      </w:r>
      <w:r>
        <w:t xml:space="preserve">TCO baseline assumptions (member counts, growth, transaction volume), budget guardrails, and the pricing-workbook template (Appendix A).</w:t>
      </w:r>
    </w:p>
    <w:p>
      <w:r>
        <w:pict>
          <v:rect style="width:0;height:1.5pt" o:hralign="center" o:hrstd="t" o:hr="t"/>
        </w:pict>
      </w:r>
    </w:p>
    <w:bookmarkEnd w:id="19"/>
    <w:bookmarkStart w:id="20" w:name="Xf07cc31a4b205dca2bc7939e9c0dbaafdf5d56a"/>
    <w:p>
      <w:pPr>
        <w:pStyle w:val="Heading2"/>
      </w:pPr>
      <w:r>
        <w:t xml:space="preserve">5. Service Levels (Binding SLA Commitments)</w:t>
      </w:r>
    </w:p>
    <w:p>
      <w:pPr>
        <w:pStyle w:val="FirstParagraph"/>
      </w:pPr>
      <w:r>
        <w:t xml:space="preserve">State numerical, contractually binding commitments. Check-in and billing cannot be down during peak gym hours.</w:t>
      </w:r>
    </w:p>
    <w:p>
      <w:pPr>
        <w:pStyle w:val="Compact"/>
        <w:numPr>
          <w:ilvl w:val="0"/>
          <w:numId w:val="1006"/>
        </w:numPr>
      </w:pPr>
      <w:r>
        <w:rPr>
          <w:b/>
          <w:bCs/>
        </w:rPr>
        <w:t xml:space="preserve">5.1 Uptime.</w:t>
      </w:r>
      <w:r>
        <w:t xml:space="preserve"> </w:t>
      </w:r>
      <w:r>
        <w:t xml:space="preserve">Gold's target is</w:t>
      </w:r>
      <w:r>
        <w:t xml:space="preserve"> </w:t>
      </w:r>
      <w:r>
        <w:rPr>
          <w:b/>
          <w:bCs/>
        </w:rPr>
        <w:t xml:space="preserve">99.9%</w:t>
      </w:r>
      <w:r>
        <w:t xml:space="preserve">. State your committed uptime and the measurement method.</w:t>
      </w:r>
    </w:p>
    <w:p>
      <w:pPr>
        <w:pStyle w:val="Compact"/>
        <w:numPr>
          <w:ilvl w:val="0"/>
          <w:numId w:val="1006"/>
        </w:numPr>
      </w:pPr>
      <w:r>
        <w:rPr>
          <w:b/>
          <w:bCs/>
        </w:rPr>
        <w:t xml:space="preserve">5.2 Response &amp; resolution by severity.</w:t>
      </w:r>
      <w:r>
        <w:t xml:space="preserve"> </w:t>
      </w:r>
      <w:r>
        <w:t xml:space="preserve">Critical (system down; billing or check-in unavailable): response &lt; 1 hour. High: &lt; 4 hours. Medium: &lt; 1 business day. Low: next planned release. Confirm or counter each.</w:t>
      </w:r>
    </w:p>
    <w:p>
      <w:pPr>
        <w:pStyle w:val="Compact"/>
        <w:numPr>
          <w:ilvl w:val="0"/>
          <w:numId w:val="1006"/>
        </w:numPr>
      </w:pPr>
      <w:r>
        <w:rPr>
          <w:b/>
          <w:bCs/>
        </w:rPr>
        <w:t xml:space="preserve">5.3 Maintenance windows.</w:t>
      </w:r>
      <w:r>
        <w:t xml:space="preserve"> </w:t>
      </w:r>
      <w:r>
        <w:t xml:space="preserve">Off-peak only, advance notice, none during defined peak gym hours.</w:t>
      </w:r>
    </w:p>
    <w:p>
      <w:pPr>
        <w:pStyle w:val="Compact"/>
        <w:numPr>
          <w:ilvl w:val="0"/>
          <w:numId w:val="1006"/>
        </w:numPr>
      </w:pPr>
      <w:r>
        <w:rPr>
          <w:b/>
          <w:bCs/>
        </w:rPr>
        <w:t xml:space="preserve">5.4 Disaster recovery.</w:t>
      </w:r>
      <w:r>
        <w:t xml:space="preserve"> </w:t>
      </w:r>
      <w:r>
        <w:t xml:space="preserve">Committed RTO and RPO (numeric), backup frequency, geographic redundancy, and last tested-recovery date.</w:t>
      </w:r>
    </w:p>
    <w:p>
      <w:pPr>
        <w:pStyle w:val="Compact"/>
        <w:numPr>
          <w:ilvl w:val="0"/>
          <w:numId w:val="1006"/>
        </w:numPr>
      </w:pPr>
      <w:r>
        <w:rPr>
          <w:b/>
          <w:bCs/>
        </w:rPr>
        <w:t xml:space="preserve">5.5 Service credits.</w:t>
      </w:r>
      <w:r>
        <w:t xml:space="preserve"> </w:t>
      </w:r>
      <w:r>
        <w:t xml:space="preserve">Credit structure for missed SLAs, escalating with severity and duration.</w:t>
      </w:r>
    </w:p>
    <w:p>
      <w:pPr>
        <w:pStyle w:val="BlockText"/>
      </w:pPr>
      <w:r>
        <w:t xml:space="preserve">🔧</w:t>
      </w:r>
      <w:r>
        <w:t xml:space="preserve"> </w:t>
      </w:r>
      <w:r>
        <w:rPr>
          <w:b/>
          <w:bCs/>
        </w:rPr>
        <w:t xml:space="preserve">[BUSINESS GROUP TO DEFINE — IT/Security + Ryan]:</w:t>
      </w:r>
      <w:r>
        <w:t xml:space="preserve"> </w:t>
      </w:r>
      <w:r>
        <w:t xml:space="preserve">Final peak-hours definition and any threshold adjustments.</w:t>
      </w:r>
    </w:p>
    <w:p>
      <w:r>
        <w:pict>
          <v:rect style="width:0;height:1.5pt" o:hralign="center" o:hrstd="t" o:hr="t"/>
        </w:pict>
      </w:r>
    </w:p>
    <w:bookmarkEnd w:id="20"/>
    <w:bookmarkStart w:id="21" w:name="Xdb7104785645ab88ea47c188eebb91620ee9c80"/>
    <w:p>
      <w:pPr>
        <w:pStyle w:val="Heading2"/>
      </w:pPr>
      <w:r>
        <w:t xml:space="preserve">6. Implementation, Migration &amp; Change Management (Committed Plan)</w:t>
      </w:r>
    </w:p>
    <w:p>
      <w:pPr>
        <w:pStyle w:val="FirstParagraph"/>
      </w:pPr>
      <w:r>
        <w:t xml:space="preserve">Provide a committed, resourced plan — not an approach narrative (that was the RFI).</w:t>
      </w:r>
    </w:p>
    <w:p>
      <w:pPr>
        <w:pStyle w:val="Compact"/>
        <w:numPr>
          <w:ilvl w:val="0"/>
          <w:numId w:val="1007"/>
        </w:numPr>
      </w:pPr>
      <w:r>
        <w:rPr>
          <w:b/>
          <w:bCs/>
        </w:rPr>
        <w:t xml:space="preserve">6.1 Phased rollout.</w:t>
      </w:r>
      <w:r>
        <w:t xml:space="preserve"> </w:t>
      </w:r>
      <w:r>
        <w:t xml:space="preserve">Pilot → regional wave → full network, incumbent running in parallel until each wave is verified stable. Provide the wave structure, dates, and exit criteria per wave.</w:t>
      </w:r>
    </w:p>
    <w:p>
      <w:pPr>
        <w:pStyle w:val="Compact"/>
        <w:numPr>
          <w:ilvl w:val="0"/>
          <w:numId w:val="1007"/>
        </w:numPr>
      </w:pPr>
      <w:r>
        <w:rPr>
          <w:b/>
          <w:bCs/>
        </w:rPr>
        <w:t xml:space="preserve">6.2 Vendor-led data migration.</w:t>
      </w:r>
      <w:r>
        <w:t xml:space="preserve"> </w:t>
      </w:r>
      <w:r>
        <w:t xml:space="preserve">Committed migration of member master, transaction history, payment tokens, freezes/pauses, custom attributes, and historical reporting data, with validation and rollback plans. Gold's validates; vendor executes.</w:t>
      </w:r>
    </w:p>
    <w:p>
      <w:pPr>
        <w:pStyle w:val="Compact"/>
        <w:numPr>
          <w:ilvl w:val="0"/>
          <w:numId w:val="1007"/>
        </w:numPr>
      </w:pPr>
      <w:r>
        <w:rPr>
          <w:b/>
          <w:bCs/>
        </w:rPr>
        <w:t xml:space="preserve">6.3 Training &amp; change management.</w:t>
      </w:r>
      <w:r>
        <w:t xml:space="preserve"> </w:t>
      </w:r>
      <w:r>
        <w:t xml:space="preserve">Deliverables, train-the-trainer model, and role-specific tracks (front desk, PT staff, manager, franchisee owner, corporate analyst).</w:t>
      </w:r>
    </w:p>
    <w:p>
      <w:pPr>
        <w:pStyle w:val="Compact"/>
        <w:numPr>
          <w:ilvl w:val="0"/>
          <w:numId w:val="1007"/>
        </w:numPr>
      </w:pPr>
      <w:r>
        <w:rPr>
          <w:b/>
          <w:bCs/>
        </w:rPr>
        <w:t xml:space="preserve">6.4 Franchisee adoption.</w:t>
      </w:r>
      <w:r>
        <w:t xml:space="preserve"> </w:t>
      </w:r>
      <w:r>
        <w:t xml:space="preserve">Committed support for Gold's-led change management across independent operators; reference comparable multi-location rollouts.</w:t>
      </w:r>
    </w:p>
    <w:p>
      <w:pPr>
        <w:pStyle w:val="Compact"/>
        <w:numPr>
          <w:ilvl w:val="0"/>
          <w:numId w:val="1007"/>
        </w:numPr>
      </w:pPr>
      <w:r>
        <w:rPr>
          <w:b/>
          <w:bCs/>
        </w:rPr>
        <w:t xml:space="preserve">6.5 Project staffing &amp; RACI.</w:t>
      </w:r>
      <w:r>
        <w:t xml:space="preserve"> </w:t>
      </w:r>
      <w:r>
        <w:t xml:space="preserve">Named team members with credentials and tenure, PM continuity through go-live, escalation path, and a RACI across vendor, Gold's, and the StackHack project team. Continuity of named staff is a commitment, not a hope.</w:t>
      </w:r>
    </w:p>
    <w:p>
      <w:r>
        <w:pict>
          <v:rect style="width:0;height:1.5pt" o:hralign="center" o:hrstd="t" o:hr="t"/>
        </w:pict>
      </w:r>
    </w:p>
    <w:bookmarkEnd w:id="21"/>
    <w:bookmarkStart w:id="22" w:name="Xd288436c91c52ad2ecde7c8831537d35801077f"/>
    <w:p>
      <w:pPr>
        <w:pStyle w:val="Heading2"/>
      </w:pPr>
      <w:r>
        <w:t xml:space="preserve">7. Contract Terms (Binding — To Be Negotiated With Counsel)</w:t>
      </w:r>
    </w:p>
    <w:p>
      <w:pPr>
        <w:pStyle w:val="FirstParagraph"/>
      </w:pPr>
      <w:r>
        <w:t xml:space="preserve">These were "reference only" in the RFI. Here they are the</w:t>
      </w:r>
      <w:r>
        <w:t xml:space="preserve"> </w:t>
      </w:r>
      <w:r>
        <w:rPr>
          <w:b/>
          <w:bCs/>
        </w:rPr>
        <w:t xml:space="preserve">terms Gold's intends to contract on.</w:t>
      </w:r>
      <w:r>
        <w:t xml:space="preserve"> </w:t>
      </w:r>
      <w:r>
        <w:t xml:space="preserve">Confirm acceptance, or qualify with specific proposed language, in Appendix C. Final contract drafted with Gold's counsel.</w:t>
      </w:r>
    </w:p>
    <w:p>
      <w:pPr>
        <w:pStyle w:val="Compact"/>
        <w:numPr>
          <w:ilvl w:val="0"/>
          <w:numId w:val="1008"/>
        </w:numPr>
      </w:pPr>
      <w:r>
        <w:rPr>
          <w:b/>
          <w:bCs/>
        </w:rPr>
        <w:t xml:space="preserve">7.1 Data ownership.</w:t>
      </w:r>
      <w:r>
        <w:t xml:space="preserve"> </w:t>
      </w:r>
      <w:r>
        <w:t xml:space="preserve">Gold's owns all member data, schema, derived data, and outputs. No vendor use of Gold's data for product development, model training, or aggregated benchmarking without explicit written consent.</w:t>
      </w:r>
    </w:p>
    <w:p>
      <w:pPr>
        <w:pStyle w:val="Compact"/>
        <w:numPr>
          <w:ilvl w:val="0"/>
          <w:numId w:val="1008"/>
        </w:numPr>
      </w:pPr>
      <w:r>
        <w:rPr>
          <w:b/>
          <w:bCs/>
        </w:rPr>
        <w:t xml:space="preserve">7.2 Termination &amp; data return.</w:t>
      </w:r>
      <w:r>
        <w:t xml:space="preserve"> </w:t>
      </w:r>
      <w:r>
        <w:t xml:space="preserve">On termination for any reason, the vendor returns all data in agreed formats within a defined window and cooperates with the successor system at agreed rates.</w:t>
      </w:r>
    </w:p>
    <w:p>
      <w:pPr>
        <w:pStyle w:val="Compact"/>
        <w:numPr>
          <w:ilvl w:val="0"/>
          <w:numId w:val="1008"/>
        </w:numPr>
      </w:pPr>
      <w:r>
        <w:rPr>
          <w:b/>
          <w:bCs/>
        </w:rPr>
        <w:t xml:space="preserve">7.3 IP &amp; confidentiality.</w:t>
      </w:r>
      <w:r>
        <w:t xml:space="preserve"> </w:t>
      </w:r>
      <w:r>
        <w:t xml:space="preserve">Mutual confidentiality (the executed NDA survives). Gold's brand, franchise-network composition, and member-level data are Gold's confidential information regardless of how accessed.</w:t>
      </w:r>
    </w:p>
    <w:p>
      <w:pPr>
        <w:pStyle w:val="Compact"/>
        <w:numPr>
          <w:ilvl w:val="0"/>
          <w:numId w:val="1008"/>
        </w:numPr>
      </w:pPr>
      <w:r>
        <w:rPr>
          <w:b/>
          <w:bCs/>
        </w:rPr>
        <w:t xml:space="preserve">7.4 Indemnification &amp; liability.</w:t>
      </w:r>
      <w:r>
        <w:t xml:space="preserve"> </w:t>
      </w:r>
      <w:r>
        <w:t xml:space="preserve">Standard commercial terms; security-breach indemnification carved out from any general liability cap.</w:t>
      </w:r>
    </w:p>
    <w:p>
      <w:pPr>
        <w:pStyle w:val="Compact"/>
        <w:numPr>
          <w:ilvl w:val="0"/>
          <w:numId w:val="1008"/>
        </w:numPr>
      </w:pPr>
      <w:r>
        <w:rPr>
          <w:b/>
          <w:bCs/>
        </w:rPr>
        <w:t xml:space="preserve">7.5 Renewal &amp; pricing.</w:t>
      </w:r>
      <w:r>
        <w:t xml:space="preserve"> </w:t>
      </w:r>
      <w:r>
        <w:t xml:space="preserve">Renewal mechanics, escalator caps (per §4.7), and Gold's right to re-bid at end of term without penalty.</w:t>
      </w:r>
    </w:p>
    <w:p>
      <w:pPr>
        <w:pStyle w:val="Compact"/>
        <w:numPr>
          <w:ilvl w:val="0"/>
          <w:numId w:val="1008"/>
        </w:numPr>
      </w:pPr>
      <w:r>
        <w:rPr>
          <w:b/>
          <w:bCs/>
        </w:rPr>
        <w:t xml:space="preserve">7.6 API &amp; integration access protections.</w:t>
      </w:r>
      <w:r>
        <w:t xml:space="preserve"> </w:t>
      </w:r>
      <w:r>
        <w:t xml:space="preserve">API pricing, rate limits, webhook coverage, and integration-marketplace policies cannot be unilaterally degraded during the term; material changes require advance notice and mutual agreement.</w:t>
      </w:r>
    </w:p>
    <w:p>
      <w:pPr>
        <w:pStyle w:val="Compact"/>
        <w:numPr>
          <w:ilvl w:val="0"/>
          <w:numId w:val="1008"/>
        </w:numPr>
      </w:pPr>
      <w:r>
        <w:rPr>
          <w:b/>
          <w:bCs/>
        </w:rPr>
        <w:t xml:space="preserve">7.7 Product continuity &amp; no forced migration.</w:t>
      </w:r>
      <w:r>
        <w:t xml:space="preserve"> </w:t>
      </w:r>
      <w:r>
        <w:t xml:space="preserve">The vendor will not sunset the contracted platform, or migrate/consolidate Gold's onto a different platform, without (a) Gold's prior written consent; (b) advance notice of no less than [12 months — counsel to set]; (c) feature and data parity on any successor platform, with migration performed and</w:t>
      </w:r>
      <w:r>
        <w:t xml:space="preserve"> </w:t>
      </w:r>
      <w:r>
        <w:rPr>
          <w:b/>
          <w:bCs/>
        </w:rPr>
        <w:t xml:space="preserve">funded by the vendor</w:t>
      </w:r>
      <w:r>
        <w:t xml:space="preserve">; and (d) Gold's right, if it does not consent to the destination platform, to terminate without penalty and receive full data return and migration cooperation per §7.2. The sunset/continuity representations from RFI §12.6 are incorporated by reference; a material omission is a breach. Price, SLA, and continuity protections survive on any successor platform.</w:t>
      </w:r>
    </w:p>
    <w:p>
      <w:pPr>
        <w:pStyle w:val="BlockText"/>
      </w:pPr>
      <w:r>
        <w:t xml:space="preserve">🔧</w:t>
      </w:r>
      <w:r>
        <w:t xml:space="preserve"> </w:t>
      </w:r>
      <w:r>
        <w:rPr>
          <w:b/>
          <w:bCs/>
        </w:rPr>
        <w:t xml:space="preserve">[BUSINESS GROUP TO DEFINE — LT / counsel]:</w:t>
      </w:r>
      <w:r>
        <w:t xml:space="preserve"> </w:t>
      </w:r>
      <w:r>
        <w:t xml:space="preserve">Final contract language, the §7.7 notice period, liability caps, and any required clauses.</w:t>
      </w:r>
    </w:p>
    <w:p>
      <w:r>
        <w:pict>
          <v:rect style="width:0;height:1.5pt" o:hralign="center" o:hrstd="t" o:hr="t"/>
        </w:pict>
      </w:r>
    </w:p>
    <w:bookmarkEnd w:id="22"/>
    <w:bookmarkStart w:id="23" w:name="X249fb8bae047cee94528dc771070967623f0ac5"/>
    <w:p>
      <w:pPr>
        <w:pStyle w:val="Heading2"/>
      </w:pPr>
      <w:r>
        <w:t xml:space="preserve">8. Vendor Qualifications &amp; References (Confirmation)</w:t>
      </w:r>
    </w:p>
    <w:p>
      <w:pPr>
        <w:pStyle w:val="FirstParagraph"/>
      </w:pPr>
      <w:r>
        <w:t xml:space="preserve">Most of this was gathered in RFI §12. At the RFP stage,</w:t>
      </w:r>
      <w:r>
        <w:t xml:space="preserve"> </w:t>
      </w:r>
      <w:r>
        <w:rPr>
          <w:b/>
          <w:bCs/>
        </w:rPr>
        <w:t xml:space="preserve">confirm and update</w:t>
      </w:r>
      <w:r>
        <w:t xml:space="preserve">:</w:t>
      </w:r>
    </w:p>
    <w:p>
      <w:pPr>
        <w:pStyle w:val="Compact"/>
        <w:numPr>
          <w:ilvl w:val="0"/>
          <w:numId w:val="1009"/>
        </w:numPr>
      </w:pPr>
      <w:r>
        <w:rPr>
          <w:b/>
          <w:bCs/>
        </w:rPr>
        <w:t xml:space="preserve">8.1 Financial stability.</w:t>
      </w:r>
      <w:r>
        <w:t xml:space="preserve"> </w:t>
      </w:r>
      <w:r>
        <w:t xml:space="preserve">Current evidence (statements, ratings, or equivalent under NDA) sufficient for a five-year commitment.</w:t>
      </w:r>
    </w:p>
    <w:p>
      <w:pPr>
        <w:pStyle w:val="Compact"/>
        <w:numPr>
          <w:ilvl w:val="0"/>
          <w:numId w:val="1009"/>
        </w:numPr>
      </w:pPr>
      <w:r>
        <w:rPr>
          <w:b/>
          <w:bCs/>
        </w:rPr>
        <w:t xml:space="preserve">8.2 References — contactable.</w:t>
      </w:r>
      <w:r>
        <w:t xml:space="preserve"> </w:t>
      </w:r>
      <w:r>
        <w:t xml:space="preserve">At least three customer references, including one comparable in scale (~400+ locations) or franchise model, with names and contact details. Gold's will contact them.</w:t>
      </w:r>
    </w:p>
    <w:p>
      <w:pPr>
        <w:pStyle w:val="Compact"/>
        <w:numPr>
          <w:ilvl w:val="0"/>
          <w:numId w:val="1009"/>
        </w:numPr>
      </w:pPr>
      <w:r>
        <w:rPr>
          <w:b/>
          <w:bCs/>
        </w:rPr>
        <w:t xml:space="preserve">8.3 Implementation team — named.</w:t>
      </w:r>
      <w:r>
        <w:t xml:space="preserve"> </w:t>
      </w:r>
      <w:r>
        <w:t xml:space="preserve">The actual team to be assigned, with continuity commitment through go-live (ties to §6.5).</w:t>
      </w:r>
    </w:p>
    <w:p>
      <w:pPr>
        <w:pStyle w:val="Compact"/>
        <w:numPr>
          <w:ilvl w:val="0"/>
          <w:numId w:val="1009"/>
        </w:numPr>
      </w:pPr>
      <w:r>
        <w:rPr>
          <w:b/>
          <w:bCs/>
        </w:rPr>
        <w:t xml:space="preserve">8.4 Continuity &amp; roadmap confirmation.</w:t>
      </w:r>
      <w:r>
        <w:t xml:space="preserve"> </w:t>
      </w:r>
      <w:r>
        <w:t xml:space="preserve">Reconfirm the RFI §12.5 roadmap and §12.6 sunset/migration disclosures as current and binding as of this proposal.</w:t>
      </w:r>
    </w:p>
    <w:p>
      <w:r>
        <w:pict>
          <v:rect style="width:0;height:1.5pt" o:hralign="center" o:hrstd="t" o:hr="t"/>
        </w:pict>
      </w:r>
    </w:p>
    <w:bookmarkEnd w:id="23"/>
    <w:bookmarkStart w:id="28" w:name="X279f9da1ad7476eadaeaae5ac6fd75c318cfcc6"/>
    <w:p>
      <w:pPr>
        <w:pStyle w:val="Heading2"/>
      </w:pPr>
      <w:r>
        <w:t xml:space="preserve">9. Submission Process</w:t>
      </w:r>
    </w:p>
    <w:bookmarkStart w:id="24" w:name="X569958bbe38730eb810cd8736d7cbaa722af350"/>
    <w:p>
      <w:pPr>
        <w:pStyle w:val="Heading3"/>
      </w:pPr>
      <w:r>
        <w:t xml:space="preserve">9.1 Validity &amp; Timeline</w:t>
      </w:r>
    </w:p>
    <w:p>
      <w:pPr>
        <w:pStyle w:val="FirstParagraph"/>
      </w:pPr>
      <w:r>
        <w:t xml:space="preserve">Proposals remain valid for</w:t>
      </w:r>
      <w:r>
        <w:t xml:space="preserve"> </w:t>
      </w:r>
      <w:r>
        <w:rPr>
          <w:b/>
          <w:bCs/>
        </w:rPr>
        <w:t xml:space="preserve">[90 days — Gold's to set]</w:t>
      </w:r>
      <w:r>
        <w:t xml:space="preserve"> </w:t>
      </w:r>
      <w:r>
        <w:t xml:space="preserve">from the due date.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Milestone</w:t>
            </w:r>
          </w:p>
        </w:tc>
        <w:tc>
          <w:tcPr/>
          <w:p>
            <w:pPr>
              <w:pStyle w:val="Compact"/>
            </w:pPr>
            <w:r>
              <w:t xml:space="preserve">Date</w:t>
            </w:r>
          </w:p>
        </w:tc>
      </w:tr>
      <w:tr>
        <w:tc>
          <w:tcPr/>
          <w:p>
            <w:pPr>
              <w:pStyle w:val="Compact"/>
            </w:pPr>
            <w:r>
              <w:t xml:space="preserve">RFP issued to finalists</w:t>
            </w:r>
          </w:p>
        </w:tc>
        <w:tc>
          <w:tcPr/>
          <w:p>
            <w:pPr>
              <w:pStyle w:val="Compact"/>
            </w:pPr>
            <w:r>
              <w:t xml:space="preserve">[date: Gold's to set]</w:t>
            </w:r>
          </w:p>
        </w:tc>
      </w:tr>
      <w:tr>
        <w:tc>
          <w:tcPr/>
          <w:p>
            <w:pPr>
              <w:pStyle w:val="Compact"/>
            </w:pPr>
            <w:r>
              <w:t xml:space="preserve">Written Q&amp;A window opens / closes</w:t>
            </w:r>
          </w:p>
        </w:tc>
        <w:tc>
          <w:tcPr/>
          <w:p>
            <w:pPr>
              <w:pStyle w:val="Compact"/>
            </w:pPr>
            <w:r>
              <w:t xml:space="preserve">[dates: Gold's to set]</w:t>
            </w:r>
          </w:p>
        </w:tc>
      </w:tr>
      <w:tr>
        <w:tc>
          <w:tcPr/>
          <w:p>
            <w:pPr>
              <w:pStyle w:val="Compact"/>
            </w:pPr>
            <w:r>
              <w:t xml:space="preserve">Proposals due</w:t>
            </w:r>
          </w:p>
        </w:tc>
        <w:tc>
          <w:tcPr/>
          <w:p>
            <w:pPr>
              <w:pStyle w:val="Compact"/>
            </w:pPr>
            <w:r>
              <w:t xml:space="preserve">[date: Gold's to set — propose ~3 weeks from issue]</w:t>
            </w:r>
          </w:p>
        </w:tc>
      </w:tr>
      <w:tr>
        <w:tc>
          <w:tcPr/>
          <w:p>
            <w:pPr>
              <w:pStyle w:val="Compact"/>
            </w:pPr>
            <w:r>
              <w:t xml:space="preserve">Proof-of-capability demonstrations (if not completed at RFI stage)</w:t>
            </w:r>
          </w:p>
        </w:tc>
        <w:tc>
          <w:tcPr/>
          <w:p>
            <w:pPr>
              <w:pStyle w:val="Compact"/>
            </w:pPr>
            <w:r>
              <w:t xml:space="preserve">[window: Gold's to set]</w:t>
            </w:r>
          </w:p>
        </w:tc>
      </w:tr>
      <w:tr>
        <w:tc>
          <w:tcPr/>
          <w:p>
            <w:pPr>
              <w:pStyle w:val="Compact"/>
            </w:pPr>
            <w:r>
              <w:t xml:space="preserve">Reference checks</w:t>
            </w:r>
          </w:p>
        </w:tc>
        <w:tc>
          <w:tcPr/>
          <w:p>
            <w:pPr>
              <w:pStyle w:val="Compact"/>
            </w:pPr>
            <w:r>
              <w:t xml:space="preserve">[window: Gold's to set]</w:t>
            </w:r>
          </w:p>
        </w:tc>
      </w:tr>
      <w:tr>
        <w:tc>
          <w:tcPr/>
          <w:p>
            <w:pPr>
              <w:pStyle w:val="Compact"/>
            </w:pPr>
            <w:r>
              <w:t xml:space="preserve">Selection / notice of intent</w:t>
            </w:r>
          </w:p>
        </w:tc>
        <w:tc>
          <w:tcPr/>
          <w:p>
            <w:pPr>
              <w:pStyle w:val="Compact"/>
            </w:pPr>
            <w:r>
              <w:t xml:space="preserve">[date: Gold's to set]</w:t>
            </w:r>
          </w:p>
        </w:tc>
      </w:tr>
      <w:tr>
        <w:tc>
          <w:tcPr/>
          <w:p>
            <w:pPr>
              <w:pStyle w:val="Compact"/>
            </w:pPr>
            <w:r>
              <w:t xml:space="preserve">Contract negotiation</w:t>
            </w:r>
          </w:p>
        </w:tc>
        <w:tc>
          <w:tcPr/>
          <w:p>
            <w:pPr>
              <w:pStyle w:val="Compact"/>
            </w:pPr>
            <w:r>
              <w:t xml:space="preserve">[window: Gold's to set]</w:t>
            </w:r>
          </w:p>
        </w:tc>
      </w:tr>
      <w:tr>
        <w:tc>
          <w:tcPr/>
          <w:p>
            <w:pPr>
              <w:pStyle w:val="Compact"/>
            </w:pPr>
            <w:r>
              <w:t xml:space="preserve">Implementation kickoff</w:t>
            </w:r>
          </w:p>
        </w:tc>
        <w:tc>
          <w:tcPr/>
          <w:p>
            <w:pPr>
              <w:pStyle w:val="Compact"/>
            </w:pPr>
            <w:r>
              <w:t xml:space="preserve">[date: Gold's to set]</w:t>
            </w:r>
          </w:p>
        </w:tc>
      </w:tr>
    </w:tbl>
    <w:bookmarkEnd w:id="24"/>
    <w:bookmarkStart w:id="25" w:name="X9dbb3b1c2e6a9b8d93286855f592c32a88aa9b3"/>
    <w:p>
      <w:pPr>
        <w:pStyle w:val="Heading3"/>
      </w:pPr>
      <w:r>
        <w:t xml:space="preserve">9.2 Response Format</w:t>
      </w:r>
    </w:p>
    <w:p>
      <w:pPr>
        <w:pStyle w:val="FirstParagraph"/>
      </w:pPr>
      <w:r>
        <w:t xml:space="preserve">Two separate documents: (1) Commercial Proposal with the completed pricing workbook (Appendix A); (2) Compliance &amp; Terms Response with the mandatory-requirements confirmation (Appendix B) and contract-terms acceptance matrix (Appendix C). Reference RFI section numbers rather than restating functional content.</w:t>
      </w:r>
    </w:p>
    <w:bookmarkEnd w:id="25"/>
    <w:bookmarkStart w:id="26" w:name="X99db53aefb3464a653a40774564f766dd87b49b"/>
    <w:p>
      <w:pPr>
        <w:pStyle w:val="Heading3"/>
      </w:pPr>
      <w:r>
        <w:t xml:space="preserve">9.3 Q&amp;A Protocol</w:t>
      </w:r>
    </w:p>
    <w:p>
      <w:pPr>
        <w:pStyle w:val="FirstParagraph"/>
      </w:pPr>
      <w:r>
        <w:t xml:space="preserve">Written questions only, to the single point of contact. All questions and answers are redistributed to all finalist vendors. No side conversations or sales outreach to other Gold's stakeholders during the response window.</w:t>
      </w:r>
    </w:p>
    <w:bookmarkEnd w:id="26"/>
    <w:bookmarkStart w:id="27" w:name="X7b4a71c54bc45520e683d286eea50668e53012a"/>
    <w:p>
      <w:pPr>
        <w:pStyle w:val="Heading3"/>
      </w:pPr>
      <w:r>
        <w:t xml:space="preserve">9.4 Submission Method</w:t>
      </w:r>
    </w:p>
    <w:p>
      <w:pPr>
        <w:pStyle w:val="FirstParagraph"/>
      </w:pPr>
      <w:r>
        <w:t xml:space="preserve">[Secure portal or designated email — Gold's to set.]</w:t>
      </w:r>
    </w:p>
    <w:p>
      <w:r>
        <w:pict>
          <v:rect style="width:0;height:1.5pt" o:hralign="center" o:hrstd="t" o:hr="t"/>
        </w:pict>
      </w:r>
    </w:p>
    <w:bookmarkEnd w:id="27"/>
    <w:bookmarkEnd w:id="28"/>
    <w:bookmarkStart w:id="29" w:name="X3c31d08dc1b9c12e79992fbfdf41509c7713194"/>
    <w:p>
      <w:pPr>
        <w:pStyle w:val="Heading2"/>
      </w:pPr>
      <w:r>
        <w:t xml:space="preserve">10. Evaluation &amp; Award</w:t>
      </w:r>
    </w:p>
    <w:p>
      <w:pPr>
        <w:pStyle w:val="FirstParagraph"/>
      </w:pPr>
      <w:r>
        <w:t xml:space="preserve">Gold's will evaluate binding proposals against the factors below. The weighting deliberately favors integration, data control, and continuity over feature breadth and headline price.</w:t>
      </w:r>
      <w:r>
        <w:t xml:space="preserve"> </w:t>
      </w:r>
      <w:r>
        <w:rPr>
          <w:b/>
          <w:bCs/>
        </w:rPr>
        <w:t xml:space="preserve">Detailed scoring weights are maintained internally</w:t>
      </w:r>
      <w:r>
        <w:t xml:space="preserve"> </w:t>
      </w:r>
      <w:r>
        <w:t xml:space="preserve">(</w:t>
      </w:r>
      <w:r>
        <w:rPr>
          <w:rStyle w:val="VerbatimChar"/>
        </w:rPr>
        <w:t xml:space="preserve">2026-05-20-gg-mms-evaluation-rubric-internal.md</w:t>
      </w:r>
      <w:r>
        <w:t xml:space="preserve">) and are not published in this RFP.</w:t>
      </w:r>
    </w:p>
    <w:p>
      <w:pPr>
        <w:pStyle w:val="BodyText"/>
      </w:pPr>
      <w:r>
        <w:t xml:space="preserve">Evaluation factors:</w:t>
      </w:r>
    </w:p>
    <w:p>
      <w:pPr>
        <w:pStyle w:val="Compact"/>
        <w:numPr>
          <w:ilvl w:val="0"/>
          <w:numId w:val="1010"/>
        </w:numPr>
      </w:pPr>
      <w:r>
        <w:rPr>
          <w:b/>
          <w:bCs/>
        </w:rPr>
        <w:t xml:space="preserve">Commercial value</w:t>
      </w:r>
      <w:r>
        <w:t xml:space="preserve"> </w:t>
      </w:r>
      <w:r>
        <w:t xml:space="preserve">— total five-year TCO, pricing transparency, completeness (no hidden fees), volume incentives, tech-fee/revenue-share, and API economics.</w:t>
      </w:r>
    </w:p>
    <w:p>
      <w:pPr>
        <w:pStyle w:val="Compact"/>
        <w:numPr>
          <w:ilvl w:val="0"/>
          <w:numId w:val="1010"/>
        </w:numPr>
      </w:pPr>
      <w:r>
        <w:rPr>
          <w:b/>
          <w:bCs/>
        </w:rPr>
        <w:t xml:space="preserve">Mandatory-requirement compliance</w:t>
      </w:r>
      <w:r>
        <w:t xml:space="preserve"> </w:t>
      </w:r>
      <w:r>
        <w:t xml:space="preserve">— full vs. partial, and the credibility of any remediation commitments.</w:t>
      </w:r>
    </w:p>
    <w:p>
      <w:pPr>
        <w:pStyle w:val="Compact"/>
        <w:numPr>
          <w:ilvl w:val="0"/>
          <w:numId w:val="1010"/>
        </w:numPr>
      </w:pPr>
      <w:r>
        <w:rPr>
          <w:b/>
          <w:bCs/>
        </w:rPr>
        <w:t xml:space="preserve">Data ownership &amp; continuity</w:t>
      </w:r>
      <w:r>
        <w:t xml:space="preserve"> </w:t>
      </w:r>
      <w:r>
        <w:t xml:space="preserve">— contractual data ownership, portability, and the strength of the §7.7 no-forced-migration protections.</w:t>
      </w:r>
    </w:p>
    <w:p>
      <w:pPr>
        <w:pStyle w:val="Compact"/>
        <w:numPr>
          <w:ilvl w:val="0"/>
          <w:numId w:val="1010"/>
        </w:numPr>
      </w:pPr>
      <w:r>
        <w:rPr>
          <w:b/>
          <w:bCs/>
        </w:rPr>
        <w:t xml:space="preserve">Reliability &amp; SLA</w:t>
      </w:r>
      <w:r>
        <w:t xml:space="preserve"> </w:t>
      </w:r>
      <w:r>
        <w:t xml:space="preserve">— committed uptime, severity response/resolution, DR, and credits.</w:t>
      </w:r>
    </w:p>
    <w:p>
      <w:pPr>
        <w:pStyle w:val="Compact"/>
        <w:numPr>
          <w:ilvl w:val="0"/>
          <w:numId w:val="1010"/>
        </w:numPr>
      </w:pPr>
      <w:r>
        <w:rPr>
          <w:b/>
          <w:bCs/>
        </w:rPr>
        <w:t xml:space="preserve">Implementation confidence</w:t>
      </w:r>
      <w:r>
        <w:t xml:space="preserve"> </w:t>
      </w:r>
      <w:r>
        <w:t xml:space="preserve">— resourced plan, named-team continuity, migration rigor, and comparable-scale references.</w:t>
      </w:r>
    </w:p>
    <w:p>
      <w:pPr>
        <w:pStyle w:val="Compact"/>
        <w:numPr>
          <w:ilvl w:val="0"/>
          <w:numId w:val="1010"/>
        </w:numPr>
      </w:pPr>
      <w:r>
        <w:rPr>
          <w:b/>
          <w:bCs/>
        </w:rPr>
        <w:t xml:space="preserve">Contract terms</w:t>
      </w:r>
      <w:r>
        <w:t xml:space="preserve"> </w:t>
      </w:r>
      <w:r>
        <w:t xml:space="preserve">— acceptance of Gold's terms (§7) vs. extent of qualification required.</w:t>
      </w:r>
    </w:p>
    <w:p>
      <w:pPr>
        <w:pStyle w:val="Compact"/>
        <w:numPr>
          <w:ilvl w:val="0"/>
          <w:numId w:val="1010"/>
        </w:numPr>
      </w:pPr>
      <w:r>
        <w:rPr>
          <w:b/>
          <w:bCs/>
        </w:rPr>
        <w:t xml:space="preserve">Demonstrated capability</w:t>
      </w:r>
      <w:r>
        <w:t xml:space="preserve"> </w:t>
      </w:r>
      <w:r>
        <w:t xml:space="preserve">— evidence from proof-of-capability demonstrations and reference checks.</w:t>
      </w:r>
    </w:p>
    <w:p>
      <w:pPr>
        <w:pStyle w:val="FirstParagraph"/>
      </w:pPr>
      <w:r>
        <w:t xml:space="preserve">Process: proposal review → reference checks → demonstrations (if outstanding) → selection → contract negotiation. Gold's reserves the right to negotiate with one or more finalists and to decline all proposals.</w:t>
      </w:r>
    </w:p>
    <w:p>
      <w:r>
        <w:pict>
          <v:rect style="width:0;height:1.5pt" o:hralign="center" o:hrstd="t" o:hr="t"/>
        </w:pict>
      </w:r>
    </w:p>
    <w:bookmarkEnd w:id="29"/>
    <w:bookmarkStart w:id="33" w:name="appendices"/>
    <w:p>
      <w:pPr>
        <w:pStyle w:val="Heading2"/>
      </w:pPr>
      <w:r>
        <w:t xml:space="preserve">Appendices</w:t>
      </w:r>
    </w:p>
    <w:bookmarkStart w:id="30" w:name="appendix-a--pricing-workbook-template"/>
    <w:p>
      <w:pPr>
        <w:pStyle w:val="Heading3"/>
      </w:pPr>
      <w:r>
        <w:t xml:space="preserve">Appendix A — Pricing Workbook (Template)</w:t>
      </w:r>
    </w:p>
    <w:p>
      <w:pPr>
        <w:pStyle w:val="FirstParagraph"/>
      </w:pPr>
      <w:r>
        <w:t xml:space="preserve">Vendors complete an editable workbook capturing every fee component for an apples-to-apples comparison: recurring fees (per-location, per-member, per-transaction, support tier), one-time fees (implementation, integration, migration, training), optional/menu items, volume-discount curve, escalator terms, and five-year TCO at Gold's stated assumptions.</w:t>
      </w:r>
    </w:p>
    <w:p>
      <w:pPr>
        <w:pStyle w:val="BlockText"/>
      </w:pPr>
      <w:r>
        <w:t xml:space="preserve">🔧</w:t>
      </w:r>
      <w:r>
        <w:t xml:space="preserve"> </w:t>
      </w:r>
      <w:r>
        <w:rPr>
          <w:b/>
          <w:bCs/>
        </w:rPr>
        <w:t xml:space="preserve">[BUSINESS GROUP TO DEFINE — Finance &amp; Billing]:</w:t>
      </w:r>
      <w:r>
        <w:t xml:space="preserve"> </w:t>
      </w:r>
      <w:r>
        <w:t xml:space="preserve">Final workbook columns, assumption set, and TCO horizon.</w:t>
      </w:r>
    </w:p>
    <w:bookmarkEnd w:id="30"/>
    <w:bookmarkStart w:id="31" w:name="X579578e4c092ee10ed75f7e9a5f1ed75bccc0f5"/>
    <w:p>
      <w:pPr>
        <w:pStyle w:val="Heading3"/>
      </w:pPr>
      <w:r>
        <w:t xml:space="preserve">Appendix B — Mandatory Requirements Confirmation</w:t>
      </w:r>
    </w:p>
    <w:p>
      <w:pPr>
        <w:pStyle w:val="FirstParagraph"/>
      </w:pPr>
      <w:r>
        <w:t xml:space="preserve">Mark</w:t>
      </w:r>
      <w:r>
        <w:t xml:space="preserve"> </w:t>
      </w:r>
      <w:r>
        <w:rPr>
          <w:b/>
          <w:bCs/>
        </w:rPr>
        <w:t xml:space="preserve">Full / Partial / No</w:t>
      </w:r>
      <w:r>
        <w:t xml:space="preserve"> </w:t>
      </w:r>
      <w:r>
        <w:t xml:space="preserve">with a brief note and, for "Partial," a dated remediation commitment.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Requirement</w:t>
            </w:r>
          </w:p>
        </w:tc>
        <w:tc>
          <w:tcPr/>
          <w:p>
            <w:pPr>
              <w:pStyle w:val="Compact"/>
            </w:pPr>
            <w:r>
              <w:t xml:space="preserve">Full / Partial / No</w:t>
            </w:r>
          </w:p>
        </w:tc>
        <w:tc>
          <w:tcPr/>
          <w:p>
            <w:pPr>
              <w:pStyle w:val="Compact"/>
            </w:pPr>
            <w:r>
              <w:t xml:space="preserve">Notes / remediation date</w:t>
            </w:r>
          </w:p>
        </w:tc>
      </w:tr>
      <w:tr>
        <w:tc>
          <w:tcPr/>
          <w:p>
            <w:pPr>
              <w:pStyle w:val="Compact"/>
            </w:pPr>
            <w:r>
              <w:t xml:space="preserve">3.1</w:t>
            </w:r>
          </w:p>
        </w:tc>
        <w:tc>
          <w:tcPr/>
          <w:p>
            <w:pPr>
              <w:pStyle w:val="Compact"/>
            </w:pPr>
            <w:r>
              <w:t xml:space="preserve">Full data ownership (contractual)</w:t>
            </w:r>
          </w:p>
        </w:tc>
        <w:tc>
          <w:tcPr/>
          <w:p>
            <w:pPr>
              <w:pStyle w:val="Compact"/>
            </w:pPr>
          </w:p>
        </w:tc>
        <w:tc>
          <w:tcPr/>
          <w:p>
            <w:pPr>
              <w:pStyle w:val="Compact"/>
            </w:pPr>
          </w:p>
        </w:tc>
      </w:tr>
      <w:tr>
        <w:tc>
          <w:tcPr/>
          <w:p>
            <w:pPr>
              <w:pStyle w:val="Compact"/>
            </w:pPr>
            <w:r>
              <w:t xml:space="preserve">3.2</w:t>
            </w:r>
          </w:p>
        </w:tc>
        <w:tc>
          <w:tcPr/>
          <w:p>
            <w:pPr>
              <w:pStyle w:val="Compact"/>
            </w:pPr>
            <w:r>
              <w:t xml:space="preserve">Real-time API access (REST + webhooks)</w:t>
            </w:r>
          </w:p>
        </w:tc>
        <w:tc>
          <w:tcPr/>
          <w:p>
            <w:pPr>
              <w:pStyle w:val="Compact"/>
            </w:pPr>
          </w:p>
        </w:tc>
        <w:tc>
          <w:tcPr/>
          <w:p>
            <w:pPr>
              <w:pStyle w:val="Compact"/>
            </w:pPr>
          </w:p>
        </w:tc>
      </w:tr>
      <w:tr>
        <w:tc>
          <w:tcPr/>
          <w:p>
            <w:pPr>
              <w:pStyle w:val="Compact"/>
            </w:pPr>
            <w:r>
              <w:t xml:space="preserve">3.3</w:t>
            </w:r>
          </w:p>
        </w:tc>
        <w:tc>
          <w:tcPr/>
          <w:p>
            <w:pPr>
              <w:pStyle w:val="Compact"/>
            </w:pPr>
            <w:r>
              <w:t xml:space="preserve">Multi-location franchise architecture (native)</w:t>
            </w:r>
          </w:p>
        </w:tc>
        <w:tc>
          <w:tcPr/>
          <w:p>
            <w:pPr>
              <w:pStyle w:val="Compact"/>
            </w:pPr>
          </w:p>
        </w:tc>
        <w:tc>
          <w:tcPr/>
          <w:p>
            <w:pPr>
              <w:pStyle w:val="Compact"/>
            </w:pPr>
          </w:p>
        </w:tc>
      </w:tr>
      <w:tr>
        <w:tc>
          <w:tcPr/>
          <w:p>
            <w:pPr>
              <w:pStyle w:val="Compact"/>
            </w:pPr>
            <w:r>
              <w:t xml:space="preserve">3.4</w:t>
            </w:r>
          </w:p>
        </w:tc>
        <w:tc>
          <w:tcPr/>
          <w:p>
            <w:pPr>
              <w:pStyle w:val="Compact"/>
            </w:pPr>
            <w:r>
              <w:t xml:space="preserve">Documented data export &amp; migration</w:t>
            </w:r>
          </w:p>
        </w:tc>
        <w:tc>
          <w:tcPr/>
          <w:p>
            <w:pPr>
              <w:pStyle w:val="Compact"/>
            </w:pPr>
          </w:p>
        </w:tc>
        <w:tc>
          <w:tcPr/>
          <w:p>
            <w:pPr>
              <w:pStyle w:val="Compact"/>
            </w:pPr>
          </w:p>
        </w:tc>
      </w:tr>
      <w:tr>
        <w:tc>
          <w:tcPr/>
          <w:p>
            <w:pPr>
              <w:pStyle w:val="Compact"/>
            </w:pPr>
            <w:r>
              <w:t xml:space="preserve">3.5</w:t>
            </w:r>
          </w:p>
        </w:tc>
        <w:tc>
          <w:tcPr/>
          <w:p>
            <w:pPr>
              <w:pStyle w:val="Compact"/>
            </w:pPr>
            <w:r>
              <w:t xml:space="preserve">U.S. market support</w:t>
            </w:r>
          </w:p>
        </w:tc>
        <w:tc>
          <w:tcPr/>
          <w:p>
            <w:pPr>
              <w:pStyle w:val="Compact"/>
            </w:pPr>
          </w:p>
        </w:tc>
        <w:tc>
          <w:tcPr/>
          <w:p>
            <w:pPr>
              <w:pStyle w:val="Compact"/>
            </w:pPr>
          </w:p>
        </w:tc>
      </w:tr>
      <w:tr>
        <w:tc>
          <w:tcPr/>
          <w:p>
            <w:pPr>
              <w:pStyle w:val="Compact"/>
            </w:pPr>
            <w:r>
              <w:t xml:space="preserve">3.6</w:t>
            </w:r>
          </w:p>
        </w:tc>
        <w:tc>
          <w:tcPr/>
          <w:p>
            <w:pPr>
              <w:pStyle w:val="Compact"/>
            </w:pPr>
            <w:r>
              <w:t xml:space="preserve">POS / retail integrated or tightly coupled</w:t>
            </w:r>
          </w:p>
        </w:tc>
        <w:tc>
          <w:tcPr/>
          <w:p>
            <w:pPr>
              <w:pStyle w:val="Compact"/>
            </w:pPr>
          </w:p>
        </w:tc>
        <w:tc>
          <w:tcPr/>
          <w:p>
            <w:pPr>
              <w:pStyle w:val="Compact"/>
            </w:pPr>
          </w:p>
        </w:tc>
      </w:tr>
      <w:tr>
        <w:tc>
          <w:tcPr/>
          <w:p>
            <w:pPr>
              <w:pStyle w:val="Compact"/>
            </w:pPr>
            <w:r>
              <w:t xml:space="preserve">3.7</w:t>
            </w:r>
          </w:p>
        </w:tc>
        <w:tc>
          <w:tcPr/>
          <w:p>
            <w:pPr>
              <w:pStyle w:val="Compact"/>
            </w:pPr>
            <w:r>
              <w:t xml:space="preserve">Open ecosystem / headless compatibility</w:t>
            </w:r>
          </w:p>
        </w:tc>
        <w:tc>
          <w:tcPr/>
          <w:p>
            <w:pPr>
              <w:pStyle w:val="Compact"/>
            </w:pPr>
          </w:p>
        </w:tc>
        <w:tc>
          <w:tcPr/>
          <w:p>
            <w:pPr>
              <w:pStyle w:val="Compact"/>
            </w:pPr>
          </w:p>
        </w:tc>
      </w:tr>
      <w:tr>
        <w:tc>
          <w:tcPr/>
          <w:p>
            <w:pPr>
              <w:pStyle w:val="Compact"/>
            </w:pPr>
            <w:r>
              <w:t xml:space="preserve">3.8</w:t>
            </w:r>
          </w:p>
        </w:tc>
        <w:tc>
          <w:tcPr/>
          <w:p>
            <w:pPr>
              <w:pStyle w:val="Compact"/>
            </w:pPr>
            <w:r>
              <w:t xml:space="preserve">Product continuity &amp; no forced migration</w:t>
            </w:r>
          </w:p>
        </w:tc>
        <w:tc>
          <w:tcPr/>
          <w:p>
            <w:pPr>
              <w:pStyle w:val="Compact"/>
            </w:pPr>
          </w:p>
        </w:tc>
        <w:tc>
          <w:tcPr/>
          <w:p>
            <w:pPr>
              <w:pStyle w:val="Compact"/>
            </w:pPr>
          </w:p>
        </w:tc>
      </w:tr>
    </w:tbl>
    <w:bookmarkEnd w:id="31"/>
    <w:bookmarkStart w:id="32" w:name="Xb2e1720a9930e1d9827c393e99e8f556e52dc86"/>
    <w:p>
      <w:pPr>
        <w:pStyle w:val="Heading3"/>
      </w:pPr>
      <w:r>
        <w:t xml:space="preserve">Appendix C — Contract-Terms Acceptance Matrix</w:t>
      </w:r>
    </w:p>
    <w:p>
      <w:pPr>
        <w:pStyle w:val="FirstParagraph"/>
      </w:pPr>
      <w:r>
        <w:t xml:space="preserve">For each term in §7, mark acceptance and provide proposed language where you qualify.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Term</w:t>
            </w:r>
          </w:p>
        </w:tc>
        <w:tc>
          <w:tcPr/>
          <w:p>
            <w:pPr>
              <w:pStyle w:val="Compact"/>
            </w:pPr>
            <w:r>
              <w:t xml:space="preserve">Accept / Qualify / Reject</w:t>
            </w:r>
          </w:p>
        </w:tc>
        <w:tc>
          <w:tcPr/>
          <w:p>
            <w:pPr>
              <w:pStyle w:val="Compact"/>
            </w:pPr>
            <w:r>
              <w:t xml:space="preserve">Proposed language (if qualifying)</w:t>
            </w:r>
          </w:p>
        </w:tc>
      </w:tr>
      <w:tr>
        <w:tc>
          <w:tcPr/>
          <w:p>
            <w:pPr>
              <w:pStyle w:val="Compact"/>
            </w:pPr>
            <w:r>
              <w:t xml:space="preserve">7.1</w:t>
            </w:r>
          </w:p>
        </w:tc>
        <w:tc>
          <w:tcPr/>
          <w:p>
            <w:pPr>
              <w:pStyle w:val="Compact"/>
            </w:pPr>
            <w:r>
              <w:t xml:space="preserve">Data ownership</w:t>
            </w:r>
          </w:p>
        </w:tc>
        <w:tc>
          <w:tcPr/>
          <w:p>
            <w:pPr>
              <w:pStyle w:val="Compact"/>
            </w:pPr>
          </w:p>
        </w:tc>
        <w:tc>
          <w:tcPr/>
          <w:p>
            <w:pPr>
              <w:pStyle w:val="Compact"/>
            </w:pPr>
          </w:p>
        </w:tc>
      </w:tr>
      <w:tr>
        <w:tc>
          <w:tcPr/>
          <w:p>
            <w:pPr>
              <w:pStyle w:val="Compact"/>
            </w:pPr>
            <w:r>
              <w:t xml:space="preserve">7.2</w:t>
            </w:r>
          </w:p>
        </w:tc>
        <w:tc>
          <w:tcPr/>
          <w:p>
            <w:pPr>
              <w:pStyle w:val="Compact"/>
            </w:pPr>
            <w:r>
              <w:t xml:space="preserve">Termination &amp; data return</w:t>
            </w:r>
          </w:p>
        </w:tc>
        <w:tc>
          <w:tcPr/>
          <w:p>
            <w:pPr>
              <w:pStyle w:val="Compact"/>
            </w:pPr>
          </w:p>
        </w:tc>
        <w:tc>
          <w:tcPr/>
          <w:p>
            <w:pPr>
              <w:pStyle w:val="Compact"/>
            </w:pPr>
          </w:p>
        </w:tc>
      </w:tr>
      <w:tr>
        <w:tc>
          <w:tcPr/>
          <w:p>
            <w:pPr>
              <w:pStyle w:val="Compact"/>
            </w:pPr>
            <w:r>
              <w:t xml:space="preserve">7.3</w:t>
            </w:r>
          </w:p>
        </w:tc>
        <w:tc>
          <w:tcPr/>
          <w:p>
            <w:pPr>
              <w:pStyle w:val="Compact"/>
            </w:pPr>
            <w:r>
              <w:t xml:space="preserve">IP &amp; confidentiality</w:t>
            </w:r>
          </w:p>
        </w:tc>
        <w:tc>
          <w:tcPr/>
          <w:p>
            <w:pPr>
              <w:pStyle w:val="Compact"/>
            </w:pPr>
          </w:p>
        </w:tc>
        <w:tc>
          <w:tcPr/>
          <w:p>
            <w:pPr>
              <w:pStyle w:val="Compact"/>
            </w:pPr>
          </w:p>
        </w:tc>
      </w:tr>
      <w:tr>
        <w:tc>
          <w:tcPr/>
          <w:p>
            <w:pPr>
              <w:pStyle w:val="Compact"/>
            </w:pPr>
            <w:r>
              <w:t xml:space="preserve">7.4</w:t>
            </w:r>
          </w:p>
        </w:tc>
        <w:tc>
          <w:tcPr/>
          <w:p>
            <w:pPr>
              <w:pStyle w:val="Compact"/>
            </w:pPr>
            <w:r>
              <w:t xml:space="preserve">Indemnification &amp; liability</w:t>
            </w:r>
          </w:p>
        </w:tc>
        <w:tc>
          <w:tcPr/>
          <w:p>
            <w:pPr>
              <w:pStyle w:val="Compact"/>
            </w:pPr>
          </w:p>
        </w:tc>
        <w:tc>
          <w:tcPr/>
          <w:p>
            <w:pPr>
              <w:pStyle w:val="Compact"/>
            </w:pPr>
          </w:p>
        </w:tc>
      </w:tr>
      <w:tr>
        <w:tc>
          <w:tcPr/>
          <w:p>
            <w:pPr>
              <w:pStyle w:val="Compact"/>
            </w:pPr>
            <w:r>
              <w:t xml:space="preserve">7.5</w:t>
            </w:r>
          </w:p>
        </w:tc>
        <w:tc>
          <w:tcPr/>
          <w:p>
            <w:pPr>
              <w:pStyle w:val="Compact"/>
            </w:pPr>
            <w:r>
              <w:t xml:space="preserve">Renewal &amp; pricing</w:t>
            </w:r>
          </w:p>
        </w:tc>
        <w:tc>
          <w:tcPr/>
          <w:p>
            <w:pPr>
              <w:pStyle w:val="Compact"/>
            </w:pPr>
          </w:p>
        </w:tc>
        <w:tc>
          <w:tcPr/>
          <w:p>
            <w:pPr>
              <w:pStyle w:val="Compact"/>
            </w:pPr>
          </w:p>
        </w:tc>
      </w:tr>
      <w:tr>
        <w:tc>
          <w:tcPr/>
          <w:p>
            <w:pPr>
              <w:pStyle w:val="Compact"/>
            </w:pPr>
            <w:r>
              <w:t xml:space="preserve">7.6</w:t>
            </w:r>
          </w:p>
        </w:tc>
        <w:tc>
          <w:tcPr/>
          <w:p>
            <w:pPr>
              <w:pStyle w:val="Compact"/>
            </w:pPr>
            <w:r>
              <w:t xml:space="preserve">API &amp; integration access protections</w:t>
            </w:r>
          </w:p>
        </w:tc>
        <w:tc>
          <w:tcPr/>
          <w:p>
            <w:pPr>
              <w:pStyle w:val="Compact"/>
            </w:pPr>
          </w:p>
        </w:tc>
        <w:tc>
          <w:tcPr/>
          <w:p>
            <w:pPr>
              <w:pStyle w:val="Compact"/>
            </w:pPr>
          </w:p>
        </w:tc>
      </w:tr>
      <w:tr>
        <w:tc>
          <w:tcPr/>
          <w:p>
            <w:pPr>
              <w:pStyle w:val="Compact"/>
            </w:pPr>
            <w:r>
              <w:t xml:space="preserve">7.7</w:t>
            </w:r>
          </w:p>
        </w:tc>
        <w:tc>
          <w:tcPr/>
          <w:p>
            <w:pPr>
              <w:pStyle w:val="Compact"/>
            </w:pPr>
            <w:r>
              <w:t xml:space="preserve">Product continuity &amp; no forced migration</w:t>
            </w:r>
          </w:p>
        </w:tc>
        <w:tc>
          <w:tcPr/>
          <w:p>
            <w:pPr>
              <w:pStyle w:val="Compact"/>
            </w:pPr>
          </w:p>
        </w:tc>
        <w:tc>
          <w:tcPr/>
          <w:p>
            <w:pPr>
              <w:pStyle w:val="Compact"/>
            </w:pPr>
          </w:p>
        </w:tc>
      </w:tr>
    </w:tbl>
    <w:p>
      <w:r>
        <w:pict>
          <v:rect style="width:0;height:1.5pt" o:hralign="center" o:hrstd="t" o:hr="t"/>
        </w:pict>
      </w:r>
    </w:p>
    <w:p>
      <w:pPr>
        <w:pStyle w:val="FirstParagraph"/>
      </w:pPr>
      <w:r>
        <w:rPr>
          <w:i/>
          <w:iCs/>
        </w:rPr>
        <w:t xml:space="preserve">End of RFP draft. This document pairs with RFI GG-2026-MMS-RFI-001 and is issued only to finalists. Business-group callouts (🔧),</w:t>
      </w:r>
      <w:r>
        <w:rPr>
          <w:i/>
          <w:iCs/>
        </w:rPr>
        <w:t xml:space="preserve"> </w:t>
      </w:r>
      <w:r>
        <w:rPr>
          <w:rStyle w:val="VerbatimChar"/>
          <w:i/>
          <w:iCs/>
        </w:rPr>
        <w:t xml:space="preserve">[Gold's to set]</w:t>
      </w:r>
      <w:r>
        <w:rPr>
          <w:i/>
          <w:iCs/>
        </w:rPr>
        <w:t xml:space="preserve"> </w:t>
      </w:r>
      <w:r>
        <w:rPr>
          <w:i/>
          <w:iCs/>
        </w:rPr>
        <w:t xml:space="preserve">placeholders, and the §7.7 notice period are resolved with Finance and counsel before issue; the internal evaluation rubric is maintained separately.</w:t>
      </w:r>
    </w:p>
    <w:bookmarkEnd w:id="32"/>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styles" Target="styles.xml"/><Relationship Id="rId2" Type="http://schemas.openxmlformats.org/officeDocument/2006/relationships/footnotes" Target="footnotes.xml"/><Relationship Id="rId6" Type="http://schemas.openxmlformats.org/officeDocument/2006/relationships/settings" Target="settings.xml"/><Relationship Id="rId1"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2BA95BF13F2874EA53C62090463B696" ma:contentTypeVersion="10" ma:contentTypeDescription="Create a new document." ma:contentTypeScope="" ma:versionID="319caf390a3d3a21c345061350c7ab31">
  <xsd:schema xmlns:xsd="http://www.w3.org/2001/XMLSchema" xmlns:xs="http://www.w3.org/2001/XMLSchema" xmlns:p="http://schemas.microsoft.com/office/2006/metadata/properties" xmlns:ns2="45c2ad31-6081-47b0-9a1c-493171cf57bb" xmlns:ns3="f804db37-045c-4be0-9a8e-7e159ca899d9" targetNamespace="http://schemas.microsoft.com/office/2006/metadata/properties" ma:root="true" ma:fieldsID="733baaaa917cb3d5e40934a2c92a11ea" ns2:_="" ns3:_="">
    <xsd:import namespace="45c2ad31-6081-47b0-9a1c-493171cf57bb"/>
    <xsd:import namespace="f804db37-045c-4be0-9a8e-7e159ca89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c2ad31-6081-47b0-9a1c-493171cf57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7ce0a4e-5409-43ac-ba09-f48763459c2d"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04db37-045c-4be0-9a8e-7e159ca89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5615b99-3ffa-4e96-b23e-d128d3dc0517}" ma:internalName="TaxCatchAll" ma:showField="CatchAllData" ma:web="f804db37-045c-4be0-9a8e-7e159ca89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5c2ad31-6081-47b0-9a1c-493171cf57bb">
      <Terms xmlns="http://schemas.microsoft.com/office/infopath/2007/PartnerControls"/>
    </lcf76f155ced4ddcb4097134ff3c332f>
    <TaxCatchAll xmlns="f804db37-045c-4be0-9a8e-7e159ca899d9" xsi:nil="true"/>
  </documentManagement>
</p:properties>
</file>

<file path=customXml/itemProps1.xml><?xml version="1.0" encoding="utf-8"?>
<ds:datastoreItem xmlns:ds="http://schemas.openxmlformats.org/officeDocument/2006/customXml" ds:itemID="{EF4EC083-39EA-4301-ADEE-E9A1214C1643}"/>
</file>

<file path=customXml/itemProps2.xml><?xml version="1.0" encoding="utf-8"?>
<ds:datastoreItem xmlns:ds="http://schemas.openxmlformats.org/officeDocument/2006/customXml" ds:itemID="{0DC248C5-96C0-4314-AB49-5F8329119F51}"/>
</file>

<file path=customXml/itemProps3.xml><?xml version="1.0" encoding="utf-8"?>
<ds:datastoreItem xmlns:ds="http://schemas.openxmlformats.org/officeDocument/2006/customXml" ds:itemID="{B0F31AEF-A655-4410-8649-B02845C6A856}"/>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2026-06-08T19:08:30Z</dcterms:created>
  <dcterms:modified xsi:type="dcterms:W3CDTF">2026-06-08T19:08:30Z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0x010100A2BA95BF13F2874EA53C62090463B696</vt:lpwstr>
  </property>
</Properties>
</file>