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50"/>
        <w:jc w:val="center"/>
      </w:pPr>
      <w:r>
        <w:t xml:space="preserve">Vendor Comparison — Information Gaps</w:t>
      </w:r>
    </w:p>
    <w:p>
      <w:pPr>
        <w:spacing w:after="300"/>
        <w:jc w:val="center"/>
      </w:pPr>
      <w:r>
        <w:t xml:space="preserve">Fill In Using Partner &amp; Colleague Contacts</w:t>
      </w:r>
    </w:p>
    <w:p>
      <w:pPr>
        <w:spacing w:after="300"/>
      </w:pPr>
      <w:r>
        <w:t xml:space="preserve">Purpose: This document identifies specific missing information and uncertainties across 8 CMS vendors under evaluation. Use your contacts and networks to fill these gaps — particularly pricing, support quality, and reliability status. Focus on HIGH priority items first.</w:t>
      </w:r>
    </w:p>
    <w:p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4500"/>
        <w:gridCol w:w="1540"/>
      </w:tblGrid>
      <w:tr>
        <w:tc>
          <w:tcPr>
            <w:shd w:fill="D3D3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Vendor</w:t>
            </w:r>
          </w:p>
        </w:tc>
        <w:tc>
          <w:tcPr>
            <w:shd w:fill="D3D3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Category</w:t>
            </w:r>
          </w:p>
        </w:tc>
        <w:tc>
          <w:tcPr>
            <w:shd w:fill="D3D3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What We Need</w:t>
            </w:r>
          </w:p>
        </w:tc>
        <w:tc>
          <w:tcPr>
            <w:shd w:fill="D3D3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Priority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ABC Ignite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Pricing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Actual pricing / fee structure (hidden charges, 5%+ vs 2.7% stated)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High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ABC Ignite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PT Management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Depth (payroll, trainer features)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Medium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ABC Ignite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Inventory Management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Specifics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Low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ABC Ignite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Access Control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Native vs. integration-only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Medium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ABC Ignite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Franchise Management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Specifics (inferred but not documented)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Medium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ABC Ignite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AI Roadmap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Details (automation planned 2026)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Medium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Zenoti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Fitness Workflows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Gaps vs. spa/salon workflows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High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Zenoti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Implementation Timeline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Timeline and cost for fitness operators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High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Zenoti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Contracts &amp; Cancellation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Contract terms, cancellation policies (BBB complaints)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High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Zenoti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References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Fitness customer references (expanding from spa/salon)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High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Zenoti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Support SLA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Response times after onboarding period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Medium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Zenoti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Inventory Management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Confirmation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Low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Motionsoft/Club Automation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Current Features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Feature set vs. competitors (2025/2026 updates unclear)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Medium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Motionsoft/Club Automation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AI Capabilities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Timeline for 2026 roadmap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Medium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Motionsoft/Club Automation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Support Quality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Support quality and SLA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Medium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Motionsoft/Club Automation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Pricing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Pricing structure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High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Motionsoft/Club Automation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Access Control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Specifics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Medium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Motionsoft/Club Automation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Marketing Automation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Depth vs. standalone tools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Medium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ClubReady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Reliability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Current status (crash/outage issues being addressed?)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High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ClubReady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Support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Improvement plans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High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ClubReady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Data Integrity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Safeguards (members disappearing, audit trail)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High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ClubReady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Uptime SLA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Actual uptime SLA / guarantees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High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ClubReady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Retail/Inventory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Fix timeline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Medium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ClubReady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References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Satisfied (non-forced) customers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Medium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Glofox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Scalability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Enterprise limits (max locations, transaction volume)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High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Glofox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AI/Churn Prediction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Roadmap and timeline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Medium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Glofox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Inventory/Retail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Management capabilities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Medium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Glofox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Reporting &amp; Analytics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Depth (not detailed in current docs)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Medium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Glofox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Pricing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Multi-location deployment pricing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High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Jonas Fitness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Recent Updates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Feature updates (less marketing visibility)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Medium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Jonas Fitness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AI Capabilities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Beyond IRIS chatbot and Easalytics partnership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Medium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Jonas Fitness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PT Management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Feature depth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Medium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Jonas Fitness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Marketing Automation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Native capabilities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Medium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Jonas Fitness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Pricing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Pricing structure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High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Jonas Fitness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References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Current customers in fitness (vs. hospital/wellness)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Medium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Mindbody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AI Roadmap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Specifics (2025 initiatives unclear)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Medium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Mindbody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HVLP/Big-Box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Suitability details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Medium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Mindbody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Payment Processing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Details (Stripe dependency, alternatives?)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Medium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Mindbody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Sales Tax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Reporting improvements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Low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Mindbody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Enterprise Billing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Controls depth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Medium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Mindbody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Pricing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Enterprise/multi-location rates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High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Zen Planner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Scalability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Exact location limits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Medium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Zen Planner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POS/Retail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Capabilities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Medium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Zen Planner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Access Control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Integrations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Medium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Zen Planner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Enterprise/Multi-Location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Roadmap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Medium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Zen Planner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Pricing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Pricing tiers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Medium</w:t>
            </w:r>
          </w:p>
        </w:tc>
      </w:tr>
    </w:tbl>
    <w:p>
      <w:r>
        <w:t xml:space="preserve"> </w:t>
      </w:r>
    </w:p>
    <w:p>
      <w:pPr>
        <w:spacing w:before="300" w:after="150"/>
      </w:pPr>
      <w:r>
        <w:t xml:space="preserve">KEY INSIGHTS &amp; NOTES:</w:t>
      </w:r>
    </w:p>
    <w:p>
      <w:pPr>
        <w:spacing w:after="120"/>
      </w:pPr>
      <w:r>
        <w:t xml:space="preserve">1. Pricing Gap — Most vendors do not publish enterprise rates publicly. Insider quotes and direct references from current customers are critical. This is the universal blocker across all 8 platforms.</w:t>
      </w:r>
    </w:p>
    <w:p>
      <w:pPr>
        <w:spacing w:after="120"/>
      </w:pPr>
      <w:r>
        <w:t xml:space="preserve">2. AI Capabilities — Evolution is rapid. Zenoti currently leads, but others are catching up. Request current-state product demos to evaluate 2025/2026 roadmaps.</w:t>
      </w:r>
    </w:p>
    <w:p>
      <w:pPr>
        <w:spacing w:after="120"/>
      </w:pPr>
      <w:r>
        <w:t xml:space="preserve">3. Support Quality Post-Onboarding — Recurring concern across ABC Ignite, Zenoti, and ClubReady. Non-vendor-provided customer references are essential to validate support SLAs and responsiveness.</w:t>
      </w:r>
    </w:p>
    <w:p>
      <w:pPr>
        <w:spacing w:after="120"/>
      </w:pPr>
      <w:r>
        <w:t xml:space="preserve">4. ClubReady Reliability — Reported crash/outage issues may be a dealbreaker. Verify whether recent platform updates have addressed data integrity and uptime concerns.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footnotes" Target="footnotes.xml"/><Relationship Id="rId7" Type="http://schemas.openxmlformats.org/officeDocument/2006/relationships/customXml" Target="../customXml/item1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comments" Target="comments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BA95BF13F2874EA53C62090463B696" ma:contentTypeVersion="9" ma:contentTypeDescription="Create a new document." ma:contentTypeScope="" ma:versionID="185a819d8b29fb1c5c69deeb9ddc6f6b">
  <xsd:schema xmlns:xsd="http://www.w3.org/2001/XMLSchema" xmlns:xs="http://www.w3.org/2001/XMLSchema" xmlns:p="http://schemas.microsoft.com/office/2006/metadata/properties" xmlns:ns2="45c2ad31-6081-47b0-9a1c-493171cf57bb" xmlns:ns3="f804db37-045c-4be0-9a8e-7e159ca899d9" targetNamespace="http://schemas.microsoft.com/office/2006/metadata/properties" ma:root="true" ma:fieldsID="3b7aed2052f969993216002cb5cd1016" ns2:_="" ns3:_="">
    <xsd:import namespace="45c2ad31-6081-47b0-9a1c-493171cf57bb"/>
    <xsd:import namespace="f804db37-045c-4be0-9a8e-7e159ca899d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c2ad31-6081-47b0-9a1c-493171cf57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7ce0a4e-5409-43ac-ba09-f48763459c2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04db37-045c-4be0-9a8e-7e159ca899d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5615b99-3ffa-4e96-b23e-d128d3dc0517}" ma:internalName="TaxCatchAll" ma:showField="CatchAllData" ma:web="f804db37-045c-4be0-9a8e-7e159ca899d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5c2ad31-6081-47b0-9a1c-493171cf57bb">
      <Terms xmlns="http://schemas.microsoft.com/office/infopath/2007/PartnerControls"/>
    </lcf76f155ced4ddcb4097134ff3c332f>
    <TaxCatchAll xmlns="f804db37-045c-4be0-9a8e-7e159ca899d9" xsi:nil="true"/>
  </documentManagement>
</p:properties>
</file>

<file path=customXml/itemProps1.xml><?xml version="1.0" encoding="utf-8"?>
<ds:datastoreItem xmlns:ds="http://schemas.openxmlformats.org/officeDocument/2006/customXml" ds:itemID="{CA7EF149-D4DB-4605-82B6-B73B0474A77F}"/>
</file>

<file path=customXml/itemProps2.xml><?xml version="1.0" encoding="utf-8"?>
<ds:datastoreItem xmlns:ds="http://schemas.openxmlformats.org/officeDocument/2006/customXml" ds:itemID="{99594CDC-2EC3-48BA-A3A5-46F6F115AFD4}"/>
</file>

<file path=customXml/itemProps3.xml><?xml version="1.0" encoding="utf-8"?>
<ds:datastoreItem xmlns:ds="http://schemas.openxmlformats.org/officeDocument/2006/customXml" ds:itemID="{39F5840A-F1BF-43DA-A26A-9DDDF1EBC855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2026-02-10T06:49:40Z</dcterms:created>
  <dcterms:modified xsi:type="dcterms:W3CDTF">2026-02-10T06:49:40Z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0x010100A2BA95BF13F2874EA53C62090463B696</vt:lpwstr>
  </property>
</Properties>
</file>