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300" w:line="240" w:lineRule="auto"/>
        <w:contextualSpacing w:val="0"/>
      </w:pPr>
      <w:bookmarkStart w:colFirst="0" w:colLast="0" w:name="h.de53mt5rvg33" w:id="0"/>
      <w:bookmarkEnd w:id="0"/>
      <w:r w:rsidDel="00000000" w:rsidR="00000000" w:rsidRPr="00000000">
        <w:rPr>
          <w:vertAlign w:val="baseline"/>
          <w:rtl w:val="0"/>
        </w:rPr>
        <w:t xml:space="preserve">Iteration </w:t>
      </w:r>
      <w:r w:rsidDel="00000000" w:rsidR="00000000" w:rsidRPr="00000000">
        <w:rPr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This document contains the test plan used to ensure compliance with the TFTP standard (RFC 1350). A description of the command line arguments and CLI commands available to each component is also included.  </w:t>
      </w:r>
    </w:p>
    <w:p w:rsidR="00000000" w:rsidDel="00000000" w:rsidP="00000000" w:rsidRDefault="00000000" w:rsidRPr="00000000">
      <w:pPr>
        <w:keepNext w:val="1"/>
        <w:keepLines w:val="1"/>
        <w:spacing w:after="0" w:before="4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vertAlign w:val="baseline"/>
          <w:rtl w:val="0"/>
        </w:rPr>
        <w:t xml:space="preserve">Description of Command Line Arguments and CLI commands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Client command line arguments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-t Enable test mode (transfers pass through the error simulator)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-q Enable quiet logging mode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Client CLI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help           Prints this message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read  &lt;file&gt;  [destination] Reads a file from a tftp server to the current working directory.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Optionally, the local destination file path may be specified.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write &lt;file&gt;   Writes a file from the current working directory to a tftp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shutdown       Exits the client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Server CLI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help           Prints this message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shutdown       Exits the server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destination    set the folder for the server to write files to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Error Simulator CLI commands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help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Prints a help 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shutdown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Exits the simulator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Forward packets through without alteration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Removes the end byte of the next request packet. Ie Removes the 0 Byte after Mode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Removes the Request Seperator of the next request packet. ie Removes 0 Byte after Filename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mode      &lt;mode&gt;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mode of the next request packet, &lt;mode&gt; should be a string to use as a replacement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csa      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sender TID of a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op            &lt;type&gt; &lt;packetNum&gt; &lt;opCode&gt;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opcode of the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cl            &lt;type&gt; &lt;packetNum&gt; &lt;packetLen&gt;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Changes the length of a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delay     &lt;type&gt; &lt;packetNum&gt; &lt;numTimeouts&gt;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Delays the specified packet by a number of 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timeouts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duplicate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Sends a duplicate of the specified packet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drop          &lt;type&gt; &lt;packetNum&gt;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Drops the specified packet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Basic Transfer Tests (Iteration 1)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File Sizes: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200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512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2048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100 000 byte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After each transfer the following checks will be performed: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1.Ensure that the MD5 checksum of the file at the source and destination match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2.Attempt to move the file out of the source and destination directories to ensure the file is not in use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vertAlign w:val="baseline"/>
          <w:rtl w:val="0"/>
        </w:rPr>
        <w:t xml:space="preserve">Test Set Up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Ensure that the server and client run in different directories. This is the case in Eclipse by default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Create a file in the server directory corresponding to each of the file sizes listed below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2"/>
          <w:szCs w:val="22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For each file: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Read the file using the client.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Write the file using the client.</w:t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vertAlign w:val="baseline"/>
          <w:rtl w:val="0"/>
        </w:rPr>
        <w:t xml:space="preserve">Concurrent Connections Tests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The following will be repeated for both read and write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one instance of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Start a second instance of the client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4. Start the transfer of a 1 MB file using the first client instance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5. Start the transfer of a small (200 byte) file using the second client instance while the first client is still running the transfer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6. Ensure that both transfers run to completion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Independent Implementation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purpose of these tests is to verify that the TFTP specification is followed by reading and writing files using an independent TFTP client and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Using an independent TFTP client, read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Using an independent TFTP client, write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0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Using an independent TFTP server, read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Using an independent TFTP server, write a 2048 byte file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1. Start the server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2. Start the error simulator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3. Start the client, providing it the -t command line option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4. Use the client to write a 2048 byte file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5. Use the client to read a 2048 byte file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6. Start the transfer of a file with the 'rend'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7. Start the transfer of a file with the 'norm'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8. Start the transfer of a file with the 'rrs'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9. For transfers with the 'mode' command enabled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Set the mode to '.'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Set the mode to 'netascii'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10. For transfers the 'csa' command enabled, set the packet number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n = 1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n &lt; 1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n &lt;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n = 65536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11. For transfers with the 'op' command enabled: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Repeat packet number tests from step 9.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     Set the op code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2. 255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3. 266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4. 32728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5. -32727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6. 32729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7. -32728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12. For transfers with the 'cl' flag enabled: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1. Repeat the packet number tests from step 9.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Set the packet length to: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2. 0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3. length &lt; 0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ab/>
        <w:t xml:space="preserve">4. length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Perform the Concurrent Connections test with the –t option passed to both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Iteration 4 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1 Scenarios  - File not Found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1 - WRQ File not present in client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Attempt to write a file from the client which does not exist in the client’s working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 message informing the user that the file could not be found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server did not receive a WRQ from the client</w:t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2 - RRQ File not present in server directory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Attempt to read a file which does not exist in the server’s working directory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error message informing the user that the file could not be found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1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2 Scenarios  - Access Violation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3 - WRQ Write to a read-only folder on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write to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 from the client. In the CLI command to start this transfer, specify the a  filename in the directory from step 3 as the destination file name.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transfer has stopped.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2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4 - WRQ Write from a client directory without read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read from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 from the client. In the CLI command to start this transfer, specify a filename in the directory from step 3 as the source file name.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server did not receive a WRQ packet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CLI displays an appropriate error message (Access violation)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5 - RRQ Read from server directory without read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read from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 from the client. Specify a file which is inside the directory from step 3.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terminates on the server side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 to ensure that an Error packet with code 2 was received by the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6 - RRQ Read to client directory without write permission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up a directory which the current user does not have permissions to write 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 a read transfer from the client. Specify the directory created in step 3 as the destination file name.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client displays an appropriate error message (Access violation)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server did not receive a RRQ packet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3 Scenarios  - Disk full or allocation exceeded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of the following scenarios require the use of a disk which has very little space remaining. Such a disk can be created quickly using a small USB stick. Use fsutil to create a large empty file to occupy most remaining space.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7 - WRQ disk full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the server’s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destination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command to set the output directory to a disk which is full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 from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the transfer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an appropriate error message is displayed by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logs to ensure that an Error packet with code 3 was received by the client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no empty or incomplete file exists in the server’s output directory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8 - RRQ disk full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transfer. In the client CLI read command, specify a filename on a disk which is full as the optional destination filename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server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logs to ensure that an Error packet with code 3 was received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destination path of the Client to ensure that no empty or incomplete file exists there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Error Code 6 Scenarios  - File already exists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9 - WRQ file already exists on server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write transfer. Specify a file which already exists in the server’s output directory.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server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client log to ensure that the client received an error message with code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17365d"/>
          <w:rtl w:val="0"/>
        </w:rPr>
        <w:t xml:space="preserve">Case 10 - RRQ file already exists on client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server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the client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 a read transfer. Specify a file which already exists in the client’s working directory.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the server log to ensure that no RRQ was received by the server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Ensure that the transfer on the client side has terminated with an appropriate error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