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tqiyy6hs1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 2025 – Foundation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Launch Real-Time pricing parser (IMAP + Grok AI)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OPIS and non-OPIS pricing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Parse pricing 24/7 from top suppliers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n5qhe0y2c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 2025 – Intelligent Infrastructure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Veeder Reader 1.0 to field sites (Raspberry Pi + TLS-350 integration)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centralized reporting engine (Render-hosted)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Depletion forecasting using historical tank data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5xwle1fm6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 2025 – Customer Pipeline &amp; Sales Automation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DocuSeal + LACRM integration for digital onboarding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CRM-integrated quoting with daily pricing + marketing using live price feeds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/>
      </w:pPr>
      <w:bookmarkStart w:colFirst="0" w:colLast="0" w:name="_djbz7nuxhks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Q1-Q2 2026 – AI-Driven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Live AI-generated recommendations: Buy / Hold / Sell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Combine tank + pricing data + logistics data for smart purchase recommendations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 Veeder Reader Deployment - Reduce costs improve up time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Improve central tank monitor - improve predictions, better alerting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2xvu13i1c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 2026 – Full Agentic Orchestration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Fuel Intelligence Agent (EIA + weather + sentiment + futures)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Auto-buy triggers and dispatch planning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Route optimization and delivery window prediction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 communication to customers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Forecast-based contract offers (e.g., “Buy now to lock in savings”)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/>
      </w:pPr>
      <w:bookmarkStart w:colFirst="0" w:colLast="0" w:name="_i5sg3wc89hi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Q4+ 2027– Scale &amp; Monetize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Begin POS integration for local pricing agent (real-time station optimization)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Tokenized contract trials and capital raise for fuel-backed securities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