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2B84" w14:textId="7E2E81C5" w:rsidR="00B42632" w:rsidRDefault="001D38D7">
      <w:r>
        <w:rPr>
          <w:b/>
          <w:u w:val="single"/>
        </w:rPr>
        <w:t>RNA-SEQ PROJECT OVERVIEW</w:t>
      </w:r>
    </w:p>
    <w:p w14:paraId="593558BA" w14:textId="6E99C2A4" w:rsidR="001D38D7" w:rsidRDefault="001D38D7"/>
    <w:p w14:paraId="1BCCFD13" w14:textId="4B5F2B03" w:rsidR="001D38D7" w:rsidRDefault="001D38D7">
      <w:r w:rsidRPr="001D38D7">
        <w:rPr>
          <w:u w:val="single"/>
        </w:rPr>
        <w:t>Folder Structure:</w:t>
      </w:r>
    </w:p>
    <w:p w14:paraId="73240EB5" w14:textId="3848A61A" w:rsidR="001D38D7" w:rsidRDefault="001D38D7">
      <w:r>
        <w:t>Folder structure for the project is as follows:</w:t>
      </w:r>
    </w:p>
    <w:p w14:paraId="56190591" w14:textId="029259D3" w:rsidR="001D38D7" w:rsidRDefault="001D38D7" w:rsidP="001D38D7">
      <w:pPr>
        <w:pStyle w:val="ListParagraph"/>
        <w:numPr>
          <w:ilvl w:val="0"/>
          <w:numId w:val="1"/>
        </w:numPr>
      </w:pPr>
      <w:r w:rsidRPr="001D38D7">
        <w:rPr>
          <w:b/>
        </w:rPr>
        <w:t>data</w:t>
      </w:r>
      <w:r>
        <w:t xml:space="preserve"> – the raw data and the metadata sheet</w:t>
      </w:r>
    </w:p>
    <w:p w14:paraId="6ED4BEF9" w14:textId="2A7D8174" w:rsidR="001D38D7" w:rsidRDefault="001D38D7" w:rsidP="001D38D7">
      <w:pPr>
        <w:pStyle w:val="ListParagraph"/>
        <w:numPr>
          <w:ilvl w:val="1"/>
          <w:numId w:val="1"/>
        </w:numPr>
      </w:pPr>
      <w:r>
        <w:rPr>
          <w:b/>
        </w:rPr>
        <w:t>raw data</w:t>
      </w:r>
      <w:r>
        <w:t xml:space="preserve"> will usually be in the form of count files. This is the </w:t>
      </w:r>
      <w:r>
        <w:rPr>
          <w:i/>
        </w:rPr>
        <w:t>direct output</w:t>
      </w:r>
      <w:r>
        <w:t xml:space="preserve"> from transcript assembly and is </w:t>
      </w:r>
      <w:r>
        <w:rPr>
          <w:i/>
        </w:rPr>
        <w:t>not altered</w:t>
      </w:r>
      <w:r>
        <w:t>.</w:t>
      </w:r>
    </w:p>
    <w:p w14:paraId="2BDC0799" w14:textId="39A5458D" w:rsidR="001D38D7" w:rsidRDefault="001D38D7" w:rsidP="001D38D7">
      <w:pPr>
        <w:pStyle w:val="ListParagraph"/>
        <w:numPr>
          <w:ilvl w:val="1"/>
          <w:numId w:val="1"/>
        </w:numPr>
      </w:pPr>
      <w:r>
        <w:rPr>
          <w:b/>
        </w:rPr>
        <w:t>Metadata</w:t>
      </w:r>
      <w:r>
        <w:t xml:space="preserve"> sheets take lots of forms – but these are the various forms that will be read into the pipeline. There could be many iterations and many versions, but the basic format is: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193"/>
        <w:gridCol w:w="1400"/>
        <w:gridCol w:w="798"/>
        <w:gridCol w:w="1425"/>
        <w:gridCol w:w="1177"/>
        <w:gridCol w:w="793"/>
        <w:gridCol w:w="944"/>
      </w:tblGrid>
      <w:tr w:rsidR="001D38D7" w14:paraId="4E2D2CA3" w14:textId="66F16588" w:rsidTr="001D38D7">
        <w:tc>
          <w:tcPr>
            <w:tcW w:w="1213" w:type="dxa"/>
          </w:tcPr>
          <w:p w14:paraId="1167FA3F" w14:textId="06899742" w:rsidR="001D38D7" w:rsidRDefault="001D38D7" w:rsidP="001D38D7">
            <w:r>
              <w:t>Sample</w:t>
            </w:r>
          </w:p>
        </w:tc>
        <w:tc>
          <w:tcPr>
            <w:tcW w:w="1413" w:type="dxa"/>
          </w:tcPr>
          <w:p w14:paraId="5CF7F17E" w14:textId="5266FE45" w:rsidR="001D38D7" w:rsidRDefault="001D38D7" w:rsidP="001D38D7">
            <w:r>
              <w:t>Annotcol1</w:t>
            </w:r>
          </w:p>
        </w:tc>
        <w:tc>
          <w:tcPr>
            <w:tcW w:w="825" w:type="dxa"/>
          </w:tcPr>
          <w:p w14:paraId="2EF847DD" w14:textId="32B7BD9A" w:rsidR="001D38D7" w:rsidRDefault="001D38D7" w:rsidP="001D38D7">
            <w:r>
              <w:t>…</w:t>
            </w:r>
          </w:p>
        </w:tc>
        <w:tc>
          <w:tcPr>
            <w:tcW w:w="1437" w:type="dxa"/>
          </w:tcPr>
          <w:p w14:paraId="05E9C201" w14:textId="799149F7" w:rsidR="001D38D7" w:rsidRDefault="001D38D7" w:rsidP="001D38D7">
            <w:proofErr w:type="spellStart"/>
            <w:r>
              <w:t>AnnotcolN</w:t>
            </w:r>
            <w:proofErr w:type="spellEnd"/>
          </w:p>
        </w:tc>
        <w:tc>
          <w:tcPr>
            <w:tcW w:w="1196" w:type="dxa"/>
          </w:tcPr>
          <w:p w14:paraId="73C4563C" w14:textId="798D2DB9" w:rsidR="001D38D7" w:rsidRDefault="001D38D7" w:rsidP="001D38D7">
            <w:r>
              <w:t>Comp1</w:t>
            </w:r>
          </w:p>
        </w:tc>
        <w:tc>
          <w:tcPr>
            <w:tcW w:w="823" w:type="dxa"/>
          </w:tcPr>
          <w:p w14:paraId="35E5E1CB" w14:textId="1F57C1B2" w:rsidR="001D38D7" w:rsidRDefault="001D38D7" w:rsidP="001D38D7">
            <w:r>
              <w:t>…</w:t>
            </w:r>
          </w:p>
        </w:tc>
        <w:tc>
          <w:tcPr>
            <w:tcW w:w="823" w:type="dxa"/>
          </w:tcPr>
          <w:p w14:paraId="55D0EF3E" w14:textId="32943F5C" w:rsidR="001D38D7" w:rsidRDefault="001D38D7" w:rsidP="001D38D7">
            <w:proofErr w:type="spellStart"/>
            <w:r>
              <w:t>CompN</w:t>
            </w:r>
            <w:proofErr w:type="spellEnd"/>
          </w:p>
        </w:tc>
      </w:tr>
      <w:tr w:rsidR="001D38D7" w14:paraId="3C2C8A65" w14:textId="4B76F963" w:rsidTr="001D38D7">
        <w:tc>
          <w:tcPr>
            <w:tcW w:w="1213" w:type="dxa"/>
          </w:tcPr>
          <w:p w14:paraId="36165856" w14:textId="1316A84D" w:rsidR="001D38D7" w:rsidRDefault="001D38D7" w:rsidP="001D38D7">
            <w:r>
              <w:t>Samp1</w:t>
            </w:r>
          </w:p>
        </w:tc>
        <w:tc>
          <w:tcPr>
            <w:tcW w:w="1413" w:type="dxa"/>
          </w:tcPr>
          <w:p w14:paraId="12479D08" w14:textId="74D4BE4A" w:rsidR="001D38D7" w:rsidRDefault="001D38D7" w:rsidP="001D38D7">
            <w:r>
              <w:t>Red</w:t>
            </w:r>
          </w:p>
        </w:tc>
        <w:tc>
          <w:tcPr>
            <w:tcW w:w="825" w:type="dxa"/>
          </w:tcPr>
          <w:p w14:paraId="606001D0" w14:textId="6F32963C" w:rsidR="001D38D7" w:rsidRDefault="001D38D7" w:rsidP="001D38D7">
            <w:r>
              <w:t>xx</w:t>
            </w:r>
          </w:p>
        </w:tc>
        <w:tc>
          <w:tcPr>
            <w:tcW w:w="1437" w:type="dxa"/>
          </w:tcPr>
          <w:p w14:paraId="5E327475" w14:textId="3E34914A" w:rsidR="001D38D7" w:rsidRDefault="001D38D7" w:rsidP="001D38D7">
            <w:r>
              <w:t>male</w:t>
            </w:r>
          </w:p>
        </w:tc>
        <w:tc>
          <w:tcPr>
            <w:tcW w:w="1196" w:type="dxa"/>
          </w:tcPr>
          <w:p w14:paraId="50AA9BEC" w14:textId="27DF03A5" w:rsidR="001D38D7" w:rsidRDefault="001D38D7" w:rsidP="001D38D7">
            <w:r>
              <w:t>1</w:t>
            </w:r>
          </w:p>
        </w:tc>
        <w:tc>
          <w:tcPr>
            <w:tcW w:w="823" w:type="dxa"/>
          </w:tcPr>
          <w:p w14:paraId="4C8ED35B" w14:textId="77777777" w:rsidR="001D38D7" w:rsidRDefault="001D38D7" w:rsidP="001D38D7"/>
        </w:tc>
        <w:tc>
          <w:tcPr>
            <w:tcW w:w="823" w:type="dxa"/>
          </w:tcPr>
          <w:p w14:paraId="2E4A18F7" w14:textId="37841F6A" w:rsidR="001D38D7" w:rsidRDefault="001D38D7" w:rsidP="001D38D7">
            <w:r>
              <w:t>0</w:t>
            </w:r>
          </w:p>
        </w:tc>
      </w:tr>
      <w:tr w:rsidR="001D38D7" w14:paraId="4D04E47A" w14:textId="6BAC98F0" w:rsidTr="001D38D7">
        <w:tc>
          <w:tcPr>
            <w:tcW w:w="1213" w:type="dxa"/>
          </w:tcPr>
          <w:p w14:paraId="13C6207B" w14:textId="1D37F092" w:rsidR="001D38D7" w:rsidRDefault="001D38D7" w:rsidP="001D38D7">
            <w:r>
              <w:t>Samp2</w:t>
            </w:r>
          </w:p>
        </w:tc>
        <w:tc>
          <w:tcPr>
            <w:tcW w:w="1413" w:type="dxa"/>
          </w:tcPr>
          <w:p w14:paraId="32D8D5B7" w14:textId="436EA099" w:rsidR="001D38D7" w:rsidRDefault="001D38D7" w:rsidP="001D38D7">
            <w:r>
              <w:t>blue</w:t>
            </w:r>
          </w:p>
        </w:tc>
        <w:tc>
          <w:tcPr>
            <w:tcW w:w="825" w:type="dxa"/>
          </w:tcPr>
          <w:p w14:paraId="438BAED0" w14:textId="471FBE94" w:rsidR="001D38D7" w:rsidRDefault="001D38D7" w:rsidP="001D38D7">
            <w:r>
              <w:t>xx</w:t>
            </w:r>
          </w:p>
        </w:tc>
        <w:tc>
          <w:tcPr>
            <w:tcW w:w="1437" w:type="dxa"/>
          </w:tcPr>
          <w:p w14:paraId="60BE3987" w14:textId="0613F151" w:rsidR="001D38D7" w:rsidRDefault="001D38D7" w:rsidP="001D38D7">
            <w:r>
              <w:t>2</w:t>
            </w:r>
          </w:p>
        </w:tc>
        <w:tc>
          <w:tcPr>
            <w:tcW w:w="1196" w:type="dxa"/>
          </w:tcPr>
          <w:p w14:paraId="7CB1D352" w14:textId="319B8D2F" w:rsidR="001D38D7" w:rsidRDefault="001D38D7" w:rsidP="001D38D7">
            <w:r>
              <w:t>0</w:t>
            </w:r>
          </w:p>
        </w:tc>
        <w:tc>
          <w:tcPr>
            <w:tcW w:w="823" w:type="dxa"/>
          </w:tcPr>
          <w:p w14:paraId="5CD083D9" w14:textId="77777777" w:rsidR="001D38D7" w:rsidRDefault="001D38D7" w:rsidP="001D38D7"/>
        </w:tc>
        <w:tc>
          <w:tcPr>
            <w:tcW w:w="823" w:type="dxa"/>
          </w:tcPr>
          <w:p w14:paraId="57742DE4" w14:textId="62B5E917" w:rsidR="001D38D7" w:rsidRDefault="001D38D7" w:rsidP="001D38D7">
            <w:r>
              <w:t>1</w:t>
            </w:r>
          </w:p>
        </w:tc>
      </w:tr>
    </w:tbl>
    <w:p w14:paraId="04F4E53B" w14:textId="1A383CA2" w:rsidR="001D38D7" w:rsidRDefault="001D38D7" w:rsidP="001D38D7">
      <w:pPr>
        <w:pStyle w:val="ListParagraph"/>
        <w:numPr>
          <w:ilvl w:val="1"/>
          <w:numId w:val="1"/>
        </w:numPr>
      </w:pPr>
      <w:r>
        <w:rPr>
          <w:b/>
        </w:rPr>
        <w:t>Docs</w:t>
      </w:r>
      <w:r>
        <w:t xml:space="preserve"> can also be here – where are various documents that inform the experiment, and will also likely be the source data for the metadata</w:t>
      </w:r>
    </w:p>
    <w:p w14:paraId="75F46931" w14:textId="77777777" w:rsidR="001D38D7" w:rsidRDefault="001D38D7" w:rsidP="001D38D7"/>
    <w:p w14:paraId="34AC2A02" w14:textId="01F62A0B" w:rsidR="001D38D7" w:rsidRDefault="001D38D7" w:rsidP="001D38D7">
      <w:pPr>
        <w:pStyle w:val="ListParagraph"/>
        <w:numPr>
          <w:ilvl w:val="0"/>
          <w:numId w:val="1"/>
        </w:numPr>
      </w:pPr>
      <w:r>
        <w:rPr>
          <w:b/>
        </w:rPr>
        <w:t>Code</w:t>
      </w:r>
      <w:r>
        <w:t xml:space="preserve"> – the location for the scripts used for these analyses. Note that these are likely NOT </w:t>
      </w:r>
      <w:proofErr w:type="gramStart"/>
      <w:r>
        <w:t>STAND ALONE</w:t>
      </w:r>
      <w:proofErr w:type="gramEnd"/>
      <w:r>
        <w:t xml:space="preserve"> SCRIPTS, but rather master scripts that source in many functions from other helper files. These will need to be provided on an as needed basis</w:t>
      </w:r>
    </w:p>
    <w:p w14:paraId="5BB7A5F6" w14:textId="5FB2D5B3" w:rsidR="001D38D7" w:rsidRDefault="001D38D7" w:rsidP="001D38D7">
      <w:pPr>
        <w:pStyle w:val="ListParagraph"/>
        <w:numPr>
          <w:ilvl w:val="0"/>
          <w:numId w:val="1"/>
        </w:numPr>
      </w:pPr>
      <w:r>
        <w:rPr>
          <w:b/>
        </w:rPr>
        <w:t>Presentations</w:t>
      </w:r>
      <w:r>
        <w:t xml:space="preserve"> – this is where </w:t>
      </w:r>
      <w:proofErr w:type="spellStart"/>
      <w:r>
        <w:t>powerpoint</w:t>
      </w:r>
      <w:proofErr w:type="spellEnd"/>
      <w:r>
        <w:t xml:space="preserve"> summaries will go and various other presentation-focused analyses will go</w:t>
      </w:r>
    </w:p>
    <w:p w14:paraId="6ABD1B34" w14:textId="58901B5B" w:rsidR="001D38D7" w:rsidRPr="001D38D7" w:rsidRDefault="001D38D7" w:rsidP="001D38D7">
      <w:pPr>
        <w:pStyle w:val="ListParagraph"/>
        <w:numPr>
          <w:ilvl w:val="0"/>
          <w:numId w:val="1"/>
        </w:numPr>
        <w:rPr>
          <w:b/>
        </w:rPr>
      </w:pPr>
      <w:r w:rsidRPr="001D38D7">
        <w:rPr>
          <w:b/>
        </w:rPr>
        <w:t>Manuscript</w:t>
      </w:r>
      <w:r>
        <w:t xml:space="preserve"> – where the manuscript docs and figures will go when needed</w:t>
      </w:r>
    </w:p>
    <w:p w14:paraId="2B765650" w14:textId="575D5499" w:rsidR="001D38D7" w:rsidRPr="001D38D7" w:rsidRDefault="001D38D7" w:rsidP="001D38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</w:t>
      </w:r>
      <w:r>
        <w:t xml:space="preserve"> – all of the outputted analyses, more on this below</w:t>
      </w:r>
    </w:p>
    <w:p w14:paraId="3283644C" w14:textId="6D661DA0" w:rsidR="001D38D7" w:rsidRPr="001D38D7" w:rsidRDefault="001D38D7" w:rsidP="001D38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Archive</w:t>
      </w:r>
      <w:r>
        <w:t xml:space="preserve"> – old analyses, docs, data, etc. Things that are considered old and most likely obsolete, but are kept just in case.</w:t>
      </w:r>
    </w:p>
    <w:p w14:paraId="018B7F36" w14:textId="3B7E95C2" w:rsidR="001D38D7" w:rsidRDefault="001D38D7" w:rsidP="001D38D7"/>
    <w:p w14:paraId="02441064" w14:textId="6A587978" w:rsidR="001D38D7" w:rsidRDefault="001D38D7" w:rsidP="001D38D7">
      <w:pPr>
        <w:rPr>
          <w:u w:val="single"/>
        </w:rPr>
      </w:pPr>
      <w:r w:rsidRPr="001D38D7">
        <w:rPr>
          <w:u w:val="single"/>
        </w:rPr>
        <w:t>Interpreting Output</w:t>
      </w:r>
    </w:p>
    <w:p w14:paraId="5F38D333" w14:textId="71761DA9" w:rsidR="001D38D7" w:rsidRDefault="001D38D7" w:rsidP="001D38D7">
      <w:r>
        <w:t xml:space="preserve">The output folder has several subfolders, each of which have their own subfolders. There is a lot of output, but it all serves a purpose, I will do my best to </w:t>
      </w:r>
      <w:r w:rsidRPr="007F2035">
        <w:rPr>
          <w:highlight w:val="yellow"/>
        </w:rPr>
        <w:t>highlight important outputs here.</w:t>
      </w:r>
    </w:p>
    <w:p w14:paraId="0D01B095" w14:textId="0D713FF1" w:rsidR="001D38D7" w:rsidRDefault="001D38D7" w:rsidP="001D38D7"/>
    <w:p w14:paraId="4CAEACFC" w14:textId="6ACA8C3C" w:rsidR="001D38D7" w:rsidRDefault="001D38D7" w:rsidP="001D38D7">
      <w:r>
        <w:t>NOTE – there may be SUBOUTPUT FOLDERS AS WELL. It is common to exclude and add samples, metadata, etc. and each of these may get a different output folder.</w:t>
      </w:r>
    </w:p>
    <w:p w14:paraId="7772C611" w14:textId="09256627" w:rsidR="001D38D7" w:rsidRDefault="001D38D7" w:rsidP="001D38D7"/>
    <w:p w14:paraId="7ACC8FE6" w14:textId="1E0E3D2C" w:rsidR="001D38D7" w:rsidRDefault="001D38D7" w:rsidP="001D38D7">
      <w:pPr>
        <w:pStyle w:val="ListParagraph"/>
        <w:numPr>
          <w:ilvl w:val="0"/>
          <w:numId w:val="2"/>
        </w:numPr>
      </w:pPr>
      <w:r>
        <w:rPr>
          <w:b/>
        </w:rPr>
        <w:t>Processing</w:t>
      </w:r>
      <w:r>
        <w:t xml:space="preserve"> – this folder contains all of the upfront processing of the data.</w:t>
      </w:r>
    </w:p>
    <w:p w14:paraId="234D8D43" w14:textId="40E71295" w:rsidR="001D38D7" w:rsidRDefault="001D38D7" w:rsidP="001D38D7">
      <w:pPr>
        <w:pStyle w:val="ListParagraph"/>
        <w:numPr>
          <w:ilvl w:val="1"/>
          <w:numId w:val="2"/>
        </w:numPr>
      </w:pPr>
      <w:r>
        <w:rPr>
          <w:b/>
        </w:rPr>
        <w:t>Concat_count_files.txt</w:t>
      </w:r>
      <w:r>
        <w:t xml:space="preserve"> – the individual count files concatenated together in an unaltered form</w:t>
      </w:r>
    </w:p>
    <w:p w14:paraId="7BC0C53A" w14:textId="0FABBF25" w:rsidR="001D38D7" w:rsidRDefault="00D87129" w:rsidP="001D38D7">
      <w:pPr>
        <w:pStyle w:val="ListParagraph"/>
        <w:numPr>
          <w:ilvl w:val="1"/>
          <w:numId w:val="2"/>
        </w:numPr>
      </w:pPr>
      <w:r>
        <w:rPr>
          <w:b/>
        </w:rPr>
        <w:t>Pre/</w:t>
      </w:r>
      <w:proofErr w:type="spellStart"/>
      <w:r>
        <w:rPr>
          <w:b/>
        </w:rPr>
        <w:t>postfiltered_samp_readcount_hist</w:t>
      </w:r>
      <w:proofErr w:type="spellEnd"/>
      <w:r>
        <w:t xml:space="preserve"> – filtering pre and post of our minimum </w:t>
      </w:r>
      <w:proofErr w:type="spellStart"/>
      <w:r>
        <w:t>readcount</w:t>
      </w:r>
      <w:proofErr w:type="spellEnd"/>
      <w:r>
        <w:t xml:space="preserve"> per sample </w:t>
      </w:r>
      <w:proofErr w:type="spellStart"/>
      <w:r>
        <w:t>tfor</w:t>
      </w:r>
      <w:proofErr w:type="spellEnd"/>
      <w:r>
        <w:t xml:space="preserve"> a SAMPLE to be included in the analysis</w:t>
      </w:r>
    </w:p>
    <w:p w14:paraId="0FB9703E" w14:textId="4AD0AFC7" w:rsidR="00D87129" w:rsidRDefault="00D87129" w:rsidP="001D38D7">
      <w:pPr>
        <w:pStyle w:val="ListParagraph"/>
        <w:numPr>
          <w:ilvl w:val="1"/>
          <w:numId w:val="2"/>
        </w:numPr>
      </w:pPr>
      <w:r>
        <w:rPr>
          <w:b/>
        </w:rPr>
        <w:t>Pre/</w:t>
      </w:r>
      <w:proofErr w:type="spellStart"/>
      <w:r>
        <w:rPr>
          <w:b/>
        </w:rPr>
        <w:t>postfiltered_gene_rowmeans_hist</w:t>
      </w:r>
      <w:proofErr w:type="spellEnd"/>
      <w:r>
        <w:t xml:space="preserve"> – filtering pre and post of our minimum number of reads per gene per sample for a GENE to be included in the analysis</w:t>
      </w:r>
    </w:p>
    <w:p w14:paraId="42F44E1E" w14:textId="3179A8B9" w:rsidR="00D87129" w:rsidRPr="00D87129" w:rsidRDefault="00D87129" w:rsidP="001D38D7">
      <w:pPr>
        <w:pStyle w:val="ListParagraph"/>
        <w:numPr>
          <w:ilvl w:val="1"/>
          <w:numId w:val="2"/>
        </w:numPr>
        <w:rPr>
          <w:b/>
        </w:rPr>
      </w:pPr>
      <w:r w:rsidRPr="007F2035">
        <w:rPr>
          <w:b/>
          <w:highlight w:val="yellow"/>
        </w:rPr>
        <w:t>Filtrawcounttab</w:t>
      </w:r>
      <w:r w:rsidRPr="00D87129">
        <w:rPr>
          <w:b/>
        </w:rPr>
        <w:t>.txt</w:t>
      </w:r>
      <w:r>
        <w:t xml:space="preserve"> – the raw count table after the minimum gene and read count filters – with the genes and sample excluded</w:t>
      </w:r>
    </w:p>
    <w:p w14:paraId="234AA098" w14:textId="5E5DA1EF" w:rsidR="00D87129" w:rsidRPr="00D87129" w:rsidRDefault="00D87129" w:rsidP="001D38D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Metatable_filt.txt</w:t>
      </w:r>
      <w:r>
        <w:t xml:space="preserve"> – should be the same as the inputted metadata – but without the samples that were filtered out due to </w:t>
      </w:r>
      <w:proofErr w:type="spellStart"/>
      <w:r>
        <w:t>readcount</w:t>
      </w:r>
      <w:proofErr w:type="spellEnd"/>
      <w:r>
        <w:t xml:space="preserve"> filtering</w:t>
      </w:r>
    </w:p>
    <w:p w14:paraId="491A3214" w14:textId="616808BA" w:rsidR="00D87129" w:rsidRPr="00D87129" w:rsidRDefault="00D87129" w:rsidP="001D38D7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7F2035">
        <w:rPr>
          <w:b/>
          <w:highlight w:val="yellow"/>
        </w:rPr>
        <w:lastRenderedPageBreak/>
        <w:t>read_distribution_bar_chart</w:t>
      </w:r>
      <w:proofErr w:type="spellEnd"/>
      <w:r>
        <w:t xml:space="preserve"> – a bar chart showing the top 50 represented reads in the project, on a per sample basis</w:t>
      </w:r>
    </w:p>
    <w:p w14:paraId="6F23BB7B" w14:textId="5B98915E" w:rsidR="00D87129" w:rsidRPr="00D87129" w:rsidRDefault="00D87129" w:rsidP="001D38D7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raw_count</w:t>
      </w:r>
      <w:proofErr w:type="spellEnd"/>
      <w:r>
        <w:rPr>
          <w:b/>
        </w:rPr>
        <w:t>/</w:t>
      </w:r>
      <w:proofErr w:type="spellStart"/>
      <w:r>
        <w:rPr>
          <w:b/>
        </w:rPr>
        <w:t>norm_count</w:t>
      </w:r>
      <w:proofErr w:type="spellEnd"/>
      <w:r>
        <w:rPr>
          <w:b/>
        </w:rPr>
        <w:t>/</w:t>
      </w:r>
      <w:proofErr w:type="spellStart"/>
      <w:r>
        <w:rPr>
          <w:b/>
        </w:rPr>
        <w:t>norm_ratio_per</w:t>
      </w:r>
      <w:proofErr w:type="spellEnd"/>
      <w:r>
        <w:rPr>
          <w:b/>
        </w:rPr>
        <w:t xml:space="preserve"> sample_grid1/2/3.pdf</w:t>
      </w:r>
      <w:r>
        <w:t xml:space="preserve"> – this is a visualization of the pre and post </w:t>
      </w:r>
      <w:proofErr w:type="spellStart"/>
      <w:r>
        <w:t>DEseq</w:t>
      </w:r>
      <w:proofErr w:type="spellEnd"/>
      <w:r>
        <w:t xml:space="preserve"> normalization of the read counts.</w:t>
      </w:r>
    </w:p>
    <w:p w14:paraId="165CE053" w14:textId="3452BBAF" w:rsidR="00D87129" w:rsidRPr="00D87129" w:rsidRDefault="00D87129" w:rsidP="00D87129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The Grid 3 </w:t>
      </w:r>
      <w:r>
        <w:t>figure is a nice view to visualize “blowing up” of any samples in which normalization had an unintended effect and overcorrected a potentially outlying sample</w:t>
      </w:r>
    </w:p>
    <w:p w14:paraId="64F6E9C3" w14:textId="2CDFF34E" w:rsidR="00D87129" w:rsidRPr="00D87129" w:rsidRDefault="00D87129" w:rsidP="00D87129">
      <w:pPr>
        <w:pStyle w:val="ListParagraph"/>
        <w:numPr>
          <w:ilvl w:val="1"/>
          <w:numId w:val="2"/>
        </w:numPr>
        <w:rPr>
          <w:b/>
        </w:rPr>
      </w:pPr>
      <w:r w:rsidRPr="007F2035">
        <w:rPr>
          <w:b/>
          <w:highlight w:val="yellow"/>
        </w:rPr>
        <w:t>Normcounttab</w:t>
      </w:r>
      <w:r>
        <w:rPr>
          <w:b/>
        </w:rPr>
        <w:t>.txt</w:t>
      </w:r>
      <w:r>
        <w:t xml:space="preserve"> – the NORMALIZED count table</w:t>
      </w:r>
    </w:p>
    <w:p w14:paraId="2685C6C3" w14:textId="14100771" w:rsidR="00D87129" w:rsidRPr="00D87129" w:rsidRDefault="00D87129" w:rsidP="00D8712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UQ_raw</w:t>
      </w:r>
      <w:proofErr w:type="spellEnd"/>
      <w:r>
        <w:rPr>
          <w:b/>
        </w:rPr>
        <w:t>/norm…grid.pdf</w:t>
      </w:r>
      <w:r>
        <w:t xml:space="preserve"> – normalization done via upper quartile normalization. These results should be similar to </w:t>
      </w:r>
      <w:proofErr w:type="spellStart"/>
      <w:r>
        <w:t>DESeq</w:t>
      </w:r>
      <w:proofErr w:type="spellEnd"/>
      <w:r>
        <w:t xml:space="preserve"> – and are done as a sanity check </w:t>
      </w:r>
      <w:proofErr w:type="gramStart"/>
      <w:r>
        <w:t>to insure that</w:t>
      </w:r>
      <w:proofErr w:type="gramEnd"/>
      <w:r>
        <w:t xml:space="preserve"> the normalization is consistent</w:t>
      </w:r>
    </w:p>
    <w:p w14:paraId="45FA334C" w14:textId="301F11D8" w:rsidR="00D87129" w:rsidRPr="00D87129" w:rsidRDefault="00D87129" w:rsidP="00D8712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UQ_normcounttab</w:t>
      </w:r>
      <w:r w:rsidRPr="00D87129">
        <w:t>.</w:t>
      </w:r>
      <w:r>
        <w:t>txt</w:t>
      </w:r>
      <w:r>
        <w:rPr>
          <w:b/>
        </w:rPr>
        <w:t xml:space="preserve"> </w:t>
      </w:r>
      <w:r>
        <w:t>– normalized data after UQ normalization</w:t>
      </w:r>
    </w:p>
    <w:p w14:paraId="32FC6A8E" w14:textId="2FEAE3D3" w:rsidR="00D87129" w:rsidRPr="00D87129" w:rsidRDefault="00D87129" w:rsidP="00D87129">
      <w:pPr>
        <w:pStyle w:val="ListParagraph"/>
        <w:numPr>
          <w:ilvl w:val="1"/>
          <w:numId w:val="2"/>
        </w:numPr>
        <w:rPr>
          <w:b/>
        </w:rPr>
      </w:pPr>
      <w:r w:rsidRPr="007F2035">
        <w:rPr>
          <w:b/>
          <w:highlight w:val="yellow"/>
        </w:rPr>
        <w:t>Normcounttab_v12/v13</w:t>
      </w:r>
      <w:r w:rsidRPr="007F2035">
        <w:rPr>
          <w:highlight w:val="yellow"/>
        </w:rPr>
        <w:t>.</w:t>
      </w:r>
      <w:r w:rsidRPr="007F2035">
        <w:rPr>
          <w:b/>
          <w:highlight w:val="yellow"/>
        </w:rPr>
        <w:t>gct</w:t>
      </w:r>
      <w:r>
        <w:t xml:space="preserve"> - .GCT files of the normalized counts. .GCT files include metadata about rows and columns with the count data. See the format below.</w:t>
      </w:r>
    </w:p>
    <w:p w14:paraId="2BB03256" w14:textId="328FCD26" w:rsidR="00D87129" w:rsidRPr="00D87129" w:rsidRDefault="00D87129" w:rsidP="00D87129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hyperlink r:id="rId5" w:history="1">
        <w:r w:rsidRPr="00D87129">
          <w:rPr>
            <w:rStyle w:val="Hyperlink"/>
            <w:rFonts w:eastAsia="Times New Roman" w:cstheme="minorHAnsi"/>
          </w:rPr>
          <w:t>http://software.broadinstitute.org/cancer/software/genepattern/file-formats-guide#GCT</w:t>
        </w:r>
      </w:hyperlink>
    </w:p>
    <w:p w14:paraId="774EC6A5" w14:textId="77371D5C" w:rsidR="00D87129" w:rsidRPr="00D87129" w:rsidRDefault="00D87129" w:rsidP="00D87129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hyperlink r:id="rId6" w:history="1">
        <w:r w:rsidRPr="00D87129">
          <w:rPr>
            <w:rStyle w:val="Hyperlink"/>
            <w:rFonts w:eastAsia="Times New Roman" w:cstheme="minorHAnsi"/>
          </w:rPr>
          <w:t>https://clue.io/connectopedia/gct_format</w:t>
        </w:r>
      </w:hyperlink>
    </w:p>
    <w:p w14:paraId="186E5A1F" w14:textId="7840EF81" w:rsidR="00D87129" w:rsidRDefault="00D87129" w:rsidP="00D87129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 w:rsidRPr="00D87129">
        <w:rPr>
          <w:rFonts w:eastAsia="Times New Roman" w:cstheme="minorHAnsi"/>
          <w:b/>
        </w:rPr>
        <w:t>Pca_plots</w:t>
      </w:r>
      <w:proofErr w:type="spellEnd"/>
      <w:r>
        <w:rPr>
          <w:rFonts w:eastAsia="Times New Roman" w:cstheme="minorHAnsi"/>
        </w:rPr>
        <w:t xml:space="preserve"> – PCA plots of the data – colored by each annotation column provided in the metadata. VERY USEFUL for getting a snapshot sorting of your data</w:t>
      </w:r>
    </w:p>
    <w:p w14:paraId="6E311F5F" w14:textId="0D006EC7" w:rsidR="00D87129" w:rsidRDefault="00D87129" w:rsidP="00D87129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 w:rsidRPr="007F2035">
        <w:rPr>
          <w:rFonts w:eastAsia="Times New Roman" w:cstheme="minorHAnsi"/>
          <w:b/>
          <w:highlight w:val="yellow"/>
        </w:rPr>
        <w:t>Pca_plots_normalized</w:t>
      </w:r>
      <w:proofErr w:type="spellEnd"/>
      <w:r>
        <w:rPr>
          <w:rFonts w:eastAsia="Times New Roman" w:cstheme="minorHAnsi"/>
        </w:rPr>
        <w:t xml:space="preserve"> - P</w:t>
      </w:r>
      <w:r>
        <w:rPr>
          <w:rFonts w:eastAsia="Times New Roman" w:cstheme="minorHAnsi"/>
        </w:rPr>
        <w:t>CA plots of the</w:t>
      </w:r>
      <w:r>
        <w:rPr>
          <w:rFonts w:eastAsia="Times New Roman" w:cstheme="minorHAnsi"/>
        </w:rPr>
        <w:t xml:space="preserve"> NORMALIZED</w:t>
      </w:r>
      <w:r>
        <w:rPr>
          <w:rFonts w:eastAsia="Times New Roman" w:cstheme="minorHAnsi"/>
        </w:rPr>
        <w:t xml:space="preserve"> data – colored by each annotation column provided in the metadata. VERY USEFUL for getting a snapshot sorting of your data</w:t>
      </w:r>
      <w:r>
        <w:rPr>
          <w:rFonts w:eastAsia="Times New Roman" w:cstheme="minorHAnsi"/>
        </w:rPr>
        <w:t>.</w:t>
      </w:r>
    </w:p>
    <w:p w14:paraId="6D35A909" w14:textId="496D50A3" w:rsidR="00D87129" w:rsidRDefault="00D87129" w:rsidP="00D87129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Outlier_detection_density_curves</w:t>
      </w:r>
      <w:proofErr w:type="spellEnd"/>
      <w:r>
        <w:rPr>
          <w:rFonts w:eastAsia="Times New Roman" w:cstheme="minorHAnsi"/>
        </w:rPr>
        <w:t xml:space="preserve"> – a very crude way to see outliers by their gene counts. Curves that look drastically different from the others should be observed for read bias</w:t>
      </w:r>
    </w:p>
    <w:p w14:paraId="01BB4945" w14:textId="78CA448A" w:rsidR="00D87129" w:rsidRDefault="00D87129" w:rsidP="00D87129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>Plotting</w:t>
      </w:r>
      <w:r>
        <w:rPr>
          <w:rFonts w:eastAsia="Times New Roman" w:cstheme="minorHAnsi"/>
        </w:rPr>
        <w:t xml:space="preserve"> – heatmaps and other figures for global views of the data</w:t>
      </w:r>
    </w:p>
    <w:p w14:paraId="02B46C74" w14:textId="6145C6BD" w:rsidR="00D87129" w:rsidRDefault="00D87129" w:rsidP="00D87129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>Hm1_heatmap_Allmetadata.pdf</w:t>
      </w:r>
      <w:r>
        <w:rPr>
          <w:rFonts w:eastAsia="Times New Roman" w:cstheme="minorHAnsi"/>
        </w:rPr>
        <w:t xml:space="preserve"> – shows the top varied genes with all annotation data, and the genes and samples are clustered</w:t>
      </w:r>
    </w:p>
    <w:p w14:paraId="4CE63672" w14:textId="7BE88A88" w:rsidR="00D87129" w:rsidRDefault="00D87129" w:rsidP="00D87129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7F2035">
        <w:rPr>
          <w:rFonts w:eastAsia="Times New Roman" w:cstheme="minorHAnsi"/>
          <w:b/>
          <w:highlight w:val="yellow"/>
        </w:rPr>
        <w:t>hmXX_heatmap_sorted_XX.pdf</w:t>
      </w:r>
      <w:r>
        <w:rPr>
          <w:rFonts w:eastAsia="Times New Roman" w:cstheme="minorHAnsi"/>
        </w:rPr>
        <w:t xml:space="preserve"> – heatmap per annotation column that shows a heatmap that clusters genes, but MANUALLY SORTS columns by each annotation column provided</w:t>
      </w:r>
    </w:p>
    <w:p w14:paraId="23177BBE" w14:textId="66A672E9" w:rsidR="00D87129" w:rsidRDefault="00D87129" w:rsidP="00D87129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 w:rsidRPr="007F2035">
        <w:rPr>
          <w:rFonts w:eastAsia="Times New Roman" w:cstheme="minorHAnsi"/>
          <w:b/>
          <w:highlight w:val="yellow"/>
        </w:rPr>
        <w:t>deseq</w:t>
      </w:r>
      <w:proofErr w:type="spellEnd"/>
      <w:r>
        <w:rPr>
          <w:rFonts w:eastAsia="Times New Roman" w:cstheme="minorHAnsi"/>
        </w:rPr>
        <w:t xml:space="preserve"> – the </w:t>
      </w:r>
      <w:proofErr w:type="spellStart"/>
      <w:r>
        <w:rPr>
          <w:rFonts w:eastAsia="Times New Roman" w:cstheme="minorHAnsi"/>
        </w:rPr>
        <w:t>DESeq</w:t>
      </w:r>
      <w:proofErr w:type="spellEnd"/>
      <w:r>
        <w:rPr>
          <w:rFonts w:eastAsia="Times New Roman" w:cstheme="minorHAnsi"/>
        </w:rPr>
        <w:t xml:space="preserve"> output (differential gene expression)</w:t>
      </w:r>
    </w:p>
    <w:p w14:paraId="1A933E72" w14:textId="1228FB51" w:rsidR="004A0CB6" w:rsidRDefault="004A0CB6" w:rsidP="004A0CB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comp_XXXX</w:t>
      </w:r>
      <w:proofErr w:type="spellEnd"/>
      <w:r>
        <w:rPr>
          <w:rFonts w:eastAsia="Times New Roman" w:cstheme="minorHAnsi"/>
        </w:rPr>
        <w:t xml:space="preserve"> – there is a FOLDER PER COMPARISON COLUMN which will contain the </w:t>
      </w:r>
      <w:proofErr w:type="spellStart"/>
      <w:r w:rsidRPr="00A2368A">
        <w:rPr>
          <w:rFonts w:eastAsia="Times New Roman" w:cstheme="minorHAnsi"/>
          <w:highlight w:val="yellow"/>
        </w:rPr>
        <w:t>DEseq</w:t>
      </w:r>
      <w:proofErr w:type="spellEnd"/>
      <w:r w:rsidRPr="00A2368A">
        <w:rPr>
          <w:rFonts w:eastAsia="Times New Roman" w:cstheme="minorHAnsi"/>
          <w:highlight w:val="yellow"/>
        </w:rPr>
        <w:t xml:space="preserve"> results</w:t>
      </w:r>
      <w:bookmarkStart w:id="0" w:name="_GoBack"/>
      <w:bookmarkEnd w:id="0"/>
      <w:r>
        <w:rPr>
          <w:rFonts w:eastAsia="Times New Roman" w:cstheme="minorHAnsi"/>
        </w:rPr>
        <w:t xml:space="preserve">, and then a </w:t>
      </w:r>
      <w:r w:rsidRPr="00A2368A">
        <w:rPr>
          <w:rFonts w:eastAsia="Times New Roman" w:cstheme="minorHAnsi"/>
          <w:highlight w:val="yellow"/>
        </w:rPr>
        <w:t>volcano plot</w:t>
      </w:r>
      <w:r>
        <w:rPr>
          <w:rFonts w:eastAsia="Times New Roman" w:cstheme="minorHAnsi"/>
        </w:rPr>
        <w:t xml:space="preserve"> and heatmap highlighting the most varied genes.</w:t>
      </w:r>
    </w:p>
    <w:p w14:paraId="493E0D2B" w14:textId="01C49451" w:rsidR="004A0CB6" w:rsidRDefault="004A0CB6" w:rsidP="004A0CB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Pvalue</w:t>
      </w:r>
      <w:proofErr w:type="spellEnd"/>
      <w:r>
        <w:rPr>
          <w:rFonts w:eastAsia="Times New Roman" w:cstheme="minorHAnsi"/>
          <w:b/>
        </w:rPr>
        <w:t>/</w:t>
      </w:r>
      <w:proofErr w:type="spellStart"/>
      <w:r>
        <w:rPr>
          <w:rFonts w:eastAsia="Times New Roman" w:cstheme="minorHAnsi"/>
          <w:b/>
        </w:rPr>
        <w:t>padj_XXXXX_DEseq_summary</w:t>
      </w:r>
      <w:proofErr w:type="spellEnd"/>
      <w:r>
        <w:rPr>
          <w:rFonts w:eastAsia="Times New Roman" w:cstheme="minorHAnsi"/>
        </w:rPr>
        <w:t xml:space="preserve"> – these folders contain summaries of results at the given </w:t>
      </w:r>
      <w:proofErr w:type="spellStart"/>
      <w:r>
        <w:rPr>
          <w:rFonts w:eastAsia="Times New Roman" w:cstheme="minorHAnsi"/>
        </w:rPr>
        <w:t>pvalue</w:t>
      </w:r>
      <w:proofErr w:type="spellEnd"/>
      <w:r>
        <w:rPr>
          <w:rFonts w:eastAsia="Times New Roman" w:cstheme="minorHAnsi"/>
        </w:rPr>
        <w:t xml:space="preserve"> and log2fc </w:t>
      </w:r>
    </w:p>
    <w:p w14:paraId="6D7A961B" w14:textId="54C1DAD8" w:rsidR="004A0CB6" w:rsidRDefault="004A0CB6" w:rsidP="004A0CB6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>XXX_summary.pdf</w:t>
      </w:r>
      <w:r>
        <w:rPr>
          <w:rFonts w:eastAsia="Times New Roman" w:cstheme="minorHAnsi"/>
        </w:rPr>
        <w:t xml:space="preserve"> – </w:t>
      </w:r>
      <w:proofErr w:type="spellStart"/>
      <w:r>
        <w:rPr>
          <w:rFonts w:eastAsia="Times New Roman" w:cstheme="minorHAnsi"/>
        </w:rPr>
        <w:t>barchart</w:t>
      </w:r>
      <w:proofErr w:type="spellEnd"/>
      <w:r>
        <w:rPr>
          <w:rFonts w:eastAsia="Times New Roman" w:cstheme="minorHAnsi"/>
        </w:rPr>
        <w:t xml:space="preserve"> showing the number of genes found at the given log2fc and </w:t>
      </w:r>
      <w:proofErr w:type="spellStart"/>
      <w:r>
        <w:rPr>
          <w:rFonts w:eastAsia="Times New Roman" w:cstheme="minorHAnsi"/>
        </w:rPr>
        <w:t>pvalue</w:t>
      </w:r>
      <w:proofErr w:type="spellEnd"/>
    </w:p>
    <w:p w14:paraId="2BF57925" w14:textId="2B8F1DB4" w:rsidR="004A0CB6" w:rsidRDefault="004A0CB6" w:rsidP="004A0CB6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rest of the tables show the genes that meet the cutoffs for EACH COMPARISON, in various forms – one with the gene name, one with the comparison name, one with log2fc, one with the </w:t>
      </w:r>
      <w:proofErr w:type="spellStart"/>
      <w:r>
        <w:rPr>
          <w:rFonts w:eastAsia="Times New Roman" w:cstheme="minorHAnsi"/>
        </w:rPr>
        <w:t>pvalue</w:t>
      </w:r>
      <w:proofErr w:type="spellEnd"/>
      <w:r>
        <w:rPr>
          <w:rFonts w:eastAsia="Times New Roman" w:cstheme="minorHAnsi"/>
        </w:rPr>
        <w:t>, all of which are useful for different purposes.</w:t>
      </w:r>
    </w:p>
    <w:p w14:paraId="2C734BAC" w14:textId="4D1DE36D" w:rsidR="004A0CB6" w:rsidRDefault="004A0CB6" w:rsidP="004A0CB6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lastRenderedPageBreak/>
        <w:t>Gsea</w:t>
      </w:r>
      <w:proofErr w:type="spellEnd"/>
      <w:r>
        <w:rPr>
          <w:rFonts w:eastAsia="Times New Roman" w:cstheme="minorHAnsi"/>
        </w:rPr>
        <w:t xml:space="preserve"> – </w:t>
      </w:r>
      <w:proofErr w:type="spellStart"/>
      <w:r>
        <w:rPr>
          <w:rFonts w:eastAsia="Times New Roman" w:cstheme="minorHAnsi"/>
        </w:rPr>
        <w:t>geneset</w:t>
      </w:r>
      <w:proofErr w:type="spellEnd"/>
      <w:r>
        <w:rPr>
          <w:rFonts w:eastAsia="Times New Roman" w:cstheme="minorHAnsi"/>
        </w:rPr>
        <w:t xml:space="preserve"> analysis output per comparison – contents of the comparison folders are listed below</w:t>
      </w:r>
    </w:p>
    <w:p w14:paraId="37F4CA43" w14:textId="7E00C7BA" w:rsidR="004A0CB6" w:rsidRDefault="009C53B1" w:rsidP="004A0CB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Comp_XXXX_gsea_GO</w:t>
      </w:r>
      <w:proofErr w:type="spellEnd"/>
      <w:r>
        <w:rPr>
          <w:rFonts w:eastAsia="Times New Roman" w:cstheme="minorHAnsi"/>
          <w:b/>
        </w:rPr>
        <w:t>/HALL/KEGG.csv</w:t>
      </w:r>
      <w:r>
        <w:rPr>
          <w:rFonts w:eastAsia="Times New Roman" w:cstheme="minorHAnsi"/>
        </w:rPr>
        <w:t xml:space="preserve"> – this is the GSEA output table for the analysis specified by the GO/HALL/KEGG</w:t>
      </w:r>
    </w:p>
    <w:p w14:paraId="7EC68EF3" w14:textId="5063B2C7" w:rsidR="009C53B1" w:rsidRDefault="009C53B1" w:rsidP="009C5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 w:rsidRPr="007F2035">
        <w:rPr>
          <w:rFonts w:eastAsia="Times New Roman" w:cstheme="minorHAnsi"/>
          <w:b/>
          <w:highlight w:val="yellow"/>
        </w:rPr>
        <w:t>Comp_XXXX_gsea_GO</w:t>
      </w:r>
      <w:proofErr w:type="spellEnd"/>
      <w:r w:rsidRPr="007F2035">
        <w:rPr>
          <w:rFonts w:eastAsia="Times New Roman" w:cstheme="minorHAnsi"/>
          <w:b/>
          <w:highlight w:val="yellow"/>
        </w:rPr>
        <w:t>/HALL/KEGG</w:t>
      </w:r>
      <w:r w:rsidRPr="007F2035">
        <w:rPr>
          <w:rFonts w:eastAsia="Times New Roman" w:cstheme="minorHAnsi"/>
          <w:b/>
          <w:highlight w:val="yellow"/>
        </w:rPr>
        <w:t>_plot.pdf</w:t>
      </w:r>
      <w:r>
        <w:rPr>
          <w:rFonts w:eastAsia="Times New Roman" w:cstheme="minorHAnsi"/>
        </w:rPr>
        <w:t xml:space="preserve"> – this is the GSEA output </w:t>
      </w:r>
      <w:r>
        <w:rPr>
          <w:rFonts w:eastAsia="Times New Roman" w:cstheme="minorHAnsi"/>
        </w:rPr>
        <w:t xml:space="preserve">summary </w:t>
      </w:r>
      <w:proofErr w:type="spellStart"/>
      <w:r>
        <w:rPr>
          <w:rFonts w:eastAsia="Times New Roman" w:cstheme="minorHAnsi"/>
        </w:rPr>
        <w:t>barplot</w:t>
      </w:r>
      <w:proofErr w:type="spellEnd"/>
      <w:r>
        <w:rPr>
          <w:rFonts w:eastAsia="Times New Roman" w:cstheme="minorHAnsi"/>
        </w:rPr>
        <w:t xml:space="preserve"> for the analysis specified by the GO/HALL/KE</w:t>
      </w:r>
      <w:r>
        <w:rPr>
          <w:rFonts w:eastAsia="Times New Roman" w:cstheme="minorHAnsi"/>
        </w:rPr>
        <w:t>GG</w:t>
      </w:r>
    </w:p>
    <w:p w14:paraId="5529BCB1" w14:textId="7D561C93" w:rsidR="009C53B1" w:rsidRDefault="009C53B1" w:rsidP="009C5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Comp_XXXX_</w:t>
      </w:r>
      <w:r>
        <w:rPr>
          <w:rFonts w:eastAsia="Times New Roman" w:cstheme="minorHAnsi"/>
          <w:b/>
        </w:rPr>
        <w:t>hypergeo</w:t>
      </w:r>
      <w:r>
        <w:rPr>
          <w:rFonts w:eastAsia="Times New Roman" w:cstheme="minorHAnsi"/>
          <w:b/>
        </w:rPr>
        <w:t>_GO</w:t>
      </w:r>
      <w:proofErr w:type="spellEnd"/>
      <w:r>
        <w:rPr>
          <w:rFonts w:eastAsia="Times New Roman" w:cstheme="minorHAnsi"/>
          <w:b/>
        </w:rPr>
        <w:t>/HALL/KEGG.csv</w:t>
      </w:r>
      <w:r>
        <w:rPr>
          <w:rFonts w:eastAsia="Times New Roman" w:cstheme="minorHAnsi"/>
        </w:rPr>
        <w:t xml:space="preserve"> – this is the </w:t>
      </w:r>
      <w:r>
        <w:rPr>
          <w:rFonts w:eastAsia="Times New Roman" w:cstheme="minorHAnsi"/>
        </w:rPr>
        <w:t>hypergeometric test</w:t>
      </w:r>
      <w:r>
        <w:rPr>
          <w:rFonts w:eastAsia="Times New Roman" w:cstheme="minorHAnsi"/>
        </w:rPr>
        <w:t xml:space="preserve"> output table for the analysis specified by the GO/HALL/KEGG</w:t>
      </w:r>
    </w:p>
    <w:p w14:paraId="6B931F26" w14:textId="6A8FAF8C" w:rsidR="009C53B1" w:rsidRDefault="009C53B1" w:rsidP="009C53B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7F2035">
        <w:rPr>
          <w:rFonts w:eastAsia="Times New Roman" w:cstheme="minorHAnsi"/>
          <w:b/>
          <w:highlight w:val="yellow"/>
        </w:rPr>
        <w:t>GOI</w:t>
      </w:r>
      <w:r>
        <w:rPr>
          <w:rFonts w:eastAsia="Times New Roman" w:cstheme="minorHAnsi"/>
        </w:rPr>
        <w:t xml:space="preserve"> – stands for Genes of Interest – these are plots highlighting SPECIFICALLY REQUESTED plots showing particular genes or pathways of interest</w:t>
      </w:r>
    </w:p>
    <w:p w14:paraId="254E8F6A" w14:textId="32B5A467" w:rsidR="009C53B1" w:rsidRDefault="009C53B1" w:rsidP="009C53B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Ssgsea</w:t>
      </w:r>
      <w:proofErr w:type="spellEnd"/>
      <w:r>
        <w:rPr>
          <w:rFonts w:eastAsia="Times New Roman" w:cstheme="minorHAnsi"/>
        </w:rPr>
        <w:t xml:space="preserve"> – single sample </w:t>
      </w:r>
      <w:proofErr w:type="spellStart"/>
      <w:r>
        <w:rPr>
          <w:rFonts w:eastAsia="Times New Roman" w:cstheme="minorHAnsi"/>
        </w:rPr>
        <w:t>geneset</w:t>
      </w:r>
      <w:proofErr w:type="spellEnd"/>
      <w:r>
        <w:rPr>
          <w:rFonts w:eastAsia="Times New Roman" w:cstheme="minorHAnsi"/>
        </w:rPr>
        <w:t xml:space="preserve"> analysis output – with a FOLDER PER ANNOTATION FILE (</w:t>
      </w:r>
      <w:proofErr w:type="spellStart"/>
      <w:r>
        <w:rPr>
          <w:rFonts w:eastAsia="Times New Roman" w:cstheme="minorHAnsi"/>
        </w:rPr>
        <w:t>Kegg</w:t>
      </w:r>
      <w:proofErr w:type="spellEnd"/>
      <w:r>
        <w:rPr>
          <w:rFonts w:eastAsia="Times New Roman" w:cstheme="minorHAnsi"/>
        </w:rPr>
        <w:t>, GO, hallmark, etc.)</w:t>
      </w:r>
    </w:p>
    <w:p w14:paraId="7D70D469" w14:textId="2DF21B7D" w:rsidR="009C53B1" w:rsidRDefault="009C53B1" w:rsidP="009C5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7F2035">
        <w:rPr>
          <w:rFonts w:eastAsia="Times New Roman" w:cstheme="minorHAnsi"/>
          <w:b/>
          <w:highlight w:val="yellow"/>
        </w:rPr>
        <w:t>XXX_ssgsea.pdf</w:t>
      </w:r>
      <w:r>
        <w:rPr>
          <w:rFonts w:eastAsia="Times New Roman" w:cstheme="minorHAnsi"/>
        </w:rPr>
        <w:t xml:space="preserve"> – plot showing the </w:t>
      </w:r>
      <w:proofErr w:type="spellStart"/>
      <w:r>
        <w:rPr>
          <w:rFonts w:eastAsia="Times New Roman" w:cstheme="minorHAnsi"/>
        </w:rPr>
        <w:t>ssGSEA</w:t>
      </w:r>
      <w:proofErr w:type="spellEnd"/>
      <w:r>
        <w:rPr>
          <w:rFonts w:eastAsia="Times New Roman" w:cstheme="minorHAnsi"/>
        </w:rPr>
        <w:t xml:space="preserve"> for the top differentially expressed pathways output from the BULK GSEA done previously (described above)</w:t>
      </w:r>
    </w:p>
    <w:p w14:paraId="3C15526B" w14:textId="25260BF5" w:rsidR="009C53B1" w:rsidRDefault="009C53B1" w:rsidP="009C5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>Most everything else in the folder is not important</w:t>
      </w:r>
    </w:p>
    <w:p w14:paraId="3FA586C7" w14:textId="3391E03F" w:rsidR="009C53B1" w:rsidRPr="009C53B1" w:rsidRDefault="009C53B1" w:rsidP="009C5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>Normcounttab_v12_ssGSEA-combined.gct</w:t>
      </w:r>
      <w:r>
        <w:rPr>
          <w:rFonts w:eastAsia="Times New Roman" w:cstheme="minorHAnsi"/>
        </w:rPr>
        <w:t xml:space="preserve"> – is the super table for all of the </w:t>
      </w:r>
      <w:proofErr w:type="spellStart"/>
      <w:r>
        <w:rPr>
          <w:rFonts w:eastAsia="Times New Roman" w:cstheme="minorHAnsi"/>
        </w:rPr>
        <w:t>ssgsea</w:t>
      </w:r>
      <w:proofErr w:type="spellEnd"/>
      <w:r>
        <w:rPr>
          <w:rFonts w:eastAsia="Times New Roman" w:cstheme="minorHAnsi"/>
        </w:rPr>
        <w:t xml:space="preserve"> analysis. This will include the columns that show the enrichment scores, </w:t>
      </w:r>
      <w:proofErr w:type="spellStart"/>
      <w:r>
        <w:rPr>
          <w:rFonts w:eastAsia="Times New Roman" w:cstheme="minorHAnsi"/>
        </w:rPr>
        <w:t>pbalues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fdrs</w:t>
      </w:r>
      <w:proofErr w:type="spellEnd"/>
      <w:r>
        <w:rPr>
          <w:rFonts w:eastAsia="Times New Roman" w:cstheme="minorHAnsi"/>
        </w:rPr>
        <w:t xml:space="preserve">, </w:t>
      </w:r>
      <w:proofErr w:type="gramStart"/>
      <w:r>
        <w:rPr>
          <w:rFonts w:eastAsia="Times New Roman" w:cstheme="minorHAnsi"/>
        </w:rPr>
        <w:t>etc..</w:t>
      </w:r>
      <w:proofErr w:type="gramEnd"/>
    </w:p>
    <w:p w14:paraId="64290AEE" w14:textId="77777777" w:rsidR="00D87129" w:rsidRPr="00D87129" w:rsidRDefault="00D87129" w:rsidP="00D87129">
      <w:pPr>
        <w:rPr>
          <w:b/>
        </w:rPr>
      </w:pPr>
    </w:p>
    <w:sectPr w:rsidR="00D87129" w:rsidRPr="00D87129" w:rsidSect="0036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508A"/>
    <w:multiLevelType w:val="hybridMultilevel"/>
    <w:tmpl w:val="1E2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C1F"/>
    <w:multiLevelType w:val="hybridMultilevel"/>
    <w:tmpl w:val="78E6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D7"/>
    <w:rsid w:val="001D38D7"/>
    <w:rsid w:val="003651A6"/>
    <w:rsid w:val="00392F28"/>
    <w:rsid w:val="00443081"/>
    <w:rsid w:val="004A0CB6"/>
    <w:rsid w:val="00510856"/>
    <w:rsid w:val="00597BBE"/>
    <w:rsid w:val="00647870"/>
    <w:rsid w:val="00662A3E"/>
    <w:rsid w:val="007560E0"/>
    <w:rsid w:val="007F2035"/>
    <w:rsid w:val="008855BD"/>
    <w:rsid w:val="008F224D"/>
    <w:rsid w:val="009C53B1"/>
    <w:rsid w:val="00A2368A"/>
    <w:rsid w:val="00C05B81"/>
    <w:rsid w:val="00D87129"/>
    <w:rsid w:val="00DB531B"/>
    <w:rsid w:val="00DC16A4"/>
    <w:rsid w:val="00E173A5"/>
    <w:rsid w:val="00E67DF3"/>
    <w:rsid w:val="00F6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13C7"/>
  <w14:defaultImageDpi w14:val="32767"/>
  <w15:chartTrackingRefBased/>
  <w15:docId w15:val="{A98FB665-95E6-8A48-94C8-F52512C5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D7"/>
    <w:pPr>
      <w:ind w:left="720"/>
      <w:contextualSpacing/>
    </w:pPr>
  </w:style>
  <w:style w:type="table" w:styleId="TableGrid">
    <w:name w:val="Table Grid"/>
    <w:basedOn w:val="TableNormal"/>
    <w:uiPriority w:val="39"/>
    <w:rsid w:val="001D3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1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8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e.io/connectopedia/gct_format" TargetMode="External"/><Relationship Id="rId5" Type="http://schemas.openxmlformats.org/officeDocument/2006/relationships/hyperlink" Target="http://software.broadinstitute.org/cancer/software/genepattern/file-formats-guide#G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 Cornwell</dc:creator>
  <cp:keywords/>
  <dc:description/>
  <cp:lastModifiedBy>MacIntosh Cornwell</cp:lastModifiedBy>
  <cp:revision>3</cp:revision>
  <dcterms:created xsi:type="dcterms:W3CDTF">2019-11-01T20:29:00Z</dcterms:created>
  <dcterms:modified xsi:type="dcterms:W3CDTF">2019-11-01T21:36:00Z</dcterms:modified>
</cp:coreProperties>
</file>