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4D358" w14:textId="1A4AB41D" w:rsidR="00176BB0" w:rsidRPr="00C76C14" w:rsidRDefault="00176BB0">
      <w:pPr>
        <w:rPr>
          <w:b/>
          <w:bCs/>
          <w:sz w:val="24"/>
          <w:szCs w:val="24"/>
        </w:rPr>
      </w:pPr>
      <w:r w:rsidRPr="00C76C14">
        <w:rPr>
          <w:b/>
          <w:bCs/>
          <w:sz w:val="24"/>
          <w:szCs w:val="24"/>
        </w:rPr>
        <w:t>Methods</w:t>
      </w:r>
    </w:p>
    <w:p w14:paraId="65DDE75E" w14:textId="00FFC1D2" w:rsidR="00A86D1A" w:rsidRDefault="00A86D1A">
      <w:pPr>
        <w:rPr>
          <w:b/>
          <w:bCs/>
          <w:i/>
          <w:iCs/>
        </w:rPr>
      </w:pPr>
      <w:r>
        <w:rPr>
          <w:b/>
          <w:bCs/>
          <w:i/>
          <w:iCs/>
        </w:rPr>
        <w:t>Study area</w:t>
      </w:r>
    </w:p>
    <w:p w14:paraId="6EBB446B" w14:textId="55D5C116" w:rsidR="00A86D1A" w:rsidRPr="00A86D1A" w:rsidRDefault="00A86D1A">
      <w:r>
        <w:t xml:space="preserve">This study investigated macroeconomic and socioeconomic predictors of forest cover and loss in Cambodia at two different </w:t>
      </w:r>
      <w:r w:rsidR="00260194">
        <w:t>spatial resolutions</w:t>
      </w:r>
      <w:r>
        <w:t xml:space="preserve"> over two time periods. The macroeconomic analysis </w:t>
      </w:r>
      <w:r w:rsidR="00260194">
        <w:t>was at the</w:t>
      </w:r>
      <w:r w:rsidR="0074709B">
        <w:t xml:space="preserve"> national scale between 1993 – 2015, and the socioeconomic analysis was at the scale of a) the commune, and b) the province between 2007 – 2012. </w:t>
      </w:r>
      <w:r w:rsidR="0074709B" w:rsidRPr="0074709B">
        <w:t>Cambodia is in mainland SEA and is bordered by Laos (NE), Thailand (NW), Vietnam (E), and the Gulf of Thailand (SW) (</w:t>
      </w:r>
      <w:r w:rsidR="0074709B" w:rsidRPr="0074709B">
        <w:rPr>
          <w:highlight w:val="yellow"/>
        </w:rPr>
        <w:t>Figure x</w:t>
      </w:r>
      <w:r w:rsidR="0074709B" w:rsidRPr="0074709B">
        <w:t>).  The country has a surface area of 176,520 km2 (UNCTAD, 2020) and is located at latitudes 10-14</w:t>
      </w:r>
      <w:r w:rsidR="0074709B">
        <w:rPr>
          <w:rFonts w:cstheme="minorHAnsi"/>
        </w:rPr>
        <w:t>°</w:t>
      </w:r>
      <w:r w:rsidR="0074709B" w:rsidRPr="0074709B">
        <w:t xml:space="preserve"> north of the equator and thus has a tropical monsoon climate (McSweeney et al. 2010).  </w:t>
      </w:r>
    </w:p>
    <w:p w14:paraId="02E8B06D" w14:textId="43887ADA" w:rsidR="00BB19ED" w:rsidRPr="00C76C14" w:rsidRDefault="00BB19ED">
      <w:pPr>
        <w:rPr>
          <w:b/>
          <w:bCs/>
          <w:i/>
          <w:iCs/>
        </w:rPr>
      </w:pPr>
      <w:r w:rsidRPr="00C76C14">
        <w:rPr>
          <w:b/>
          <w:bCs/>
          <w:i/>
          <w:iCs/>
        </w:rPr>
        <w:t>Variable selection</w:t>
      </w:r>
    </w:p>
    <w:p w14:paraId="0643916C" w14:textId="77777777" w:rsidR="0074709B" w:rsidRDefault="00007B27">
      <w:r>
        <w:t xml:space="preserve">The response variable for </w:t>
      </w:r>
      <w:r w:rsidR="00BD1065">
        <w:t xml:space="preserve">the macroeconomic analysis was change in forest cover from time </w:t>
      </w:r>
      <w:r w:rsidR="00BD1065" w:rsidRPr="00BD1065">
        <w:rPr>
          <w:i/>
          <w:iCs/>
        </w:rPr>
        <w:t>t</w:t>
      </w:r>
      <w:r w:rsidR="00BD1065">
        <w:t xml:space="preserve"> to time </w:t>
      </w:r>
      <w:r w:rsidR="00BD1065" w:rsidRPr="00BD1065">
        <w:rPr>
          <w:i/>
          <w:iCs/>
        </w:rPr>
        <w:t>t</w:t>
      </w:r>
      <w:r w:rsidR="00BD1065" w:rsidRPr="00BD1065">
        <w:rPr>
          <w:i/>
          <w:iCs/>
          <w:vertAlign w:val="subscript"/>
        </w:rPr>
        <w:t>+1</w:t>
      </w:r>
      <w:r w:rsidR="00BD1065">
        <w:t xml:space="preserve">. The response variable for the socioeconomic analysis was forest cover area. Both response variables were produced from the same data source (see “Data sources” below). </w:t>
      </w:r>
      <w:r w:rsidR="001B33F4">
        <w:t xml:space="preserve">Macroeconomic, socioeconomic, and control variables for both sets of analysis were selected based on a combination of previous studies, data availability, and the authors’ knowledge of Cambodia. </w:t>
      </w:r>
    </w:p>
    <w:p w14:paraId="2D14A6D9" w14:textId="36982801" w:rsidR="000505EC" w:rsidRDefault="000505EC">
      <w:r>
        <w:t>Macroeconomic variables were selected to create three sets</w:t>
      </w:r>
      <w:r w:rsidR="00AB1479">
        <w:t xml:space="preserve"> of predictors, each targeting a different driver</w:t>
      </w:r>
      <w:r>
        <w:t>: economic development</w:t>
      </w:r>
      <w:r w:rsidR="00CC449B">
        <w:t xml:space="preserve"> (n=10)</w:t>
      </w:r>
      <w:r>
        <w:t>, commodity prices</w:t>
      </w:r>
      <w:r w:rsidR="00AB1479">
        <w:t xml:space="preserve"> (external market forces</w:t>
      </w:r>
      <w:r w:rsidR="00CC449B">
        <w:t>, n=8</w:t>
      </w:r>
      <w:r w:rsidR="00AB1479">
        <w:t>)</w:t>
      </w:r>
      <w:r>
        <w:t>, and producer prices</w:t>
      </w:r>
      <w:r w:rsidR="00AB1479">
        <w:t xml:space="preserve"> (internal market forces</w:t>
      </w:r>
      <w:r w:rsidR="00CC449B">
        <w:t>, n=5</w:t>
      </w:r>
      <w:r w:rsidR="00AB1479">
        <w:t xml:space="preserve">) </w:t>
      </w:r>
      <w:r w:rsidR="00AB1479">
        <w:fldChar w:fldCharType="begin"/>
      </w:r>
      <w:r w:rsidR="00AB1479">
        <w:instrText xml:space="preserve"> ADDIN ZOTERO_ITEM CSL_CITATION {"citationID":"Jh7awMDy","properties":{"formattedCitation":"(Nelson et al. 2006; Ewers 2006; Gong et al. 2013; Kuang et al. 2016; Fan &amp; Ding 2016; Bonilla-Bedoya et al. 2018)","plainCitation":"(Nelson et al. 2006; Ewers 2006; Gong et al. 2013; Kuang et al. 2016; Fan &amp; Ding 2016; Bonilla-Bedoya et al. 2018)","noteIndex":0},"citationItems":[{"id":165,"uris":["http://zotero.org/users/2170232/items/9J63RXYK"],"uri":["http://zotero.org/users/2170232/items/9J63RXYK"],"itemData":{"id":165,"type":"article-journal","abstract":"This paper provides an overview of what the Millennium Ecosystem Assessment (MA) call \"indirect and direct drivers\" of change in ecosystem services at a global level. The MA definition of a driver is any natural or human-induced factor that directly or indirectly causes a change in an ecosystem. A direct driver unequivocally influences ecosystem processes. An indirect driver operates more diffusely by altering one or more direct drivers. Global driving forces are categorized as demographic, economic, sociopolitical, cultural and religious, scientific and technological, and physical and biological. Drivers in all categories other than physical and biological are considered indirect. Important direct drivers include changes in climate, plant nutrient use, land conversion, and diseases and invasive species. This paper does not  discuss natural drivers such as climate variability, extreme weather events, or volcanic eruptions.","container-title":"Ecology and Society","ISSN":"1708-3087","language":"en","source":"pure.iiasa.ac.at","title":"Anthropogenic drivers of ecosystem change: An overview","title-short":"Anthropogenic drivers of ecosystem change","URL":"http://www.ecologyandsociety.org/vol11/iss2/art29/","volume":"11","author":[{"family":"Nelson","given":"G. C."},{"family":"Dobermann","given":"A."},{"family":"Nakicenovic","given":"N."},{"family":"O'Neill","given":"B. C."}],"accessed":{"date-parts":[["2019",3,1]]},"issued":{"date-parts":[["2006"]]}}},{"id":2120,"uris":["http://zotero.org/users/2170232/items/SQR23FC7"],"uri":["http://zotero.org/users/2170232/items/SQR23FC7"],"itemData":{"id":2120,"type":"article-journal","abstract":"Recent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AB1479">
        <w:fldChar w:fldCharType="separate"/>
      </w:r>
      <w:r w:rsidR="00AB1479" w:rsidRPr="00AB1479">
        <w:rPr>
          <w:rFonts w:ascii="Calibri" w:hAnsi="Calibri" w:cs="Calibri"/>
        </w:rPr>
        <w:t>(Nelson et al. 2006; Ewers 2006; Gong et al. 2013; Kuang et al. 2016; Fan &amp; Ding 2016; Bonilla-Bedoya et al. 2018)</w:t>
      </w:r>
      <w:r w:rsidR="00AB1479">
        <w:fldChar w:fldCharType="end"/>
      </w:r>
      <w:r w:rsidR="00AB1479">
        <w:t>. Both</w:t>
      </w:r>
      <w:r w:rsidR="0074709B">
        <w:t xml:space="preserve"> </w:t>
      </w:r>
      <w:r w:rsidR="0074709B">
        <w:t>per capita</w:t>
      </w:r>
      <w:r w:rsidR="00AB1479">
        <w:t xml:space="preserve"> Gross Domestic Product (GDP) and amount of forest remaining were included to reflect the economic development path and the forest scarcity path respectively </w:t>
      </w:r>
      <w:r w:rsidR="00AB1479">
        <w:fldChar w:fldCharType="begin"/>
      </w:r>
      <w:r w:rsidR="00AB1479">
        <w:instrText xml:space="preserve"> ADDIN ZOTERO_ITEM CSL_CITATION {"citationID":"7L9iv0wG","properties":{"formattedCitation":"(Rudel et al. 2005; Lambin &amp; Meyfroidt 2010)","plainCitation":"(Rudel et al. 2005; Lambin &amp; Meyfroidt 2010)","noteIndex":0},"citationItems":[{"id":2121,"uris":["http://zotero.org/users/2170232/items/QDZVC72B"],"uri":["http://zotero.org/users/2170232/items/QDZVC72B"],"itemData":{"id":2121,"type":"article-journal","abstract":"Places experience forest transitions when declines in forest cover cease and recoveries in forest cover begin. Forest transitions have occurred in two, sometimes overlapping circumstances. In some places economic development has created enough non-farm jobs to pull farmers off of the land, thereby inducing the spontaneous regeneration of forests in old fields. In other places a scarcity of forest products has prompted governments and landowners to plant trees in some fields. The transitions do little to conserve biodiversity, but they do sequester carbon and conserve soil, so governments should place a high priority on promoting them.","container-title":"Global Environmental Change","DOI":"10.1016/j.gloenvcha.2004.11.001","ISSN":"0959-3780","issue":"1","journalAbbreviation":"Global Environmental Change","language":"en","page":"23-31","source":"ScienceDirect","title":"Forest transitions: towards a global understanding of land use change","title-short":"Forest transitions","volume":"15","author":[{"family":"Rudel","given":"Thomas K."},{"family":"Coomes","given":"Oliver T."},{"family":"Moran","given":"Emilio"},{"family":"Achard","given":"Frederic"},{"family":"Angelsen","given":"Arild"},{"family":"Xu","given":"Jianchu"},{"family":"Lambin","given":"Eric"}],"issued":{"date-parts":[["2005",4,1]]}}},{"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00AB1479">
        <w:fldChar w:fldCharType="separate"/>
      </w:r>
      <w:r w:rsidR="00AB1479" w:rsidRPr="00AB1479">
        <w:rPr>
          <w:rFonts w:ascii="Calibri" w:hAnsi="Calibri" w:cs="Calibri"/>
        </w:rPr>
        <w:t>(Rudel et al. 2005; Lambin &amp; Meyfroidt 2010)</w:t>
      </w:r>
      <w:r w:rsidR="00AB1479">
        <w:fldChar w:fldCharType="end"/>
      </w:r>
      <w:r w:rsidR="00AB1479">
        <w:t xml:space="preserve">. </w:t>
      </w:r>
      <w:r>
        <w:t xml:space="preserve"> </w:t>
      </w:r>
    </w:p>
    <w:p w14:paraId="168D1EB3" w14:textId="7A453313" w:rsidR="00AB1479" w:rsidRDefault="00AB1479">
      <w:r>
        <w:t xml:space="preserve">Socioeconomic variables were </w:t>
      </w:r>
      <w:r w:rsidR="00CC449B">
        <w:t xml:space="preserve">selected to create 8 variable sets reflecting different aspects of socioeconomic status and development </w:t>
      </w:r>
      <w:r w:rsidR="00CC449B">
        <w:fldChar w:fldCharType="begin"/>
      </w:r>
      <w:r w:rsidR="00CC449B">
        <w:instrText xml:space="preserve"> ADDIN ZOTERO_ITEM CSL_CITATION {"citationID":"JoSCyoNc","properties":{"formattedCitation":"(Luck et al. 2009; Ty et al. 2012; Kristensen et al. 2016; Bonilla-Bedoya et al. 2018)","plainCitation":"(Luck et al. 2009; Ty et al. 2012; Kristensen et al. 2016; Bonilla-Bedoya et al. 2018)","noteIndex":0},"citationItems":[{"id":2655,"uris":["http://zotero.org/users/2170232/items/P4U3LHQJ"],"uri":["http://zotero.org/users/2170232/items/P4U3LHQJ"],"itemData":{"id":2655,"type":"article-journal","abstract":"By 2050, 70% of the Earth’s human population will live in urban areas. Urbanization can have a devastating impact on local ecosystems, but these impacts vary across time and space. Identifying links between spatiotemporal change in urban ecosystems and neighborhood socio-economics is crucial to management aimed at maintaining flora and fauna in urban areas. Here, we tracked 20 years of socio-economic change and 15 years of vegetation change in 32 residential neighborhoods in south-eastern Australia. Regression models that explicitly accounted for a time lag between neighborhood socio-economic characteristics and vegetation response explained more variation in vegetation cover than models that ignored the effects of time. Also, relationships between vegetation and socio-economic factors were stronger in later years for the same neighborhoods suggesting the influence of socio-economics is more readily identified in established neighborhoods. Socio-economic variables alone, or in combination with biophysical variables, were better predictors of vegetation cover than only biophysical variables. Across space, vegetation cover had a negative quadratic relationship with neighborhood housing density, peaking at mid-density values, and a positive relationship with education level and immigration status (the percentage of residents with a non-Australian background). Over time, housing density had a positive relationship with vegetation cover, reflecting an increase in vegetation as neighborhoods develop. Our results highlight the need to understand temporal context when attempting to explain contemporary patterns in vegetation cover and the increasing importance of socio-economic factors in influencing cover as neighborhoods become established.","container-title":"Ecosystems","DOI":"10.1007/s10021-009-9244-6","ISSN":"1435-0629","issue":"4","journalAbbreviation":"Ecosystems","language":"en","page":"604","source":"Springer Link","title":"Socio-Economics and Vegetation Change in Urban Ecosystems: Patterns in Space and Time","title-short":"Socio-Economics and Vegetation Change in Urban Ecosystems","volume":"12","author":[{"family":"Luck","given":"Gary W."},{"family":"Smallbone","given":"Lisa T."},{"family":"O’Brien","given":"Rachel"}],"issued":{"date-parts":[["2009",3,12]]}}},{"id":1660,"uris":["http://zotero.org/users/2170232/items/ELFJNY56"],"uri":["http://zotero.org/users/2170232/items/ELFJNY56"],"itemData":{"id":1660,"type":"article-journal","abstract":"This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id":2659,"uris":["http://zotero.org/users/2170232/items/M668EE6L"],"uri":["http://zotero.org/users/2170232/items/M668EE6L"],"itemData":{"id":2659,"type":"article-journal","abstract":"Many of the semi-natural landscape elements found in rural areas, such as woodlots, hedgerows and grasslands, were originally maintained as part of the agricultural system. During the 20th century, they lost most of their functions and were often removed or transformed. Presently, production concerns are less dominant and many landscape and land use changes are undertaken to improve public goods or fulfil personal and family ambitions and values. This paper investigates the patterns of farm-level land use changes that occurred between 2002 and 2012 in three different landscape regions of Europe (peri-urban landscapes, areas with marginal potential for agriculture, post-socialist landscapes) and the drivers behind, based on a questionnaire survey in six study areas. A second objective is to analyse landowners’ decision-making and endogenous factors that are correlated with their engagement in land use changes. Common to all areas is that agricultural production is under pressure due to physical or socio-economic challenges. The results indicate that relatively more nature or landscape features have been added by landowners than removed by them in the six study areas. Furthermore, the analysis revealed that full-time landowners were responsible for the largest proportion of landscape change and that the areas involved differed greatly. The analysis also underlined the variety of European landscapes, as many landscape activities exhibited strong geographical patterns. A multivariate analysis of the relationship between ten farm and landowner characteristics confirmed the geographical diversity, as only a dummy variable representing the geographical location was statistically significant. When location was omitted from the analysis, two factors were significant: farm size and ownership of livestock. In addition, the results suggest that landowners in peri-urban locations were more engaged in landscape activities than landowners in other locations.","container-title":"Land Use Policy","DOI":"10.1016/j.landusepol.2015.07.014","ISSN":"0264-8377","journalAbbreviation":"Land Use Policy","language":"en","page":"786-799","source":"ScienceDirect","title":"Patterns and drivers of farm-level land use change in selected European rural landscapes","volume":"57","author":[{"family":"Kristensen","given":"Søren Bech Pilgaard"},{"family":"Busck","given":"Anne Gravsholt"},{"family":"Sluis","given":"Theo","non-dropping-particle":"van der"},{"family":"Gaube","given":"Veronika"}],"issued":{"date-parts":[["2016",11,30]]}}},{"id":179,"uris":["http://zotero.org/users/2170232/items/WZLMGHYE"],"uri":["http://zotero.org/users/2170232/items/WZLMGHYE"],"itemData":{"id":179,"type":"article-journal","abstract":"The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CC449B">
        <w:fldChar w:fldCharType="separate"/>
      </w:r>
      <w:r w:rsidR="00CC449B" w:rsidRPr="000505EC">
        <w:rPr>
          <w:rFonts w:ascii="Calibri" w:hAnsi="Calibri" w:cs="Calibri"/>
        </w:rPr>
        <w:t>(Luck et al. 2009; Ty et al. 2012; Kristensen et al. 2016; Bonilla-Bedoya et al. 2018)</w:t>
      </w:r>
      <w:r w:rsidR="00CC449B">
        <w:fldChar w:fldCharType="end"/>
      </w:r>
      <w:r w:rsidR="00CC449B">
        <w:t>. The variable sets were population demographics (n=8), education (n=4), employment (n=5), economic security (n=2), access to services (n=4), social justice (n=2), migration (n=2), and control</w:t>
      </w:r>
      <w:r w:rsidR="00007B27">
        <w:t xml:space="preserve"> variables</w:t>
      </w:r>
      <w:r w:rsidR="00CC449B">
        <w:t xml:space="preserve"> (n=6). </w:t>
      </w:r>
      <w:r w:rsidR="0011722E">
        <w:t xml:space="preserve">Control variables were included to account for the effects of environmental and other human factors including economic land concessions </w:t>
      </w:r>
      <w:r w:rsidR="0011722E">
        <w:fldChar w:fldCharType="begin"/>
      </w:r>
      <w:r w:rsidR="0011722E">
        <w:instrText xml:space="preserve"> ADDIN ZOTERO_ITEM CSL_CITATION {"citationID":"YS0y28tC","properties":{"formattedCitation":"(Abdullah &amp; Nakagoshi 2007; Davis et al. 2015)","plainCitation":"(Abdullah &amp; Nakagoshi 2007; Davis et al. 2015)","noteIndex":0},"citationItems":[{"id":2636,"uris":["http://zotero.org/users/2170232/items/BW7PN9QB"],"uri":["http://zotero.org/users/2170232/items/BW7PN9QB"],"itemData":{"id":2636,"type":"article-journal","abstract":"In many tropical countries forest fragmentation caused by changes in human land use activities is of primary concern for sustainability. In Malaysia this relationship is usually described without any quantitative measurement to show the implications for land use planning and management. To understand this relationship, this study developed a single forest fragmentation index based on a combination of three landscape metrics, i.e., non-forest area, forest edge bordered by human land use and patch size coefficient of variation, using the state of Selangor, Malaysia as a case study. Two defined natural landscapes; wetland and forest landscapes were used as a basic unit of analyses of pattern change of forest fragmentation and its relationship to human land use in three temporal years of 1966, 1981 and 1995. Results showed that forest fragmentation in the state of Selangor generally increased during the time periods studied. Multiple regression analysis showed that human land use is an important determinant of forest fragmentation, but the significance of several land uses as explanatory variables to forest fragmentation changed temporally. Oil palm and rubber plantations were apparently the major contributors to forest fragmentation. Differences in fragmentation pattern occurred between the two natural landscapes. Forest fragmentation increased in the wetland landscape, whereas not much change was observed in the forest landscape. Oil palm plantation appeared to be the major contributor to forest fragmentation in the wetland landscape, whereas rubber plantation was the major factor in the forest landscape. This study also revealed that knowledge of forest fragmentation through a single index in different natural landscapes provides a pathway for identifying which forested areas are highly threatened and must be given priority in strategic planning of nature conservation. In conclusion, it is vital to understand the relationship between changes in human land use and degree of forest degradation measured by a single index in order to describe the implications for land use planning and management.","container-title":"Forest Ecology and Management","DOI":"10.1016/j.foreco.2006.12.016","ISSN":"0378-1127","issue":"1","journalAbbreviation":"Forest Ecology and Management","language":"en","page":"39-48","source":"ScienceDirect","title":"Forest fragmentation and its correlation to human land use change in the state of Selangor, peninsular Malaysia","volume":"241","author":[{"family":"Abdullah","given":"Saiful Arif"},{"family":"Nakagoshi","given":"Nobukazu"}],"issued":{"date-parts":[["2007",3,30]]}}},{"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11722E">
        <w:fldChar w:fldCharType="separate"/>
      </w:r>
      <w:r w:rsidR="0011722E" w:rsidRPr="000505EC">
        <w:rPr>
          <w:rFonts w:ascii="Calibri" w:hAnsi="Calibri" w:cs="Calibri"/>
        </w:rPr>
        <w:t>(Abdullah &amp; Nakagoshi 2007; Davis et al. 2015)</w:t>
      </w:r>
      <w:r w:rsidR="0011722E">
        <w:fldChar w:fldCharType="end"/>
      </w:r>
      <w:r w:rsidR="0011722E">
        <w:t xml:space="preserve">, protected areas </w:t>
      </w:r>
      <w:r w:rsidR="0011722E">
        <w:fldChar w:fldCharType="begin"/>
      </w:r>
      <w:r w:rsidR="0011722E">
        <w:instrText xml:space="preserve"> ADDIN ZOTERO_ITEM CSL_CITATION {"citationID":"KPXyqeHU","properties":{"formattedCitation":"(Bonilla-Bedoya et al. 2018)","plainCitation":"(Bonilla-Bedoya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11722E">
        <w:fldChar w:fldCharType="separate"/>
      </w:r>
      <w:r w:rsidR="0011722E" w:rsidRPr="000505EC">
        <w:rPr>
          <w:rFonts w:ascii="Calibri" w:hAnsi="Calibri" w:cs="Calibri"/>
        </w:rPr>
        <w:t>(Bonilla-Bedoya et al. 2018)</w:t>
      </w:r>
      <w:r w:rsidR="0011722E">
        <w:fldChar w:fldCharType="end"/>
      </w:r>
      <w:r w:rsidR="0011722E">
        <w:t xml:space="preserve">, elevation </w:t>
      </w:r>
      <w:r w:rsidR="0011722E">
        <w:fldChar w:fldCharType="begin"/>
      </w:r>
      <w:r w:rsidR="0011722E">
        <w:instrText xml:space="preserve"> ADDIN ZOTERO_ITEM CSL_CITATION {"citationID":"otYqPcRZ","properties":{"formattedCitation":"(Ty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0011722E">
        <w:fldChar w:fldCharType="separate"/>
      </w:r>
      <w:r w:rsidR="0011722E" w:rsidRPr="000505EC">
        <w:rPr>
          <w:rFonts w:ascii="Calibri" w:hAnsi="Calibri" w:cs="Calibri"/>
        </w:rPr>
        <w:t>(Ty et al. 2012)</w:t>
      </w:r>
      <w:r w:rsidR="0011722E">
        <w:fldChar w:fldCharType="end"/>
      </w:r>
      <w:r w:rsidR="0011722E">
        <w:t xml:space="preserve">, and distance to human infrastructure </w:t>
      </w:r>
      <w:r w:rsidR="0011722E">
        <w:fldChar w:fldCharType="begin"/>
      </w:r>
      <w:r w:rsidR="00D667FE">
        <w:instrText xml:space="preserve"> ADDIN ZOTERO_ITEM CSL_CITATION {"citationID":"0lM0f2uy","properties":{"formattedCitation":"(Ty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0011722E">
        <w:fldChar w:fldCharType="separate"/>
      </w:r>
      <w:r w:rsidR="0011722E" w:rsidRPr="000505EC">
        <w:rPr>
          <w:rFonts w:ascii="Calibri" w:hAnsi="Calibri" w:cs="Calibri"/>
        </w:rPr>
        <w:t>(Ty et al. 2012)</w:t>
      </w:r>
      <w:r w:rsidR="0011722E">
        <w:fldChar w:fldCharType="end"/>
      </w:r>
      <w:r w:rsidR="0011722E">
        <w:t xml:space="preserve">. </w:t>
      </w:r>
      <w:r w:rsidR="00BD1065">
        <w:t>A h</w:t>
      </w:r>
      <w:r w:rsidR="00007B27">
        <w:t>abitat</w:t>
      </w:r>
      <w:r w:rsidR="00BD1065">
        <w:t xml:space="preserve"> control variable</w:t>
      </w:r>
      <w:r w:rsidR="00007B27">
        <w:t xml:space="preserve"> was excluded because </w:t>
      </w:r>
      <w:r w:rsidR="00BD1065">
        <w:t xml:space="preserve">the response variable (forest cover) was extracted from a land cover layer and represented a specific type of habitat, resulting in non-independence between the response and habitat. </w:t>
      </w:r>
      <w:r w:rsidR="0011722E">
        <w:t xml:space="preserve"> </w:t>
      </w:r>
      <w:r w:rsidR="00CC449B">
        <w:t xml:space="preserve">  </w:t>
      </w:r>
    </w:p>
    <w:p w14:paraId="646FEAFB" w14:textId="19A8FC6D" w:rsidR="00176BB0" w:rsidRPr="00C76C14" w:rsidRDefault="00176BB0">
      <w:pPr>
        <w:rPr>
          <w:b/>
          <w:bCs/>
          <w:i/>
          <w:iCs/>
        </w:rPr>
      </w:pPr>
      <w:r w:rsidRPr="00C76C14">
        <w:rPr>
          <w:b/>
          <w:bCs/>
          <w:i/>
          <w:iCs/>
        </w:rPr>
        <w:t>Data</w:t>
      </w:r>
      <w:r w:rsidR="009B1A40" w:rsidRPr="00C76C14">
        <w:rPr>
          <w:b/>
          <w:bCs/>
          <w:i/>
          <w:iCs/>
        </w:rPr>
        <w:t xml:space="preserve"> sources</w:t>
      </w:r>
    </w:p>
    <w:p w14:paraId="30706B43" w14:textId="0040B127" w:rsidR="005B02E3" w:rsidRPr="0016573F" w:rsidRDefault="006B50C9" w:rsidP="0016573F">
      <w:r>
        <w:t xml:space="preserve">National macroeconomic variables were acquired from publicly available sources (Table 1) for the period 1993 – 2015. </w:t>
      </w:r>
      <w:r w:rsidR="009B1A40">
        <w:t>Fine-scale s</w:t>
      </w:r>
      <w:r>
        <w:t>ocioeconomic variables were extracted from the Cambodian Commune Database</w:t>
      </w:r>
      <w:r w:rsidR="009B1A40">
        <w:t xml:space="preserve"> for the years 2007 – 2012 (Table 2)</w:t>
      </w:r>
      <w:r>
        <w:t xml:space="preserve"> which are available from Open Development Cambodia (</w:t>
      </w:r>
      <w:hyperlink r:id="rId4" w:history="1">
        <w:r w:rsidRPr="00EA23A6">
          <w:rPr>
            <w:rStyle w:val="Hyperlink"/>
          </w:rPr>
          <w:t>www.opendevelopmentcambodia.net</w:t>
        </w:r>
      </w:hyperlink>
      <w:r>
        <w:t xml:space="preserve">). </w:t>
      </w:r>
      <w:r w:rsidR="00AE151D">
        <w:t xml:space="preserve">Data on economic land concessions, protected areas, and elevation (digital elevation model), and shapefiles for the country, provinces, and communes were provided by the Wildlife Conservation Society. </w:t>
      </w:r>
      <w:r w:rsidR="009B1A40">
        <w:t>Forest cover layers were taken from the European Space Agency Climate Change Initiative</w:t>
      </w:r>
      <w:r w:rsidR="00996724">
        <w:t xml:space="preserve"> (ESACCI)</w:t>
      </w:r>
      <w:r w:rsidR="009B1A40">
        <w:t xml:space="preserve"> satellite data for the years </w:t>
      </w:r>
      <w:r w:rsidR="004B385D">
        <w:t xml:space="preserve">1993 </w:t>
      </w:r>
      <w:r w:rsidR="005B02E3">
        <w:t>–</w:t>
      </w:r>
      <w:r w:rsidR="004B385D">
        <w:t xml:space="preserve"> 2015</w:t>
      </w:r>
      <w:r w:rsidR="005B02E3">
        <w:t>.</w:t>
      </w:r>
      <w:r>
        <w:t xml:space="preserve"> </w:t>
      </w:r>
    </w:p>
    <w:p w14:paraId="60964397" w14:textId="2BBC6344" w:rsidR="00176BB0" w:rsidRPr="00C76C14" w:rsidRDefault="00C744C0">
      <w:pPr>
        <w:rPr>
          <w:b/>
          <w:bCs/>
          <w:i/>
          <w:iCs/>
        </w:rPr>
      </w:pPr>
      <w:r w:rsidRPr="00C76C14">
        <w:rPr>
          <w:b/>
          <w:bCs/>
          <w:i/>
          <w:iCs/>
        </w:rPr>
        <w:t>Data processing</w:t>
      </w:r>
    </w:p>
    <w:p w14:paraId="32113782" w14:textId="0393A470" w:rsidR="00C76C14" w:rsidRPr="00C76C14" w:rsidRDefault="00C76C14" w:rsidP="00C76C14">
      <w:r>
        <w:lastRenderedPageBreak/>
        <w:t>The forest cover variable</w:t>
      </w:r>
      <w:r w:rsidR="00007B27">
        <w:t xml:space="preserve"> (response)</w:t>
      </w:r>
      <w:r>
        <w:t xml:space="preserve"> for both analyses w</w:t>
      </w:r>
      <w:r w:rsidR="00990D53">
        <w:t>as</w:t>
      </w:r>
      <w:r>
        <w:t xml:space="preserve"> extracted from the ESACCI product by totalling the number of pixels in each year classified as bands 50, 60, 61, 62, 70, 71, 72, 80, 81, 82, 90, and 100 (</w:t>
      </w:r>
      <w:r w:rsidRPr="000D7C25">
        <w:rPr>
          <w:highlight w:val="yellow"/>
        </w:rPr>
        <w:t xml:space="preserve">Table </w:t>
      </w:r>
      <w:proofErr w:type="spellStart"/>
      <w:r w:rsidRPr="000D7C25">
        <w:rPr>
          <w:highlight w:val="yellow"/>
        </w:rPr>
        <w:t>Sx</w:t>
      </w:r>
      <w:proofErr w:type="spellEnd"/>
      <w:r>
        <w:t>).</w:t>
      </w:r>
      <w:r w:rsidR="00990D53">
        <w:t xml:space="preserve"> For the macroeconomic analysis, the total forest cover for the whole country was used, and for the socioeconomic analysis the forest cover layer was further stratified into forest cover per commune</w:t>
      </w:r>
      <w:r w:rsidR="0074709B">
        <w:t xml:space="preserve"> and province</w:t>
      </w:r>
      <w:r w:rsidR="00990D53">
        <w:t xml:space="preserve">. Forest cover data processing was done in QGIS </w:t>
      </w:r>
      <w:r w:rsidR="00990D53" w:rsidRPr="002A4BD1">
        <w:fldChar w:fldCharType="begin"/>
      </w:r>
      <w:r w:rsidR="00CC6840">
        <w:instrText xml:space="preserve"> ADDIN ZOTERO_ITEM CSL_CITATION {"citationID":"t8OXUywT","properties":{"formattedCitation":"({\\i{}QGIS Geographic Information System} 2020)","plainCitation":"(QGIS Geographic Information System 2020)","dontUpdate":true,"noteIndex":0},"citationItems":[{"id":2069,"uris":["http://zotero.org/users/2170232/items/YVJCTSHP"],"uri":["http://zotero.org/users/2170232/items/YVJCTSHP"],"itemData":{"id":2069,"type":"book","publisher":"Open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00990D53" w:rsidRPr="002A4BD1">
        <w:fldChar w:fldCharType="separate"/>
      </w:r>
      <w:r w:rsidR="00990D53" w:rsidRPr="002A4BD1">
        <w:rPr>
          <w:rFonts w:ascii="Calibri" w:hAnsi="Calibri" w:cs="Calibri"/>
          <w:szCs w:val="24"/>
        </w:rPr>
        <w:t>(QGIS Geographic Information System v3.16)</w:t>
      </w:r>
      <w:r w:rsidR="00990D53" w:rsidRPr="002A4BD1">
        <w:fldChar w:fldCharType="end"/>
      </w:r>
      <w:r w:rsidR="00990D53">
        <w:t xml:space="preserve">. </w:t>
      </w:r>
      <w:r w:rsidR="003A5DB8">
        <w:t>For both analyses, predictor variables were checked for collinearity, and if two variables in the same set had a correlation coefficient of &gt;0.6 then</w:t>
      </w:r>
      <w:r w:rsidR="00BD1065">
        <w:t xml:space="preserve"> generally</w:t>
      </w:r>
      <w:r w:rsidR="003A5DB8">
        <w:t xml:space="preserve"> one was removed (Supporting Information).  </w:t>
      </w:r>
      <w:r w:rsidR="003A5DB8">
        <w:fldChar w:fldCharType="begin"/>
      </w:r>
      <w:r w:rsidR="00CC6840">
        <w:instrText xml:space="preserve"> ADDIN ZOTERO_ITEM CSL_CITATION {"citationID":"pzELEQiV","properties":{"formattedCitation":"(2021)","plainCitation":"(2021)","dontUpdate":true,"noteIndex":0},"citationItems":[{"id":2067,"uris":["http://zotero.org/users/2170232/items/FKWGSHYN"],"uri":["http://zotero.org/users/2170232/items/FKWGSHYN"],"itemData":{"id":2067,"type":"book","event-place":"Vienna, Austria","publisher":"R Foundation for Statistical Computing","publisher-place":"Vienna, Austria","title":"R: A language and Environment for Statistical Computing","URL":"https://www.R-project.org/","version":"4.0","author":[{"family":"","given":"R Core Team"}],"issued":{"date-parts":[["2021"]]}}}],"schema":"https://github.com/citation-style-language/schema/raw/master/csl-citation.json"} </w:instrText>
      </w:r>
      <w:r w:rsidR="003A5DB8">
        <w:fldChar w:fldCharType="end"/>
      </w:r>
    </w:p>
    <w:p w14:paraId="5FF30469" w14:textId="054E90AF" w:rsidR="00C76C14" w:rsidRPr="00C76C14" w:rsidRDefault="00C76C14" w:rsidP="00C76C14">
      <w:pPr>
        <w:rPr>
          <w:i/>
          <w:iCs/>
        </w:rPr>
      </w:pPr>
      <w:r>
        <w:rPr>
          <w:i/>
          <w:iCs/>
        </w:rPr>
        <w:t>Macroeconomic analysis</w:t>
      </w:r>
    </w:p>
    <w:p w14:paraId="378460BD" w14:textId="70A70726" w:rsidR="00DD3028" w:rsidRDefault="00DD3028">
      <w:r>
        <w:t>F</w:t>
      </w:r>
      <w:r w:rsidR="000D7C25">
        <w:t>orest cover was converted to change in forest cover</w:t>
      </w:r>
      <w:r w:rsidR="00C76C14">
        <w:t xml:space="preserve"> </w:t>
      </w:r>
      <w:r>
        <w:t>using</w:t>
      </w:r>
      <w:r w:rsidR="00C76C14">
        <w:t xml:space="preserve"> </w:t>
      </w:r>
      <w:r w:rsidR="00C76C14" w:rsidRPr="00C76C14">
        <w:rPr>
          <w:i/>
          <w:iCs/>
        </w:rPr>
        <w:t>forest cover</w:t>
      </w:r>
      <w:r w:rsidR="00C76C14" w:rsidRPr="00C76C14">
        <w:rPr>
          <w:i/>
          <w:iCs/>
          <w:vertAlign w:val="subscript"/>
        </w:rPr>
        <w:t>t</w:t>
      </w:r>
      <w:r>
        <w:rPr>
          <w:i/>
          <w:iCs/>
          <w:vertAlign w:val="subscript"/>
        </w:rPr>
        <w:t>+1</w:t>
      </w:r>
      <w:r w:rsidR="00C76C14" w:rsidRPr="00C76C14">
        <w:rPr>
          <w:i/>
          <w:iCs/>
        </w:rPr>
        <w:t xml:space="preserve"> </w:t>
      </w:r>
      <w:r w:rsidR="00C76C14">
        <w:rPr>
          <w:rFonts w:cstheme="minorHAnsi"/>
          <w:i/>
          <w:iCs/>
        </w:rPr>
        <w:t>−</w:t>
      </w:r>
      <w:r w:rsidR="00C76C14" w:rsidRPr="00C76C14">
        <w:rPr>
          <w:i/>
          <w:iCs/>
        </w:rPr>
        <w:t xml:space="preserve"> forest cover</w:t>
      </w:r>
      <w:r w:rsidR="00C76C14" w:rsidRPr="00C76C14">
        <w:rPr>
          <w:i/>
          <w:iCs/>
          <w:vertAlign w:val="subscript"/>
        </w:rPr>
        <w:t>t</w:t>
      </w:r>
      <w:r>
        <w:t xml:space="preserve">, where </w:t>
      </w:r>
      <w:r>
        <w:rPr>
          <w:i/>
          <w:iCs/>
        </w:rPr>
        <w:t>t</w:t>
      </w:r>
      <w:r>
        <w:t xml:space="preserve"> represents year </w:t>
      </w:r>
      <w:r>
        <w:rPr>
          <w:i/>
          <w:iCs/>
        </w:rPr>
        <w:t>t.</w:t>
      </w:r>
      <w:r w:rsidR="00C76C14">
        <w:t xml:space="preserve"> </w:t>
      </w:r>
      <w:r>
        <w:t xml:space="preserve">All predictors were converted from raw values to change in values using </w:t>
      </w:r>
      <w:r w:rsidRPr="00DD3028">
        <w:rPr>
          <w:i/>
          <w:iCs/>
        </w:rPr>
        <w:t>Xt</w:t>
      </w:r>
      <w:r w:rsidRPr="00DD3028">
        <w:rPr>
          <w:rFonts w:cstheme="minorHAnsi"/>
          <w:i/>
          <w:iCs/>
          <w:vertAlign w:val="subscript"/>
        </w:rPr>
        <w:t>+1</w:t>
      </w:r>
      <w:r w:rsidRPr="00DD3028">
        <w:rPr>
          <w:i/>
          <w:iCs/>
        </w:rPr>
        <w:t xml:space="preserve"> </w:t>
      </w:r>
      <w:r w:rsidRPr="00DD3028">
        <w:rPr>
          <w:rFonts w:cstheme="minorHAnsi"/>
          <w:i/>
          <w:iCs/>
        </w:rPr>
        <w:t xml:space="preserve">– </w:t>
      </w:r>
      <w:proofErr w:type="spellStart"/>
      <w:r w:rsidRPr="00DD3028">
        <w:rPr>
          <w:rFonts w:cstheme="minorHAnsi"/>
          <w:i/>
          <w:iCs/>
        </w:rPr>
        <w:t>X</w:t>
      </w:r>
      <w:r w:rsidRPr="00DD3028">
        <w:rPr>
          <w:rFonts w:cstheme="minorHAnsi"/>
          <w:i/>
          <w:iCs/>
          <w:vertAlign w:val="subscript"/>
        </w:rPr>
        <w:t>t</w:t>
      </w:r>
      <w:proofErr w:type="spellEnd"/>
      <w:r>
        <w:rPr>
          <w:rFonts w:cstheme="minorHAnsi"/>
          <w:i/>
          <w:iCs/>
        </w:rPr>
        <w:t xml:space="preserve">, </w:t>
      </w:r>
      <w:r>
        <w:rPr>
          <w:rFonts w:cstheme="minorHAnsi"/>
        </w:rPr>
        <w:t xml:space="preserve">where </w:t>
      </w:r>
      <w:r>
        <w:rPr>
          <w:rFonts w:cstheme="minorHAnsi"/>
          <w:i/>
          <w:iCs/>
        </w:rPr>
        <w:t>t</w:t>
      </w:r>
      <w:r>
        <w:rPr>
          <w:rFonts w:cstheme="minorHAnsi"/>
        </w:rPr>
        <w:t xml:space="preserve"> represents year </w:t>
      </w:r>
      <w:r>
        <w:rPr>
          <w:rFonts w:cstheme="minorHAnsi"/>
          <w:i/>
          <w:iCs/>
        </w:rPr>
        <w:t>t</w:t>
      </w:r>
      <w:r w:rsidR="00CC6840">
        <w:rPr>
          <w:rFonts w:cstheme="minorHAnsi"/>
        </w:rPr>
        <w:t xml:space="preserve"> </w:t>
      </w:r>
      <w:r w:rsidR="00CC6840">
        <w:rPr>
          <w:rFonts w:cstheme="minorHAnsi"/>
        </w:rPr>
        <w:fldChar w:fldCharType="begin"/>
      </w:r>
      <w:r w:rsidR="00CC6840">
        <w:rPr>
          <w:rFonts w:cstheme="minorHAnsi"/>
        </w:rPr>
        <w:instrText xml:space="preserve"> ADDIN ZOTERO_ITEM CSL_CITATION {"citationID":"CczzV0iT","properties":{"formattedCitation":"(Barrett et al. 2006)","plainCitation":"(Barrett et al. 2006)","noteIndex":0},"citationItems":[{"id":2145,"uris":["http://zotero.org/users/2170232/items/5YDBP8SP"],"uri":["http://zotero.org/users/2170232/items/5YDBP8SP"],"itemData":{"id":2145,"type":"article-journal","abstract":"Abstract: We argue that two problems weaken the claims of those who link corruption and the exploitation of natural resources. The first is conceptual and the second is methodological. Studies that use national-level indicators of corruption fail to note that corruption comes in many forms, at multiple levels, that may affect resource use quite differently: negatively, positively, or not at all. Without a clear causal model of the mechanism by which corruption affects resources, one should treat with caution any estimated relationship between corruption and the state of natural resources. Simple, atheoretical models linking corruption measures and natural resource use typically do not account for other important control variables pivotal to the relationship between humans and natural resources. By way of illustration of these two general concerns, we used statistical methods to demonstrate that the findings of a recent, well-known study that posits a link between corruption and decreases in forests and elephants are not robust to simple conceptual and methodological refinements. In particular, once we controlled for a few plausible anthropogenic and biophysical conditioning factors, estimated the effects in changes rather than levels so as not to confound cross-sectional and longitudinal variation, and incorporated additional observations from the same data sources, corruption levels no longer had any explanatory power.","container-title":"Conservation Biology","DOI":"10.1111/j.1523-1739.2006.00521.x","ISSN":"1523-1739","issue":"5","language":"en","page":"1358-1366","source":"Wiley Online Library","title":"The Complex Links between Governance and Biodiversity","volume":"20","author":[{"family":"Barrett","given":"Christopher B."},{"family":"Gibson","given":"Clark C."},{"family":"Hoffman","given":"Barak"},{"family":"McCUBBINS","given":"Mathew D."}],"issued":{"date-parts":[["2006"]]}}}],"schema":"https://github.com/citation-style-language/schema/raw/master/csl-citation.json"} </w:instrText>
      </w:r>
      <w:r w:rsidR="00CC6840">
        <w:rPr>
          <w:rFonts w:cstheme="minorHAnsi"/>
        </w:rPr>
        <w:fldChar w:fldCharType="separate"/>
      </w:r>
      <w:r w:rsidR="00CC6840" w:rsidRPr="00CC6840">
        <w:rPr>
          <w:rFonts w:ascii="Calibri" w:hAnsi="Calibri" w:cs="Calibri"/>
        </w:rPr>
        <w:t>(Barrett et al. 2006)</w:t>
      </w:r>
      <w:r w:rsidR="00CC6840">
        <w:rPr>
          <w:rFonts w:cstheme="minorHAnsi"/>
        </w:rPr>
        <w:fldChar w:fldCharType="end"/>
      </w:r>
      <w:r>
        <w:rPr>
          <w:rFonts w:cstheme="minorHAnsi"/>
        </w:rPr>
        <w:t xml:space="preserve">. The variable </w:t>
      </w:r>
      <w:r>
        <w:rPr>
          <w:rFonts w:cstheme="minorHAnsi"/>
          <w:i/>
          <w:iCs/>
        </w:rPr>
        <w:t>forest remaining</w:t>
      </w:r>
      <w:r>
        <w:rPr>
          <w:rFonts w:cstheme="minorHAnsi"/>
        </w:rPr>
        <w:t xml:space="preserve"> was left as raw values</w:t>
      </w:r>
      <w:r w:rsidR="00F644DB">
        <w:rPr>
          <w:rFonts w:cstheme="minorHAnsi"/>
        </w:rPr>
        <w:t xml:space="preserve"> (km</w:t>
      </w:r>
      <w:r w:rsidR="00F644DB" w:rsidRPr="00F644DB">
        <w:rPr>
          <w:rFonts w:cstheme="minorHAnsi"/>
          <w:vertAlign w:val="superscript"/>
        </w:rPr>
        <w:t>2</w:t>
      </w:r>
      <w:r w:rsidR="00F644DB">
        <w:rPr>
          <w:rFonts w:cstheme="minorHAnsi"/>
        </w:rPr>
        <w:t>)</w:t>
      </w:r>
      <w:r>
        <w:rPr>
          <w:rFonts w:cstheme="minorHAnsi"/>
        </w:rPr>
        <w:t xml:space="preserve">. </w:t>
      </w:r>
      <w:r w:rsidR="00D667FE">
        <w:rPr>
          <w:rFonts w:cstheme="minorHAnsi"/>
        </w:rPr>
        <w:t xml:space="preserve">Cambodia’s first general election and subsequent adoption of a free market economy occurred in 1993, resulting in unreliable GDP-related values for 1993 </w:t>
      </w:r>
      <w:r w:rsidR="00D667FE">
        <w:rPr>
          <w:rFonts w:cstheme="minorHAnsi"/>
        </w:rPr>
        <w:fldChar w:fldCharType="begin"/>
      </w:r>
      <w:r w:rsidR="00D667FE">
        <w:rPr>
          <w:rFonts w:cstheme="minorHAnsi"/>
        </w:rPr>
        <w:instrText xml:space="preserve"> ADDIN ZOTERO_ITEM CSL_CITATION {"citationID":"885LiH9b","properties":{"formattedCitation":"(Chhair &amp; Ung 2013)","plainCitation":"(Chhair &amp; Ung 2013)","noteIndex":0},"citationItems":[{"id":2286,"uris":["http://zotero.org/users/2170232/items/2XHBTHBR"],"uri":["http://zotero.org/users/2170232/items/2XHBTHBR"],"itemData":{"id":2286,"type":"report","abstract":"The industrialization which started in 1953 had been completely disrupted by the chronic civil war and closed-door policy of successive communism/socialism regimes. Since 1993 Cambodia has embraced a market economy heavily dependent on foreign capital and foreign markets. As a result, the economy has experienced high economic growth rate yet with low linkage to domestic economy. The government’s Rice Export Policy introduced in 2010 to\ndiversify its economy, maximize its value added and job creation was highly evaluated to bring those benefits under the environment of weak governance. Whether similar kind of such a policy for other sectors is successful remains to be seen","collection-title":"WIDER","genre":"Working Paper","number":"No.7","publisher":"World Institue for Development Economics Research","title":"Economic history of industrialization in Cambodia","author":[{"family":"Chhair","given":"Sokty"},{"family":"Ung","given":"Luyna"}],"issued":{"date-parts":[["2013"]]}}}],"schema":"https://github.com/citation-style-language/schema/raw/master/csl-citation.json"} </w:instrText>
      </w:r>
      <w:r w:rsidR="00D667FE">
        <w:rPr>
          <w:rFonts w:cstheme="minorHAnsi"/>
        </w:rPr>
        <w:fldChar w:fldCharType="separate"/>
      </w:r>
      <w:r w:rsidR="00D667FE" w:rsidRPr="00D667FE">
        <w:rPr>
          <w:rFonts w:ascii="Calibri" w:hAnsi="Calibri" w:cs="Calibri"/>
        </w:rPr>
        <w:t>(Chhair &amp; Ung 2013)</w:t>
      </w:r>
      <w:r w:rsidR="00D667FE">
        <w:rPr>
          <w:rFonts w:cstheme="minorHAnsi"/>
        </w:rPr>
        <w:fldChar w:fldCharType="end"/>
      </w:r>
      <w:r w:rsidR="00D667FE">
        <w:rPr>
          <w:rFonts w:cstheme="minorHAnsi"/>
        </w:rPr>
        <w:t xml:space="preserve"> and subsequent change values in 1994, and so these were removed. </w:t>
      </w:r>
      <w:r w:rsidR="00F644DB">
        <w:rPr>
          <w:rFonts w:cstheme="minorHAnsi"/>
        </w:rPr>
        <w:t xml:space="preserve">To simplify interpretation, predictor variables were not centred or scaled prior to change calculations or modelling. </w:t>
      </w:r>
    </w:p>
    <w:p w14:paraId="0863910E" w14:textId="42E106CE" w:rsidR="00DD3028" w:rsidRPr="00DD3028" w:rsidRDefault="00DD3028">
      <w:pPr>
        <w:rPr>
          <w:i/>
          <w:iCs/>
        </w:rPr>
      </w:pPr>
      <w:r>
        <w:rPr>
          <w:i/>
          <w:iCs/>
        </w:rPr>
        <w:t>Socioeconomic analysis</w:t>
      </w:r>
    </w:p>
    <w:p w14:paraId="7538FD0B" w14:textId="11D51AF5" w:rsidR="004B385D" w:rsidRPr="004B385D" w:rsidRDefault="004B385D">
      <w:r>
        <w:t xml:space="preserve">Data from the Commune Database were at the </w:t>
      </w:r>
      <w:r w:rsidR="00DE2078">
        <w:t>resolution of individual village</w:t>
      </w:r>
      <w:r>
        <w:t>, and so the selected variables (Table 2) were aggregated to the commune</w:t>
      </w:r>
      <w:r w:rsidR="007417B6">
        <w:t xml:space="preserve"> and province level</w:t>
      </w:r>
      <w:r w:rsidR="007F487C">
        <w:t xml:space="preserve"> after error checking and cleaning (</w:t>
      </w:r>
      <w:r w:rsidR="003A5DB8">
        <w:t>Supporting Information)</w:t>
      </w:r>
      <w:r>
        <w:t>.</w:t>
      </w:r>
      <w:r w:rsidR="00DE2078">
        <w:t xml:space="preserve"> Some variables were converted from raw values to proportional data to account for large differences in commune</w:t>
      </w:r>
      <w:r w:rsidR="004F6196">
        <w:t xml:space="preserve"> and province</w:t>
      </w:r>
      <w:r w:rsidR="00DE2078">
        <w:t xml:space="preserve"> size and human population (Table 2). </w:t>
      </w:r>
      <w:r w:rsidR="003564E8">
        <w:t>Data were checked for errors and inconsistencies in R</w:t>
      </w:r>
      <w:r w:rsidR="002A4BD1">
        <w:t xml:space="preserve"> (Supporting Information, R Core Team, version 4.0)</w:t>
      </w:r>
      <w:r w:rsidR="003A5DB8">
        <w:t xml:space="preserve">. </w:t>
      </w:r>
    </w:p>
    <w:p w14:paraId="14BD3F12" w14:textId="6BCDFE44" w:rsidR="00C744C0" w:rsidRPr="00CC6840" w:rsidRDefault="00CC6840">
      <w:pPr>
        <w:rPr>
          <w:b/>
          <w:bCs/>
          <w:i/>
          <w:iCs/>
        </w:rPr>
      </w:pPr>
      <w:r>
        <w:rPr>
          <w:b/>
          <w:bCs/>
          <w:i/>
          <w:iCs/>
        </w:rPr>
        <w:t>Modelling</w:t>
      </w:r>
      <w:r w:rsidR="00C744C0" w:rsidRPr="00CC6840">
        <w:rPr>
          <w:b/>
          <w:bCs/>
          <w:i/>
          <w:iCs/>
        </w:rPr>
        <w:t xml:space="preserve"> </w:t>
      </w:r>
    </w:p>
    <w:p w14:paraId="734AAA5F" w14:textId="58A065F8" w:rsidR="00C744C0" w:rsidRDefault="00F639F9">
      <w:pPr>
        <w:rPr>
          <w:i/>
          <w:iCs/>
        </w:rPr>
      </w:pPr>
      <w:r>
        <w:rPr>
          <w:i/>
          <w:iCs/>
        </w:rPr>
        <w:t>Macroeconomic models</w:t>
      </w:r>
    </w:p>
    <w:p w14:paraId="1C74D142" w14:textId="181C3147" w:rsidR="00CC6840" w:rsidRDefault="00CC6840">
      <w:r>
        <w:t xml:space="preserve">This analysis aimed to model the relationships between </w:t>
      </w:r>
      <w:r w:rsidR="00304F2B">
        <w:t xml:space="preserve">changes in macroeconomic predictors and </w:t>
      </w:r>
      <w:r w:rsidR="00A86D1A">
        <w:t xml:space="preserve">the </w:t>
      </w:r>
      <w:r w:rsidR="00304F2B">
        <w:t>rate of forest loss at a national level for the time period 1993 – 2015. Models were run for each of the three variable sets: economic development, commodity prices, and producer prices. To account for the effect of time, a linear model of the response as a function of time (year) was run and the model residuals were extracted and used as a control predictor in all subsequent models. The amount of forest remaining (km</w:t>
      </w:r>
      <w:r w:rsidR="00304F2B" w:rsidRPr="00304F2B">
        <w:rPr>
          <w:vertAlign w:val="superscript"/>
        </w:rPr>
        <w:t>2</w:t>
      </w:r>
      <w:r w:rsidR="00304F2B">
        <w:t>) was also included as a control variable in all models. Modelling</w:t>
      </w:r>
      <w:r w:rsidR="001C5A6F">
        <w:t xml:space="preserve"> was done using Generalised linear models (GLM)</w:t>
      </w:r>
      <w:r w:rsidR="00A86D1A">
        <w:t xml:space="preserve"> and</w:t>
      </w:r>
      <w:r w:rsidR="00304F2B">
        <w:t xml:space="preserve"> followed an information theoretic approach </w:t>
      </w:r>
      <w:r w:rsidR="00304F2B">
        <w:fldChar w:fldCharType="begin"/>
      </w:r>
      <w:r w:rsidR="00304F2B">
        <w:instrText xml:space="preserve"> ADDIN ZOTERO_ITEM CSL_CITATION {"citationID":"W8sLh8uK","properties":{"formattedCitation":"(Burnham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304F2B">
        <w:fldChar w:fldCharType="separate"/>
      </w:r>
      <w:r w:rsidR="00304F2B" w:rsidRPr="00304F2B">
        <w:rPr>
          <w:rFonts w:ascii="Calibri" w:hAnsi="Calibri" w:cs="Calibri"/>
        </w:rPr>
        <w:t>(Burnham &amp; Anderson 2007)</w:t>
      </w:r>
      <w:r w:rsidR="00304F2B">
        <w:fldChar w:fldCharType="end"/>
      </w:r>
      <w:r w:rsidR="008D1764">
        <w:t>.</w:t>
      </w:r>
      <w:r w:rsidR="001C5A6F">
        <w:t xml:space="preserve"> Both gaussian and gamma distributions were tested and resulting models were compared using Akaike’s Information Criterion (AIC). Final models had gaussian distributions.</w:t>
      </w:r>
      <w:r w:rsidR="008D1764">
        <w:t xml:space="preserve"> All predictors in each model set ha</w:t>
      </w:r>
      <w:r w:rsidR="00574771">
        <w:t>d</w:t>
      </w:r>
      <w:r w:rsidR="008D1764">
        <w:t xml:space="preserve"> been selected because of a priori hypotheses</w:t>
      </w:r>
      <w:r w:rsidR="00574771">
        <w:t xml:space="preserve"> (</w:t>
      </w:r>
      <w:r w:rsidR="00574771" w:rsidRPr="00574771">
        <w:rPr>
          <w:highlight w:val="yellow"/>
        </w:rPr>
        <w:t xml:space="preserve">Table </w:t>
      </w:r>
      <w:proofErr w:type="spellStart"/>
      <w:r w:rsidR="00574771" w:rsidRPr="00574771">
        <w:rPr>
          <w:highlight w:val="yellow"/>
        </w:rPr>
        <w:t>Sx</w:t>
      </w:r>
      <w:proofErr w:type="spellEnd"/>
      <w:r w:rsidR="00574771">
        <w:t>)</w:t>
      </w:r>
      <w:r w:rsidR="008D1764">
        <w:t>, and so within each set all combinations of possible models were run and compared using</w:t>
      </w:r>
      <w:r w:rsidR="001C5A6F">
        <w:t xml:space="preserve"> AIC</w:t>
      </w:r>
      <w:r w:rsidR="008D1764">
        <w:t xml:space="preserve">. </w:t>
      </w:r>
      <w:r w:rsidR="00574771">
        <w:t xml:space="preserve">Models with </w:t>
      </w:r>
      <w:r w:rsidR="007417B6">
        <w:rPr>
          <w:rFonts w:cstheme="minorHAnsi"/>
        </w:rPr>
        <w:t>∆</w:t>
      </w:r>
      <w:r w:rsidR="00574771">
        <w:t xml:space="preserve">AIC &lt; 6 were considered to have sufficient support and retained in the final model set. Model averaging was implemented for the final model set, resulting in model-averaged coefficients for all model terms </w:t>
      </w:r>
      <w:r w:rsidR="00574771">
        <w:fldChar w:fldCharType="begin"/>
      </w:r>
      <w:r w:rsidR="00574771">
        <w:instrText xml:space="preserve"> ADDIN ZOTERO_ITEM CSL_CITATION {"citationID":"7EKj9FXi","properties":{"formattedCitation":"(Burnham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574771">
        <w:fldChar w:fldCharType="separate"/>
      </w:r>
      <w:r w:rsidR="00574771" w:rsidRPr="00574771">
        <w:rPr>
          <w:rFonts w:ascii="Calibri" w:hAnsi="Calibri" w:cs="Calibri"/>
        </w:rPr>
        <w:t>(Burnham &amp; Anderson 2007)</w:t>
      </w:r>
      <w:r w:rsidR="00574771">
        <w:fldChar w:fldCharType="end"/>
      </w:r>
      <w:r w:rsidR="00574771">
        <w:t>. This modelling procedure was repeated for a one-year time lag and two-year time lag as follows:</w:t>
      </w:r>
    </w:p>
    <w:p w14:paraId="65B60F8A" w14:textId="1EC7F00B" w:rsidR="00574771" w:rsidRDefault="001C5A6F">
      <w:r>
        <w:t>No time lag:</w:t>
      </w:r>
    </w:p>
    <w:p w14:paraId="77508BCB" w14:textId="3D130FC1" w:rsidR="001C5A6F" w:rsidRPr="000032BD" w:rsidRDefault="00E50075">
      <w:pPr>
        <w:rPr>
          <w:sz w:val="28"/>
          <w:szCs w:val="28"/>
        </w:rPr>
      </w:pPr>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25C1B337" w14:textId="551EF895" w:rsidR="00CC6840" w:rsidRPr="000032BD" w:rsidRDefault="000032BD">
      <w:pPr>
        <w:rPr>
          <w:i/>
          <w:iCs/>
        </w:rPr>
      </w:pPr>
      <w:r>
        <w:lastRenderedPageBreak/>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421282C9" w14:textId="6E334775" w:rsidR="00CC6840" w:rsidRDefault="000032BD">
      <w:r>
        <w:t>One year time lag:</w:t>
      </w:r>
    </w:p>
    <w:p w14:paraId="404934D6" w14:textId="2443C1C3" w:rsidR="000032BD" w:rsidRPr="000032BD" w:rsidRDefault="00E50075">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5E5A20DA" w14:textId="535660B4" w:rsidR="00307ACC" w:rsidRDefault="00307ACC" w:rsidP="00307ACC">
      <w:r>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r>
          <w:rPr>
            <w:rFonts w:ascii="Cambria Math" w:eastAsiaTheme="minorEastAsia" w:hAnsi="Cambria Math"/>
          </w:rPr>
          <m:t>+1</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33C8CB5C" w14:textId="408AE2FB" w:rsidR="00307ACC" w:rsidRPr="000032BD" w:rsidRDefault="00307ACC" w:rsidP="00307ACC">
      <w:pPr>
        <w:rPr>
          <w:i/>
          <w:iCs/>
        </w:rPr>
      </w:pPr>
      <w:proofErr w:type="gramStart"/>
      <w:r>
        <w:t>Two year</w:t>
      </w:r>
      <w:proofErr w:type="gramEnd"/>
      <w:r>
        <w:t xml:space="preserve"> time lag:</w:t>
      </w:r>
    </w:p>
    <w:p w14:paraId="318F48A4" w14:textId="67B25763" w:rsidR="00307ACC" w:rsidRPr="00307ACC" w:rsidRDefault="00E50075">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6E8598C4" w14:textId="77777777" w:rsidR="00A86D1A" w:rsidRDefault="00307ACC">
      <w:r>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r>
          <w:rPr>
            <w:rFonts w:ascii="Cambria Math" w:eastAsiaTheme="minorEastAsia" w:hAnsi="Cambria Math"/>
          </w:rPr>
          <m:t>+2</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0FA0432C" w14:textId="661FD6F0" w:rsidR="00F639F9" w:rsidRPr="00A86D1A" w:rsidRDefault="00F639F9">
      <w:r>
        <w:rPr>
          <w:i/>
          <w:iCs/>
        </w:rPr>
        <w:t>Socioeconomic models</w:t>
      </w:r>
    </w:p>
    <w:p w14:paraId="1A33CEEC" w14:textId="45A8775F" w:rsidR="00C744C0" w:rsidRPr="00A86D1A" w:rsidRDefault="00A86D1A">
      <w:r>
        <w:t xml:space="preserve">This analysis aimed to model the relationships between forest cover and socioeconomic variables within communes between 2007 – 2012. </w:t>
      </w:r>
      <w:commentRangeStart w:id="0"/>
      <w:r w:rsidR="004F6196">
        <w:t xml:space="preserve">The results of initial commune-level modelling prompted the further aggregation of data to the province level and models were built to investigate </w:t>
      </w:r>
      <w:r w:rsidR="004F6196">
        <w:t xml:space="preserve">the relationships between forest cover and socioeconomic variables within </w:t>
      </w:r>
      <w:r w:rsidR="004F6196">
        <w:t>provinces</w:t>
      </w:r>
      <w:r w:rsidR="004F6196">
        <w:t xml:space="preserve"> </w:t>
      </w:r>
      <w:r w:rsidR="004F6196">
        <w:t xml:space="preserve">for the same time period. </w:t>
      </w:r>
      <w:commentRangeEnd w:id="0"/>
      <w:r w:rsidR="004F6196">
        <w:t>Generalised linear mixed models (GLMM) were used to account for repeat measurements</w:t>
      </w:r>
      <w:r w:rsidR="00F310CE">
        <w:t xml:space="preserve">, </w:t>
      </w:r>
      <w:r w:rsidR="004F6196">
        <w:t>temporal autocorrelation</w:t>
      </w:r>
      <w:r w:rsidR="00F310CE">
        <w:t xml:space="preserve">, and the hierarchical (nested) nature of the data </w:t>
      </w:r>
      <w:r w:rsidR="00F310CE">
        <w:fldChar w:fldCharType="begin"/>
      </w:r>
      <w:r w:rsidR="00F310CE">
        <w:instrText xml:space="preserve"> ADDIN ZOTERO_ITEM CSL_CITATION {"citationID":"SmityQpd","properties":{"formattedCitation":"(Zuur et al. 2009)","plainCitation":"(Zuur et al. 2009)","noteIndex":0},"citationItems":[{"id":2700,"uris":["http://zotero.org/users/2170232/items/A3LU44GR"],"uri":["http://zotero.org/users/2170232/items/A3LU44GR"],"itemData":{"id":2700,"type":"book","collection-title":"Statistics for Biology and Health","event-place":"New York, USA","ISBN":"978-0-387-87457-9","publisher":"Springer Science+Business Media","publisher-place":"New York, USA","title":"Mixed effects models and extensions in ecology with R","URL":"DOI 10.1007/978-0-387-87458-6 1,","author":[{"family":"Zuur","given":"Alain F."},{"family":"Ieno","given":"Elena N."},{"family":"Walker","given":"Neil J."},{"family":"Saveliev","given":"Anatoly A."},{"family":"Smith","given":"Graham M."}],"issued":{"date-parts":[["2009"]]}}}],"schema":"https://github.com/citation-style-language/schema/raw/master/csl-citation.json"} </w:instrText>
      </w:r>
      <w:r w:rsidR="00F310CE">
        <w:fldChar w:fldCharType="separate"/>
      </w:r>
      <w:r w:rsidR="00F310CE" w:rsidRPr="00F310CE">
        <w:rPr>
          <w:rFonts w:ascii="Calibri" w:hAnsi="Calibri" w:cs="Calibri"/>
        </w:rPr>
        <w:t>(</w:t>
      </w:r>
      <w:proofErr w:type="spellStart"/>
      <w:r w:rsidR="00F310CE" w:rsidRPr="00F310CE">
        <w:rPr>
          <w:rFonts w:ascii="Calibri" w:hAnsi="Calibri" w:cs="Calibri"/>
        </w:rPr>
        <w:t>Zuur</w:t>
      </w:r>
      <w:proofErr w:type="spellEnd"/>
      <w:r w:rsidR="00F310CE" w:rsidRPr="00F310CE">
        <w:rPr>
          <w:rFonts w:ascii="Calibri" w:hAnsi="Calibri" w:cs="Calibri"/>
        </w:rPr>
        <w:t xml:space="preserve"> et al. 2009)</w:t>
      </w:r>
      <w:r w:rsidR="00F310CE">
        <w:fldChar w:fldCharType="end"/>
      </w:r>
      <w:r w:rsidR="00F310CE">
        <w:t xml:space="preserve">. </w:t>
      </w:r>
      <w:r w:rsidR="004F6196">
        <w:rPr>
          <w:rStyle w:val="CommentReference"/>
        </w:rPr>
        <w:commentReference w:id="0"/>
      </w:r>
    </w:p>
    <w:sectPr w:rsidR="00C744C0" w:rsidRPr="00A86D1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4-27T10:21:00Z" w:initials="MN">
    <w:p w14:paraId="00F4D40F" w14:textId="71306B6C" w:rsidR="004F6196" w:rsidRDefault="004F6196">
      <w:pPr>
        <w:pStyle w:val="CommentText"/>
      </w:pPr>
      <w:r>
        <w:rPr>
          <w:rStyle w:val="CommentReference"/>
        </w:rPr>
        <w:annotationRef/>
      </w:r>
      <w:proofErr w:type="gramStart"/>
      <w:r>
        <w:t>I’m</w:t>
      </w:r>
      <w:proofErr w:type="gramEnd"/>
      <w:r>
        <w:t xml:space="preserve"> struggling a bit with knowing how best to structure the methods in terms of further aggregating to the province level. In the sections above, I have written it as though this was always the plan, although here I have explained it more accurately – </w:t>
      </w:r>
      <w:proofErr w:type="gramStart"/>
      <w:r>
        <w:t>i.e.</w:t>
      </w:r>
      <w:proofErr w:type="gramEnd"/>
      <w:r>
        <w:t xml:space="preserve"> it was only after the commune-level modelling that we decided to try the province level. Not sure if how I have done it is the best, or whether in the sections above I also need to explain that it was a post-hoc decision.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F4D4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2641E" w16cex:dateUtc="2021-04-27T09: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F4D40F" w16cid:durableId="243264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B0"/>
    <w:rsid w:val="000032BD"/>
    <w:rsid w:val="00007B27"/>
    <w:rsid w:val="000505EC"/>
    <w:rsid w:val="000574C9"/>
    <w:rsid w:val="000924E5"/>
    <w:rsid w:val="000D7C25"/>
    <w:rsid w:val="0011722E"/>
    <w:rsid w:val="001214C2"/>
    <w:rsid w:val="0016573F"/>
    <w:rsid w:val="00176BB0"/>
    <w:rsid w:val="001B33F4"/>
    <w:rsid w:val="001B6B38"/>
    <w:rsid w:val="001C5A6F"/>
    <w:rsid w:val="001D09A4"/>
    <w:rsid w:val="001F3408"/>
    <w:rsid w:val="00260194"/>
    <w:rsid w:val="002A4BD1"/>
    <w:rsid w:val="002B0228"/>
    <w:rsid w:val="00304F2B"/>
    <w:rsid w:val="00307ACC"/>
    <w:rsid w:val="003564E8"/>
    <w:rsid w:val="003A5DB8"/>
    <w:rsid w:val="003D30B2"/>
    <w:rsid w:val="004B385D"/>
    <w:rsid w:val="004F6196"/>
    <w:rsid w:val="00574771"/>
    <w:rsid w:val="005B02E3"/>
    <w:rsid w:val="005B2210"/>
    <w:rsid w:val="006310EE"/>
    <w:rsid w:val="006B50C9"/>
    <w:rsid w:val="007417B6"/>
    <w:rsid w:val="0074709B"/>
    <w:rsid w:val="007F487C"/>
    <w:rsid w:val="008D1764"/>
    <w:rsid w:val="00990D53"/>
    <w:rsid w:val="00996724"/>
    <w:rsid w:val="009B1A40"/>
    <w:rsid w:val="00A1004F"/>
    <w:rsid w:val="00A52878"/>
    <w:rsid w:val="00A74190"/>
    <w:rsid w:val="00A86D1A"/>
    <w:rsid w:val="00AB1479"/>
    <w:rsid w:val="00AE151D"/>
    <w:rsid w:val="00B26B7C"/>
    <w:rsid w:val="00B474F1"/>
    <w:rsid w:val="00BB19ED"/>
    <w:rsid w:val="00BD1065"/>
    <w:rsid w:val="00C64AF9"/>
    <w:rsid w:val="00C744C0"/>
    <w:rsid w:val="00C76C14"/>
    <w:rsid w:val="00C838DB"/>
    <w:rsid w:val="00CC449B"/>
    <w:rsid w:val="00CC6840"/>
    <w:rsid w:val="00D667FE"/>
    <w:rsid w:val="00D92308"/>
    <w:rsid w:val="00DD3028"/>
    <w:rsid w:val="00DE2078"/>
    <w:rsid w:val="00E50075"/>
    <w:rsid w:val="00E957C3"/>
    <w:rsid w:val="00EB26C5"/>
    <w:rsid w:val="00F075E2"/>
    <w:rsid w:val="00F310CE"/>
    <w:rsid w:val="00F524E9"/>
    <w:rsid w:val="00F639F9"/>
    <w:rsid w:val="00F644DB"/>
    <w:rsid w:val="00F914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E4F9C"/>
  <w15:chartTrackingRefBased/>
  <w15:docId w15:val="{976C2161-C3AF-4866-9B79-DEF0C7901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D09A4"/>
    <w:rPr>
      <w:sz w:val="16"/>
      <w:szCs w:val="16"/>
    </w:rPr>
  </w:style>
  <w:style w:type="paragraph" w:styleId="CommentText">
    <w:name w:val="annotation text"/>
    <w:basedOn w:val="Normal"/>
    <w:link w:val="CommentTextChar"/>
    <w:uiPriority w:val="99"/>
    <w:semiHidden/>
    <w:unhideWhenUsed/>
    <w:rsid w:val="001D09A4"/>
    <w:pPr>
      <w:spacing w:line="240" w:lineRule="auto"/>
    </w:pPr>
    <w:rPr>
      <w:sz w:val="20"/>
      <w:szCs w:val="20"/>
    </w:rPr>
  </w:style>
  <w:style w:type="character" w:customStyle="1" w:styleId="CommentTextChar">
    <w:name w:val="Comment Text Char"/>
    <w:basedOn w:val="DefaultParagraphFont"/>
    <w:link w:val="CommentText"/>
    <w:uiPriority w:val="99"/>
    <w:semiHidden/>
    <w:rsid w:val="001D09A4"/>
    <w:rPr>
      <w:sz w:val="20"/>
      <w:szCs w:val="20"/>
    </w:rPr>
  </w:style>
  <w:style w:type="paragraph" w:styleId="CommentSubject">
    <w:name w:val="annotation subject"/>
    <w:basedOn w:val="CommentText"/>
    <w:next w:val="CommentText"/>
    <w:link w:val="CommentSubjectChar"/>
    <w:uiPriority w:val="99"/>
    <w:semiHidden/>
    <w:unhideWhenUsed/>
    <w:rsid w:val="001D09A4"/>
    <w:rPr>
      <w:b/>
      <w:bCs/>
    </w:rPr>
  </w:style>
  <w:style w:type="character" w:customStyle="1" w:styleId="CommentSubjectChar">
    <w:name w:val="Comment Subject Char"/>
    <w:basedOn w:val="CommentTextChar"/>
    <w:link w:val="CommentSubject"/>
    <w:uiPriority w:val="99"/>
    <w:semiHidden/>
    <w:rsid w:val="001D09A4"/>
    <w:rPr>
      <w:b/>
      <w:bCs/>
      <w:sz w:val="20"/>
      <w:szCs w:val="20"/>
    </w:rPr>
  </w:style>
  <w:style w:type="paragraph" w:styleId="BalloonText">
    <w:name w:val="Balloon Text"/>
    <w:basedOn w:val="Normal"/>
    <w:link w:val="BalloonTextChar"/>
    <w:uiPriority w:val="99"/>
    <w:semiHidden/>
    <w:unhideWhenUsed/>
    <w:rsid w:val="001D09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9A4"/>
    <w:rPr>
      <w:rFonts w:ascii="Segoe UI" w:hAnsi="Segoe UI" w:cs="Segoe UI"/>
      <w:sz w:val="18"/>
      <w:szCs w:val="18"/>
    </w:rPr>
  </w:style>
  <w:style w:type="character" w:styleId="Hyperlink">
    <w:name w:val="Hyperlink"/>
    <w:basedOn w:val="DefaultParagraphFont"/>
    <w:uiPriority w:val="99"/>
    <w:unhideWhenUsed/>
    <w:rsid w:val="006B50C9"/>
    <w:rPr>
      <w:color w:val="0563C1" w:themeColor="hyperlink"/>
      <w:u w:val="single"/>
    </w:rPr>
  </w:style>
  <w:style w:type="character" w:styleId="UnresolvedMention">
    <w:name w:val="Unresolved Mention"/>
    <w:basedOn w:val="DefaultParagraphFont"/>
    <w:uiPriority w:val="99"/>
    <w:semiHidden/>
    <w:unhideWhenUsed/>
    <w:rsid w:val="006B50C9"/>
    <w:rPr>
      <w:color w:val="605E5C"/>
      <w:shd w:val="clear" w:color="auto" w:fill="E1DFDD"/>
    </w:rPr>
  </w:style>
  <w:style w:type="character" w:styleId="PlaceholderText">
    <w:name w:val="Placeholder Text"/>
    <w:basedOn w:val="DefaultParagraphFont"/>
    <w:uiPriority w:val="99"/>
    <w:semiHidden/>
    <w:rsid w:val="001C5A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hyperlink" Target="http://www.opendevelopmentcambodia.ne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1328</TotalTime>
  <Pages>3</Pages>
  <Words>9000</Words>
  <Characters>51302</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16</cp:revision>
  <dcterms:created xsi:type="dcterms:W3CDTF">2020-06-23T12:50:00Z</dcterms:created>
  <dcterms:modified xsi:type="dcterms:W3CDTF">2021-04-27T10:44:00Z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id="ylGxVJZC"/&gt;&lt;style id="http://www.zotero.org/styles/conservation-biology" hasBibliography="1" bibliographyStyleHasBeenSet="0"/&gt;&lt;prefs&gt;&lt;pref name="fieldType" value="Field"/&gt;&lt;pref name="automaticJ</vt:lpwstr>
  </property>
  <property fmtid="{D5CDD505-2E9C-101B-9397-08002B2CF9AE}" pid="3" name="ZOTERO_PREF_2">
    <vt:lpwstr>ournalAbbreviations" value="true"/&gt;&lt;/prefs&gt;&lt;/data&gt;</vt:lpwstr>
  </property>
</Properties>
</file>