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777777" w:rsidR="0074709B"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Table Sx</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r>
        <w:rPr>
          <w:i/>
          <w:iCs/>
        </w:rPr>
        <w:t>Macroeconomic models</w:t>
      </w:r>
    </w:p>
    <w:p w14:paraId="1C74D142" w14:textId="181C3147"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Table Sx</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F154AE">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lastRenderedPageBreak/>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F154AE">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F154AE">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FA0432C" w14:textId="661FD6F0" w:rsidR="00F639F9" w:rsidRPr="00A86D1A" w:rsidRDefault="00F639F9">
      <w:r>
        <w:rPr>
          <w:i/>
          <w:iCs/>
        </w:rPr>
        <w:t>Socioeconomic models</w:t>
      </w:r>
    </w:p>
    <w:p w14:paraId="3D060422" w14:textId="77777777" w:rsidR="000D560D"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 level and models were built to investigate the relationships between forest cover and socioeconomic variables within provinces for the same time period. Generalised linear mixed models (GLMM) were used</w:t>
      </w:r>
      <w:r w:rsidR="00D21B08">
        <w:t xml:space="preserve"> </w:t>
      </w:r>
      <w:r w:rsidR="009B3799">
        <w:t xml:space="preserve">with commune nested within province as random intercept terms to account for repeat measurements and the hierarchical data structure, and year as a random slope term to account for repeat measurements and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 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Table Sx</w:t>
      </w:r>
      <w:r w:rsidR="006A13F8">
        <w:t>)</w:t>
      </w:r>
      <w:r w:rsidR="001A2A21">
        <w:t xml:space="preserve">, and variables with very weak, or no effect were dropped. This process resulted in a final set of 13 variables which were included in a global model. Model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predictions for each term were made and then assessed via plots before removal to ensure no significant effects were missed. </w:t>
      </w:r>
    </w:p>
    <w:p w14:paraId="610E4A55" w14:textId="29AC61DC" w:rsidR="009B3799" w:rsidRDefault="000D560D">
      <w:r>
        <w:t>Model checking, validation etc.</w:t>
      </w:r>
      <w:r w:rsidR="00F154AE">
        <w:t xml:space="preserve"> Harrison paper</w:t>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08BFF85E" w14:textId="4E61F2C8" w:rsidR="00727888" w:rsidRDefault="00727888">
      <w:r>
        <w:t xml:space="preserve">Concessions ~ macroeconomics </w:t>
      </w:r>
    </w:p>
    <w:p w14:paraId="357E203B" w14:textId="30CA644E" w:rsidR="00727888" w:rsidRDefault="00727888">
      <w:r>
        <w:t>If macroeconomics predict concessions then we can draw indirect links between macroeconomics and forest loss. The lack of modelled relationships between macroeconomics and forest loss must then be something to do with lags (i.e. it takes longer than 2 years to see effects on forests).</w:t>
      </w:r>
    </w:p>
    <w:p w14:paraId="5F76D5C8" w14:textId="70A5D57E" w:rsidR="00727888" w:rsidRDefault="00727888">
      <w:r>
        <w:t xml:space="preserve">If there is no relationship between macroeconomics and concessions, then there are other factors that are driving the allocation of concessions e.g. timber (see below), corruption, favours etc. </w:t>
      </w:r>
    </w:p>
    <w:p w14:paraId="6CE65238" w14:textId="77777777" w:rsidR="00727888" w:rsidRDefault="00727888"/>
    <w:p w14:paraId="6AD626F9" w14:textId="5AED2B53" w:rsidR="00727888" w:rsidRDefault="00727888">
      <w:r>
        <w:t>Concessions ~ price of hardwood</w:t>
      </w:r>
    </w:p>
    <w:p w14:paraId="57A3E817" w14:textId="4FE626BE" w:rsidR="00727888" w:rsidRDefault="00727888">
      <w:r>
        <w:lastRenderedPageBreak/>
        <w:t>If there is a relationship here, it suggests that the timber value on concession land is a driver of concessions, rather than the resulting crop</w:t>
      </w:r>
    </w:p>
    <w:p w14:paraId="4B692B5A" w14:textId="1CB0FDDB" w:rsidR="00727888" w:rsidRDefault="0072788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560D"/>
    <w:rsid w:val="000D7C25"/>
    <w:rsid w:val="0011722E"/>
    <w:rsid w:val="001214C2"/>
    <w:rsid w:val="0016573F"/>
    <w:rsid w:val="00176BB0"/>
    <w:rsid w:val="001A2A21"/>
    <w:rsid w:val="001B33F4"/>
    <w:rsid w:val="001B6B38"/>
    <w:rsid w:val="001C5A6F"/>
    <w:rsid w:val="001D09A4"/>
    <w:rsid w:val="001F3408"/>
    <w:rsid w:val="00260194"/>
    <w:rsid w:val="002A4BD1"/>
    <w:rsid w:val="002B0228"/>
    <w:rsid w:val="00304F2B"/>
    <w:rsid w:val="00307ACC"/>
    <w:rsid w:val="003564E8"/>
    <w:rsid w:val="003A5DB8"/>
    <w:rsid w:val="003D30B2"/>
    <w:rsid w:val="004B385D"/>
    <w:rsid w:val="004F6196"/>
    <w:rsid w:val="00574771"/>
    <w:rsid w:val="005B02E3"/>
    <w:rsid w:val="005B2210"/>
    <w:rsid w:val="006310EE"/>
    <w:rsid w:val="006A13F8"/>
    <w:rsid w:val="006B50C9"/>
    <w:rsid w:val="00727888"/>
    <w:rsid w:val="007417B6"/>
    <w:rsid w:val="0074709B"/>
    <w:rsid w:val="007F487C"/>
    <w:rsid w:val="008D1764"/>
    <w:rsid w:val="00990D53"/>
    <w:rsid w:val="00996724"/>
    <w:rsid w:val="009B1A40"/>
    <w:rsid w:val="009B3799"/>
    <w:rsid w:val="00A1004F"/>
    <w:rsid w:val="00A52878"/>
    <w:rsid w:val="00A74190"/>
    <w:rsid w:val="00A86D1A"/>
    <w:rsid w:val="00AB1479"/>
    <w:rsid w:val="00AE151D"/>
    <w:rsid w:val="00B26B7C"/>
    <w:rsid w:val="00B474F1"/>
    <w:rsid w:val="00BB19ED"/>
    <w:rsid w:val="00BD1065"/>
    <w:rsid w:val="00C64AF9"/>
    <w:rsid w:val="00C744C0"/>
    <w:rsid w:val="00C76C14"/>
    <w:rsid w:val="00C838DB"/>
    <w:rsid w:val="00CC449B"/>
    <w:rsid w:val="00CC6840"/>
    <w:rsid w:val="00D21B08"/>
    <w:rsid w:val="00D667FE"/>
    <w:rsid w:val="00D92308"/>
    <w:rsid w:val="00DD3028"/>
    <w:rsid w:val="00DE2078"/>
    <w:rsid w:val="00E50075"/>
    <w:rsid w:val="00E957C3"/>
    <w:rsid w:val="00EB26C5"/>
    <w:rsid w:val="00F075E2"/>
    <w:rsid w:val="00F154AE"/>
    <w:rsid w:val="00F310CE"/>
    <w:rsid w:val="00F524E9"/>
    <w:rsid w:val="00F639F9"/>
    <w:rsid w:val="00F644DB"/>
    <w:rsid w:val="00F9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developmentcambo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4</Pages>
  <Words>9256</Words>
  <Characters>52762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2020-06-23T12:50:00Z</dcterms:created>
  <dcterms:modified xsi:type="dcterms:W3CDTF">2021-04-28T13:47:00Z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id="ylGxVJZC"/&gt;&lt;style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