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4D358" w14:textId="1A4AB41D" w:rsidR="00176BB0" w:rsidRPr="00C76C14" w:rsidRDefault="00176BB0">
      <w:pPr>
        <w:rPr>
          <w:b/>
          <w:bCs/>
          <w:sz w:val="24"/>
          <w:szCs w:val="24"/>
        </w:rPr>
      </w:pPr>
      <w:r w:rsidRPr="00C76C14">
        <w:rPr>
          <w:b/>
          <w:bCs/>
          <w:sz w:val="24"/>
          <w:szCs w:val="24"/>
        </w:rPr>
        <w:t>Methods</w:t>
      </w:r>
    </w:p>
    <w:p w14:paraId="65DDE75E" w14:textId="00FFC1D2" w:rsidR="00A86D1A" w:rsidRDefault="00A86D1A">
      <w:pPr>
        <w:rPr>
          <w:b/>
          <w:bCs/>
          <w:i/>
          <w:iCs/>
        </w:rPr>
      </w:pPr>
      <w:r>
        <w:rPr>
          <w:b/>
          <w:bCs/>
          <w:i/>
          <w:iCs/>
        </w:rPr>
        <w:t>Study area</w:t>
      </w:r>
    </w:p>
    <w:p w14:paraId="6EBB446B" w14:textId="55D5C116" w:rsidR="00A86D1A" w:rsidRPr="00A86D1A" w:rsidRDefault="00A86D1A">
      <w:r>
        <w:t xml:space="preserve">This study investigated macroeconomic and socioeconomic predictors of forest cover and loss in Cambodia at two different </w:t>
      </w:r>
      <w:r w:rsidR="00260194">
        <w:t>spatial resolutions</w:t>
      </w:r>
      <w:r>
        <w:t xml:space="preserve"> over two time periods. The macroeconomic analysis </w:t>
      </w:r>
      <w:r w:rsidR="00260194">
        <w:t>was at the</w:t>
      </w:r>
      <w:r w:rsidR="0074709B">
        <w:t xml:space="preserve"> national scale between 1993 – 2015, and the socioeconomic analysis was at the scale of a) the commune, and b) the province between 2007 – 2012. </w:t>
      </w:r>
      <w:r w:rsidR="0074709B" w:rsidRPr="0074709B">
        <w:t>Cambodia is in mainland SEA and is bordered by Laos (NE), Thailand (NW), Vietnam (E), and the Gulf of Thailand (SW) (</w:t>
      </w:r>
      <w:r w:rsidR="0074709B" w:rsidRPr="0074709B">
        <w:rPr>
          <w:highlight w:val="yellow"/>
        </w:rPr>
        <w:t>Figure x</w:t>
      </w:r>
      <w:r w:rsidR="0074709B" w:rsidRPr="0074709B">
        <w:t>).  The country has a surface area of 176,520 km2 (UNCTAD, 2020) and is located at latitudes 10-14</w:t>
      </w:r>
      <w:r w:rsidR="0074709B">
        <w:rPr>
          <w:rFonts w:cstheme="minorHAnsi"/>
        </w:rPr>
        <w:t>°</w:t>
      </w:r>
      <w:r w:rsidR="0074709B" w:rsidRPr="0074709B">
        <w:t xml:space="preserve"> north of the equator and thus has a tropical monsoon climate (McSweeney et al. 2010).  </w:t>
      </w:r>
    </w:p>
    <w:p w14:paraId="02E8B06D" w14:textId="43887ADA" w:rsidR="00BB19ED" w:rsidRPr="00C76C14" w:rsidRDefault="00BB19ED">
      <w:pPr>
        <w:rPr>
          <w:b/>
          <w:bCs/>
          <w:i/>
          <w:iCs/>
        </w:rPr>
      </w:pPr>
      <w:r w:rsidRPr="00C76C14">
        <w:rPr>
          <w:b/>
          <w:bCs/>
          <w:i/>
          <w:iCs/>
        </w:rPr>
        <w:t>Variable selection</w:t>
      </w:r>
    </w:p>
    <w:p w14:paraId="0643916C" w14:textId="0588D598" w:rsidR="0074709B" w:rsidRDefault="00007B27">
      <w:r>
        <w:t>The response variable</w:t>
      </w:r>
      <w:r w:rsidR="00D951BC">
        <w:t>s</w:t>
      </w:r>
      <w:r>
        <w:t xml:space="preserve"> for </w:t>
      </w:r>
      <w:r w:rsidR="00BD1065">
        <w:t>the macroeconomic analysis w</w:t>
      </w:r>
      <w:r w:rsidR="00D951BC">
        <w:t>ere</w:t>
      </w:r>
      <w:r w:rsidR="00BD1065">
        <w:t xml:space="preserve"> </w:t>
      </w:r>
      <w:r w:rsidR="00D951BC">
        <w:t xml:space="preserve">1) </w:t>
      </w:r>
      <w:r w:rsidR="00BD1065">
        <w:t xml:space="preserve">change in forest cover from time </w:t>
      </w:r>
      <w:r w:rsidR="00BD1065" w:rsidRPr="00BD1065">
        <w:rPr>
          <w:i/>
          <w:iCs/>
        </w:rPr>
        <w:t>t</w:t>
      </w:r>
      <w:r w:rsidR="00BD1065">
        <w:t xml:space="preserve"> to time </w:t>
      </w:r>
      <w:r w:rsidR="00BD1065" w:rsidRPr="00BD1065">
        <w:rPr>
          <w:i/>
          <w:iCs/>
        </w:rPr>
        <w:t>t</w:t>
      </w:r>
      <w:r w:rsidR="00BD1065" w:rsidRPr="00BD1065">
        <w:rPr>
          <w:i/>
          <w:iCs/>
          <w:vertAlign w:val="subscript"/>
        </w:rPr>
        <w:t>+1</w:t>
      </w:r>
      <w:r w:rsidR="00D951BC">
        <w:t xml:space="preserve"> and the number of new economic land concession (ELC) allocations in year </w:t>
      </w:r>
      <w:r w:rsidR="00D951BC">
        <w:rPr>
          <w:i/>
          <w:iCs/>
        </w:rPr>
        <w:t>t</w:t>
      </w:r>
      <w:r w:rsidR="00BD1065">
        <w:t>. The response variable for the socioeconomic analysis was forest cover area. Both</w:t>
      </w:r>
      <w:r w:rsidR="00D951BC">
        <w:t xml:space="preserve"> forest cover</w:t>
      </w:r>
      <w:r w:rsidR="00BD1065">
        <w:t xml:space="preserve"> response variables were produced from the same data source (see “Data sources” below). </w:t>
      </w:r>
      <w:r w:rsidR="001B33F4">
        <w:t xml:space="preserve">Macroeconomic, socioeconomic, and control variables for both sets of analysis were selected based on a combination of previous studies, data availability, and the authors’ knowledge of Cambodia. </w:t>
      </w:r>
    </w:p>
    <w:p w14:paraId="2D14A6D9" w14:textId="36982801" w:rsidR="000505EC" w:rsidRDefault="000505EC">
      <w:r>
        <w:t>Macroeconomic variables were selected to create three sets</w:t>
      </w:r>
      <w:r w:rsidR="00AB1479">
        <w:t xml:space="preserve"> of predictors, each targeting a different driver</w:t>
      </w:r>
      <w:r>
        <w:t>: economic development</w:t>
      </w:r>
      <w:r w:rsidR="00CC449B">
        <w:t xml:space="preserve"> (n=10)</w:t>
      </w:r>
      <w:r>
        <w:t>, commodity prices</w:t>
      </w:r>
      <w:r w:rsidR="00AB1479">
        <w:t xml:space="preserve"> (external market forces</w:t>
      </w:r>
      <w:r w:rsidR="00CC449B">
        <w:t>, n=8</w:t>
      </w:r>
      <w:r w:rsidR="00AB1479">
        <w:t>)</w:t>
      </w:r>
      <w:r>
        <w:t>, and producer prices</w:t>
      </w:r>
      <w:r w:rsidR="00AB1479">
        <w:t xml:space="preserve"> (internal market forces</w:t>
      </w:r>
      <w:r w:rsidR="00CC449B">
        <w:t>, n=5</w:t>
      </w:r>
      <w:r w:rsidR="00AB1479">
        <w:t xml:space="preserve">) </w:t>
      </w:r>
      <w:r w:rsidR="00AB1479">
        <w:fldChar w:fldCharType="begin"/>
      </w:r>
      <w:r w:rsidR="00AB1479">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AB1479">
        <w:fldChar w:fldCharType="separate"/>
      </w:r>
      <w:r w:rsidR="00AB1479" w:rsidRPr="00AB1479">
        <w:rPr>
          <w:rFonts w:ascii="Calibri" w:hAnsi="Calibri" w:cs="Calibri"/>
        </w:rPr>
        <w:t>(Nelson et al. 2006; Ewers 2006; Gong et al. 2013; Kuang et al. 2016; Fan &amp; Ding 2016; Bonilla-Bedoya et al. 2018)</w:t>
      </w:r>
      <w:r w:rsidR="00AB1479">
        <w:fldChar w:fldCharType="end"/>
      </w:r>
      <w:r w:rsidR="00AB1479">
        <w:t>. Both</w:t>
      </w:r>
      <w:r w:rsidR="0074709B">
        <w:t xml:space="preserve"> per capita</w:t>
      </w:r>
      <w:r w:rsidR="00AB1479">
        <w:t xml:space="preserve"> Gross Domestic Product (GDP) and amount of forest remaining were included to reflect the economic development path and the forest scarcity path respectively </w:t>
      </w:r>
      <w:r w:rsidR="00AB1479">
        <w:fldChar w:fldCharType="begin"/>
      </w:r>
      <w:r w:rsidR="00AB1479">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AB1479">
        <w:fldChar w:fldCharType="separate"/>
      </w:r>
      <w:r w:rsidR="00AB1479" w:rsidRPr="00AB1479">
        <w:rPr>
          <w:rFonts w:ascii="Calibri" w:hAnsi="Calibri" w:cs="Calibri"/>
        </w:rPr>
        <w:t>(Rudel et al. 2005; Lambin &amp; Meyfroidt 2010)</w:t>
      </w:r>
      <w:r w:rsidR="00AB1479">
        <w:fldChar w:fldCharType="end"/>
      </w:r>
      <w:r w:rsidR="00AB1479">
        <w:t xml:space="preserve">. </w:t>
      </w:r>
      <w:r>
        <w:t xml:space="preserve"> </w:t>
      </w:r>
    </w:p>
    <w:p w14:paraId="168D1EB3" w14:textId="7A453313" w:rsidR="00AB1479" w:rsidRDefault="00AB1479">
      <w:r>
        <w:t xml:space="preserve">Socioeconomic variables were </w:t>
      </w:r>
      <w:r w:rsidR="00CC449B">
        <w:t xml:space="preserve">selected to create 8 variable sets reflecting different aspects of socioeconomic status and development </w:t>
      </w:r>
      <w:r w:rsidR="00CC449B">
        <w:fldChar w:fldCharType="begin"/>
      </w:r>
      <w:r w:rsidR="00CC449B">
        <w:instrText xml:space="preserve"> ADDIN ZOTERO_ITEM CSL_CITATION {"citationID":"JoSCyoNc","properties":{"formattedCitation":"(Luck et al. 2009; Ty et al. 2012; Kristensen et al. 2016; Bonilla-Bedoya et al. 2018)","plainCitation":"(Luck et al. 2009; Ty et al. 2012; Kristensen et al. 2016; Bonilla-Bedoya et al. 2018)","noteIndex":0},"citationItems":[{"id":2655,"uris":["http://zotero.org/users/2170232/items/P4U3LHQJ"],"uri":["http://zotero.org/users/2170232/items/P4U3LHQJ"],"itemData":{"id":2655,"type":"article-journal","abstract":"By 2050, 70% of the Earth’s human population will live in urban areas. Urbanization can have a devastating impact on local ecosystems, but these impacts vary across time and space. Identifying links between spatiotemporal change in urban ecosystems and neighborhood socio-economics is crucial to management aimed at maintaining flora and fauna in urban areas. Here, we tracked 20 years of socio-economic change and 15 years of vegetation change in 32 residential neighborhoods in south-eastern Australia. Regression models that explicitly accounted for a time lag between neighborhood socio-economic characteristics and vegetation response explained more variation in vegetation cover than models that ignored the effects of time. Also, relationships between vegetation and socio-economic factors were stronger in later years for the same neighborhoods suggesting the influence of socio-economics is more readily identified in established neighborhoods. Socio-economic variables alone, or in combination with biophysical variables, were better predictors of vegetation cover than only biophysical variables. Across space, vegetation cover had a negative quadratic relationship with neighborhood housing density, peaking at mid-density values, and a positive relationship with education level and immigration status (the percentage of residents with a non-Australian background). Over time, housing density had a positive relationship with vegetation cover, reflecting an increase in vegetation as neighborhoods develop. Our results highlight the need to understand temporal context when attempting to explain contemporary patterns in vegetation cover and the increasing importance of socio-economic factors in influencing cover as neighborhoods become established.","container-title":"Ecosystems","DOI":"10.1007/s10021-009-9244-6","ISSN":"1435-0629","issue":"4","journalAbbreviation":"Ecosystems","language":"en","page":"604","source":"Springer Link","title":"Socio-Economics and Vegetation Change in Urban Ecosystems: Patterns in Space and Time","title-short":"Socio-Economics and Vegetation Change in Urban Ecosystems","volume":"12","author":[{"family":"Luck","given":"Gary W."},{"family":"Smallbone","given":"Lisa T."},{"family":"O’Brien","given":"Rachel"}],"issued":{"date-parts":[["2009",3,12]]}}},{"id":1660,"uris":["http://zotero.org/users/2170232/items/ELFJNY56"],"uri":["http://zotero.org/users/2170232/items/ELFJNY56"],"itemData":{"id":1660,"type":"article-journal","abstract":"This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id":2659,"uris":["http://zotero.org/users/2170232/items/M668EE6L"],"uri":["http://zotero.org/users/2170232/items/M668EE6L"],"itemData":{"id":2659,"type":"article-journal","abstract":"Many of the semi-natural landscape elements found in rural areas, such as woodlots, hedgerows and grasslands, were originally maintained as part of the agricultural system. During the 20th century, they lost most of their functions and were often removed or transformed. Presently, production concerns are less dominant and many landscape and land use changes are undertaken to improve public goods or fulfil personal and family ambitions and values. This paper investigates the patterns of farm-level land use changes that occurred between 2002 and 2012 in three different landscape regions of Europe (peri-urban landscapes, areas with marginal potential for agriculture, post-socialist landscapes) and the drivers behind, based on a questionnaire survey in six study areas. A second objective is to analyse landowners’ decision-making and endogenous factors that are correlated with their engagement in land use changes. Common to all areas is that agricultural production is under pressure due to physical or socio-economic challenges. The results indicate that relatively more nature or landscape features have been added by landowners than removed by them in the six study areas. Furthermore, the analysis revealed that full-time landowners were responsible for the largest proportion of landscape change and that the areas involved differed greatly. The analysis also underlined the variety of European landscapes, as many landscape activities exhibited strong geographical patterns. A multivariate analysis of the relationship between ten farm and landowner characteristics confirmed the geographical diversity, as only a dummy variable representing the geographical location was statistically significant. When location was omitted from the analysis, two factors were significant: farm size and ownership of livestock. In addition, the results suggest that landowners in peri-urban locations were more engaged in landscape activities than landowners in other locations.","container-title":"Land Use Policy","DOI":"10.1016/j.landusepol.2015.07.014","ISSN":"0264-8377","journalAbbreviation":"Land Use Policy","language":"en","page":"786-799","source":"ScienceDirect","title":"Patterns and drivers of farm-level land use change in selected European rural landscapes","volume":"57","author":[{"family":"Kristensen","given":"Søren Bech Pilgaard"},{"family":"Busck","given":"Anne Gravsholt"},{"family":"Sluis","given":"Theo","non-dropping-particle":"van der"},{"family":"Gaube","given":"Veronika"}],"issued":{"date-parts":[["2016",11,30]]}}},{"id":179,"uris":["http://zotero.org/users/2170232/items/WZLMGHYE"],"uri":["http://zotero.org/users/2170232/items/WZLMGHYE"],"itemData":{"id":179,"type":"article-journal","abstract":"The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CC449B">
        <w:fldChar w:fldCharType="separate"/>
      </w:r>
      <w:r w:rsidR="00CC449B" w:rsidRPr="000505EC">
        <w:rPr>
          <w:rFonts w:ascii="Calibri" w:hAnsi="Calibri" w:cs="Calibri"/>
        </w:rPr>
        <w:t>(Luck et al. 2009; Ty et al. 2012; Kristensen et al. 2016; Bonilla-Bedoya et al. 2018)</w:t>
      </w:r>
      <w:r w:rsidR="00CC449B">
        <w:fldChar w:fldCharType="end"/>
      </w:r>
      <w:r w:rsidR="00CC449B">
        <w:t>. The variable sets were population demographics (n=8), education (n=4), employment (n=5), economic security (n=2), access to services (n=4), social justice (n=2), migration (n=2), and control</w:t>
      </w:r>
      <w:r w:rsidR="00007B27">
        <w:t xml:space="preserve"> variables</w:t>
      </w:r>
      <w:r w:rsidR="00CC449B">
        <w:t xml:space="preserve"> (n=6). </w:t>
      </w:r>
      <w:r w:rsidR="0011722E">
        <w:t xml:space="preserve">Control variables were included to account for the effects of environmental and other human factors including economic land concessions </w:t>
      </w:r>
      <w:r w:rsidR="0011722E">
        <w:fldChar w:fldCharType="begin"/>
      </w:r>
      <w:r w:rsidR="0011722E">
        <w:instrText xml:space="preserve"> ADDIN ZOTERO_ITEM CSL_CITATION {"citationID":"YS0y28tC","properties":{"formattedCitation":"(Abdullah &amp; Nakagoshi 2007; Davis et al. 2015)","plainCitation":"(Abdullah &amp; Nakagoshi 2007; Davis et al. 2015)","noteIndex":0},"citationItems":[{"id":2636,"uris":["http://zotero.org/users/2170232/items/BW7PN9QB"],"uri":["http://zotero.org/users/2170232/items/BW7PN9QB"],"itemData":{"id":2636,"type":"article-journal","abstract":"In many tropical countries forest fragmentation caused by changes in human land use activities is of primary concern for sustainability. In Malaysia this relationship is usually described without any quantitative measurement to show the implications for land use planning and management. To understand this relationship, this study developed a single forest fragmentation index based on a combination of three landscape metrics, i.e., non-forest area, forest edge bordered by human land use and patch size coefficient of variation, using the state of Selangor, Malaysia as a case study. Two defined natural landscapes; wetland and forest landscapes were used as a basic unit of analyses of pattern change of forest fragmentation and its relationship to human land use in three temporal years of 1966, 1981 and 1995. Results showed that forest fragmentation in the state of Selangor generally increased during the time periods studied. Multiple regression analysis showed that human land use is an important determinant of forest fragmentation, but the significance of several land uses as explanatory variables to forest fragmentation changed temporally. Oil palm and rubber plantations were apparently the major contributors to forest fragmentation. Differences in fragmentation pattern occurred between the two natural landscapes. Forest fragmentation increased in the wetland landscape, whereas not much change was observed in the forest landscape. Oil palm plantation appeared to be the major contributor to forest fragmentation in the wetland landscape, whereas rubber plantation was the major factor in the forest landscape. This study also revealed that knowledge of forest fragmentation through a single index in different natural landscapes provides a pathway for identifying which forested areas are highly threatened and must be given priority in strategic planning of nature conservation. In conclusion, it is vital to understand the relationship between changes in human land use and degree of forest degradation measured by a single index in order to describe the implications for land use planning and management.","container-title":"Forest Ecology and Management","DOI":"10.1016/j.foreco.2006.12.016","ISSN":"0378-1127","issue":"1","journalAbbreviation":"Forest Ecology and Management","language":"en","page":"39-48","source":"ScienceDirect","title":"Forest fragmentation and its correlation to human land use change in the state of Selangor, peninsular Malaysia","volume":"241","author":[{"family":"Abdullah","given":"Saiful Arif"},{"family":"Nakagoshi","given":"Nobukazu"}],"issued":{"date-parts":[["2007",3,30]]}}},{"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11722E">
        <w:fldChar w:fldCharType="separate"/>
      </w:r>
      <w:r w:rsidR="0011722E" w:rsidRPr="000505EC">
        <w:rPr>
          <w:rFonts w:ascii="Calibri" w:hAnsi="Calibri" w:cs="Calibri"/>
        </w:rPr>
        <w:t>(Abdullah &amp; Nakagoshi 2007; Davis et al. 2015)</w:t>
      </w:r>
      <w:r w:rsidR="0011722E">
        <w:fldChar w:fldCharType="end"/>
      </w:r>
      <w:r w:rsidR="0011722E">
        <w:t xml:space="preserve">, protected areas </w:t>
      </w:r>
      <w:r w:rsidR="0011722E">
        <w:fldChar w:fldCharType="begin"/>
      </w:r>
      <w:r w:rsidR="0011722E">
        <w:instrText xml:space="preserve"> ADDIN ZOTERO_ITEM CSL_CITATION {"citationID":"KPXyqeHU","properties":{"formattedCitation":"(Bonilla-Bedoya et al. 2018)","plainCitation":"(Bonilla-Bedoya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0011722E">
        <w:fldChar w:fldCharType="separate"/>
      </w:r>
      <w:r w:rsidR="0011722E" w:rsidRPr="000505EC">
        <w:rPr>
          <w:rFonts w:ascii="Calibri" w:hAnsi="Calibri" w:cs="Calibri"/>
        </w:rPr>
        <w:t>(Bonilla-Bedoya et al. 2018)</w:t>
      </w:r>
      <w:r w:rsidR="0011722E">
        <w:fldChar w:fldCharType="end"/>
      </w:r>
      <w:r w:rsidR="0011722E">
        <w:t xml:space="preserve">, elevation </w:t>
      </w:r>
      <w:r w:rsidR="0011722E">
        <w:fldChar w:fldCharType="begin"/>
      </w:r>
      <w:r w:rsidR="0011722E">
        <w:instrText xml:space="preserve"> ADDIN ZOTERO_ITEM CSL_CITATION {"citationID":"otYqPcRZ","properties":{"formattedCitation":"(Ty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and distance to human infrastructure </w:t>
      </w:r>
      <w:r w:rsidR="0011722E">
        <w:fldChar w:fldCharType="begin"/>
      </w:r>
      <w:r w:rsidR="00D667FE">
        <w:instrText xml:space="preserve"> ADDIN ZOTERO_ITEM CSL_CITATION {"citationID":"0lM0f2uy","properties":{"formattedCitation":"(Ty et al. 2012)","plainCitation":"(Ty et al. 2012)","noteIndex":0},"citationItems":[{"id":1660,"uris":["http://zotero.org/users/2170232/items/ELFJNY56"],"uri":["http://zotero.org/users/2170232/items/ELFJNY56"],"itemData":{"id":1660,"type":"article-journal","abstract":"This study investigates an interdisciplinary scenario analysis to assess the potential impacts of climate, land use/cover and population changes on future water availability and demand in the Srepok River basin, a trans-boundary basin. Based on the output from a high-resolution Regional Climate Model (ECHAM 4, Scenarios A2 and B2) developed by the Southeast Asia—System for Analysis, Research and Training (SEA-START) Regional Center, future rainfall was downscaled to the study area and bias correction was carried out to generate the daily rainfall series. Land use/cover change was quantified using a GIS-based logistic regression approach and future population was projected from the historical data. These changes, individually or in combination, were then input into the calibrated hydrological model (HEC-HMS) to project future hydrological variables. The results reveal that surface runoff will be increased with increased future rainfall. Land use/cover change is found to have the largest impact on increased water demand, and thus reduced future water availability. The combined scenario shows an increasing level of water stress at both the basin and sub-basin levels, especially in the dry season.","container-title":"Water Resources Management","DOI":"10.1007/s11269-011-9964-1","ISSN":"0920-4741, 1573-1650","issue":"5","journalAbbreviation":"Water Resour Manage","language":"en","page":"1387-1407","source":"link.springer.com","title":"Scenario-based Impact Assessment of Land Use/Cover and Climate Changes on Water Resources and Demand: A Case Study in the Srepok River Basin, Vietnam—Cambodia","title-short":"Scenario-based Impact Assessment of Land Use/Cover and Climate Changes on Water Resources and Demand","volume":"26","author":[{"family":"Ty","given":"Tran Van"},{"family":"Sunada","given":"Kengo"},{"family":"Ichikawa","given":"Yutaka"},{"family":"Oishi","given":"Satoru"}],"issued":{"date-parts":[["2012",3,1]]}}}],"schema":"https://github.com/citation-style-language/schema/raw/master/csl-citation.json"} </w:instrText>
      </w:r>
      <w:r w:rsidR="0011722E">
        <w:fldChar w:fldCharType="separate"/>
      </w:r>
      <w:r w:rsidR="0011722E" w:rsidRPr="000505EC">
        <w:rPr>
          <w:rFonts w:ascii="Calibri" w:hAnsi="Calibri" w:cs="Calibri"/>
        </w:rPr>
        <w:t>(Ty et al. 2012)</w:t>
      </w:r>
      <w:r w:rsidR="0011722E">
        <w:fldChar w:fldCharType="end"/>
      </w:r>
      <w:r w:rsidR="0011722E">
        <w:t xml:space="preserve">. </w:t>
      </w:r>
      <w:r w:rsidR="00BD1065">
        <w:t>A h</w:t>
      </w:r>
      <w:r w:rsidR="00007B27">
        <w:t>abitat</w:t>
      </w:r>
      <w:r w:rsidR="00BD1065">
        <w:t xml:space="preserve"> control variable</w:t>
      </w:r>
      <w:r w:rsidR="00007B27">
        <w:t xml:space="preserve"> was excluded because </w:t>
      </w:r>
      <w:r w:rsidR="00BD1065">
        <w:t xml:space="preserve">the response variable (forest cover) was extracted from a land cover layer and represented a specific type of habitat, resulting in non-independence between the response and habitat. </w:t>
      </w:r>
      <w:r w:rsidR="0011722E">
        <w:t xml:space="preserve"> </w:t>
      </w:r>
      <w:r w:rsidR="00CC449B">
        <w:t xml:space="preserve">  </w:t>
      </w:r>
    </w:p>
    <w:p w14:paraId="646FEAFB" w14:textId="19A8FC6D" w:rsidR="00176BB0" w:rsidRPr="00C76C14" w:rsidRDefault="00176BB0">
      <w:pPr>
        <w:rPr>
          <w:b/>
          <w:bCs/>
          <w:i/>
          <w:iCs/>
        </w:rPr>
      </w:pPr>
      <w:r w:rsidRPr="00C76C14">
        <w:rPr>
          <w:b/>
          <w:bCs/>
          <w:i/>
          <w:iCs/>
        </w:rPr>
        <w:t>Data</w:t>
      </w:r>
      <w:r w:rsidR="009B1A40" w:rsidRPr="00C76C14">
        <w:rPr>
          <w:b/>
          <w:bCs/>
          <w:i/>
          <w:iCs/>
        </w:rPr>
        <w:t xml:space="preserve"> sources</w:t>
      </w:r>
    </w:p>
    <w:p w14:paraId="30706B43" w14:textId="0040B127" w:rsidR="005B02E3" w:rsidRPr="0016573F" w:rsidRDefault="006B50C9" w:rsidP="0016573F">
      <w:r>
        <w:t xml:space="preserve">National macroeconomic variables were acquired from publicly available sources (Table 1) for the period 1993 – 2015. </w:t>
      </w:r>
      <w:r w:rsidR="009B1A40">
        <w:t>Fine-scale s</w:t>
      </w:r>
      <w:r>
        <w:t>ocioeconomic variables were extracted from the Cambodian Commune Database</w:t>
      </w:r>
      <w:r w:rsidR="009B1A40">
        <w:t xml:space="preserve"> for the years 2007 – 2012 (Table 2)</w:t>
      </w:r>
      <w:r>
        <w:t xml:space="preserve"> which are available from Open Development Cambodia (</w:t>
      </w:r>
      <w:hyperlink r:id="rId5" w:history="1">
        <w:r w:rsidRPr="00EA23A6">
          <w:rPr>
            <w:rStyle w:val="Hyperlink"/>
          </w:rPr>
          <w:t>www.opendevelopmentcambodia.net</w:t>
        </w:r>
      </w:hyperlink>
      <w:r>
        <w:t xml:space="preserve">). </w:t>
      </w:r>
      <w:r w:rsidR="00AE151D">
        <w:t xml:space="preserve">Data on economic land concessions, protected areas, and elevation (digital elevation model), and shapefiles for the country, provinces, and communes were provided by the Wildlife Conservation Society. </w:t>
      </w:r>
      <w:r w:rsidR="009B1A40">
        <w:t>Forest cover layers were taken from the European Space Agency Climate Change Initiative</w:t>
      </w:r>
      <w:r w:rsidR="00996724">
        <w:t xml:space="preserve"> (ESACCI)</w:t>
      </w:r>
      <w:r w:rsidR="009B1A40">
        <w:t xml:space="preserve"> satellite data for the years </w:t>
      </w:r>
      <w:r w:rsidR="004B385D">
        <w:t xml:space="preserve">1993 </w:t>
      </w:r>
      <w:r w:rsidR="005B02E3">
        <w:t>–</w:t>
      </w:r>
      <w:r w:rsidR="004B385D">
        <w:t xml:space="preserve"> 2015</w:t>
      </w:r>
      <w:r w:rsidR="005B02E3">
        <w:t>.</w:t>
      </w:r>
      <w:r>
        <w:t xml:space="preserve"> </w:t>
      </w:r>
    </w:p>
    <w:p w14:paraId="60964397" w14:textId="2BBC6344" w:rsidR="00176BB0" w:rsidRPr="00C76C14" w:rsidRDefault="00C744C0">
      <w:pPr>
        <w:rPr>
          <w:b/>
          <w:bCs/>
          <w:i/>
          <w:iCs/>
        </w:rPr>
      </w:pPr>
      <w:r w:rsidRPr="00C76C14">
        <w:rPr>
          <w:b/>
          <w:bCs/>
          <w:i/>
          <w:iCs/>
        </w:rPr>
        <w:t>Data processing</w:t>
      </w:r>
    </w:p>
    <w:p w14:paraId="32113782" w14:textId="75D464FB" w:rsidR="00C76C14" w:rsidRPr="00C76C14" w:rsidRDefault="00C76C14" w:rsidP="00C76C14">
      <w:r>
        <w:lastRenderedPageBreak/>
        <w:t>The forest cover variable</w:t>
      </w:r>
      <w:r w:rsidR="00007B27">
        <w:t xml:space="preserve"> (response)</w:t>
      </w:r>
      <w:r>
        <w:t xml:space="preserve"> for both analyses w</w:t>
      </w:r>
      <w:r w:rsidR="00990D53">
        <w:t>as</w:t>
      </w:r>
      <w:r>
        <w:t xml:space="preserve"> extracted from the ESACCI product by totalling the number of pixels</w:t>
      </w:r>
      <w:r w:rsidR="00571267">
        <w:t xml:space="preserve"> (1 Pixel = 0.09km</w:t>
      </w:r>
      <w:r w:rsidR="00571267" w:rsidRPr="00571267">
        <w:rPr>
          <w:vertAlign w:val="superscript"/>
        </w:rPr>
        <w:t>2</w:t>
      </w:r>
      <w:r w:rsidR="00571267">
        <w:t>)</w:t>
      </w:r>
      <w:r>
        <w:t xml:space="preserve"> in each year classified as bands 50, 60, 61, 62, 70, 71, 72, 80, 81, 82, 90, and 100 (</w:t>
      </w:r>
      <w:r w:rsidRPr="000D7C25">
        <w:rPr>
          <w:highlight w:val="yellow"/>
        </w:rPr>
        <w:t xml:space="preserve">Table </w:t>
      </w:r>
      <w:proofErr w:type="spellStart"/>
      <w:r w:rsidRPr="000D7C25">
        <w:rPr>
          <w:highlight w:val="yellow"/>
        </w:rPr>
        <w:t>Sx</w:t>
      </w:r>
      <w:proofErr w:type="spellEnd"/>
      <w:r>
        <w:t>).</w:t>
      </w:r>
      <w:r w:rsidR="00990D53">
        <w:t xml:space="preserve"> For the macroeconomic analysis, the total forest cover for the whole country was used, and for the socioeconomic analysis the forest cover layer was further stratified into forest cover per commune</w:t>
      </w:r>
      <w:r w:rsidR="0074709B">
        <w:t xml:space="preserve"> and province</w:t>
      </w:r>
      <w:r w:rsidR="00990D53">
        <w:t xml:space="preserve">. Forest cover data processing was done in QGIS </w:t>
      </w:r>
      <w:r w:rsidR="00990D53" w:rsidRPr="002A4BD1">
        <w:fldChar w:fldCharType="begin"/>
      </w:r>
      <w:r w:rsidR="00CC6840">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00990D53" w:rsidRPr="002A4BD1">
        <w:fldChar w:fldCharType="separate"/>
      </w:r>
      <w:r w:rsidR="00990D53" w:rsidRPr="002A4BD1">
        <w:rPr>
          <w:rFonts w:ascii="Calibri" w:hAnsi="Calibri" w:cs="Calibri"/>
          <w:szCs w:val="24"/>
        </w:rPr>
        <w:t>(QGIS Geographic Information System v3.16)</w:t>
      </w:r>
      <w:r w:rsidR="00990D53" w:rsidRPr="002A4BD1">
        <w:fldChar w:fldCharType="end"/>
      </w:r>
      <w:r w:rsidR="00990D53">
        <w:t xml:space="preserve">. </w:t>
      </w:r>
      <w:r w:rsidR="003A5DB8">
        <w:t>For both analyses, predictor variables were checked for collinearity, and if two variables in the same set had a correlation coefficient of &gt;0.6 then</w:t>
      </w:r>
      <w:r w:rsidR="00BD1065">
        <w:t xml:space="preserve"> generally</w:t>
      </w:r>
      <w:r w:rsidR="003A5DB8">
        <w:t xml:space="preserve"> one was removed (Supporting Information).  </w:t>
      </w:r>
      <w:r w:rsidR="003A5DB8">
        <w:fldChar w:fldCharType="begin"/>
      </w:r>
      <w:r w:rsidR="00CC6840">
        <w:instrText xml:space="preserve"> ADDIN ZOTERO_ITEM CSL_CITATION {"citationID":"pzELEQiV","properties":{"formattedCitation":"(2021)","plainCitation":"(2021)","dontUpdate":true,"noteIndex":0},"citationItems":[{"id":2067,"uris":["http://zotero.org/users/2170232/items/FKWGSHYN"],"uri":["http://zotero.org/users/2170232/items/FKWGSHYN"],"itemData":{"id":2067,"type":"book","event-place":"Vienna, Austria","publisher":"R Foundation for Statistical Computing","publisher-place":"Vienna, Austria","title":"R: A language and Environment for Statistical Computing","URL":"https://www.R-project.org/","version":"4.0","author":[{"family":"","given":"R Core Team"}],"issued":{"date-parts":[["2021"]]}}}],"schema":"https://github.com/citation-style-language/schema/raw/master/csl-citation.json"} </w:instrText>
      </w:r>
      <w:r w:rsidR="003A5DB8">
        <w:fldChar w:fldCharType="end"/>
      </w:r>
    </w:p>
    <w:p w14:paraId="5FF30469" w14:textId="054E90AF" w:rsidR="00C76C14" w:rsidRPr="00C76C14" w:rsidRDefault="00C76C14" w:rsidP="00C76C14">
      <w:pPr>
        <w:rPr>
          <w:i/>
          <w:iCs/>
        </w:rPr>
      </w:pPr>
      <w:r>
        <w:rPr>
          <w:i/>
          <w:iCs/>
        </w:rPr>
        <w:t>Macroeconomic analysis</w:t>
      </w:r>
    </w:p>
    <w:p w14:paraId="378460BD" w14:textId="70A70726" w:rsidR="00DD3028" w:rsidRDefault="00DD3028">
      <w:r>
        <w:t>F</w:t>
      </w:r>
      <w:r w:rsidR="000D7C25">
        <w:t>orest cover was converted to change in forest cover</w:t>
      </w:r>
      <w:r w:rsidR="00C76C14">
        <w:t xml:space="preserve"> </w:t>
      </w:r>
      <w:r>
        <w:t>using</w:t>
      </w:r>
      <w:r w:rsidR="00C76C14">
        <w:t xml:space="preserve"> </w:t>
      </w:r>
      <w:r w:rsidR="00C76C14" w:rsidRPr="00C76C14">
        <w:rPr>
          <w:i/>
          <w:iCs/>
        </w:rPr>
        <w:t>forest cover</w:t>
      </w:r>
      <w:r w:rsidR="00C76C14" w:rsidRPr="00C76C14">
        <w:rPr>
          <w:i/>
          <w:iCs/>
          <w:vertAlign w:val="subscript"/>
        </w:rPr>
        <w:t>t</w:t>
      </w:r>
      <w:r>
        <w:rPr>
          <w:i/>
          <w:iCs/>
          <w:vertAlign w:val="subscript"/>
        </w:rPr>
        <w:t>+1</w:t>
      </w:r>
      <w:r w:rsidR="00C76C14" w:rsidRPr="00C76C14">
        <w:rPr>
          <w:i/>
          <w:iCs/>
        </w:rPr>
        <w:t xml:space="preserve"> </w:t>
      </w:r>
      <w:r w:rsidR="00C76C14">
        <w:rPr>
          <w:rFonts w:cstheme="minorHAnsi"/>
          <w:i/>
          <w:iCs/>
        </w:rPr>
        <w:t>−</w:t>
      </w:r>
      <w:r w:rsidR="00C76C14" w:rsidRPr="00C76C14">
        <w:rPr>
          <w:i/>
          <w:iCs/>
        </w:rPr>
        <w:t xml:space="preserve"> forest cover</w:t>
      </w:r>
      <w:r w:rsidR="00C76C14" w:rsidRPr="00C76C14">
        <w:rPr>
          <w:i/>
          <w:iCs/>
          <w:vertAlign w:val="subscript"/>
        </w:rPr>
        <w:t>t</w:t>
      </w:r>
      <w:r>
        <w:t xml:space="preserve">, where </w:t>
      </w:r>
      <w:r>
        <w:rPr>
          <w:i/>
          <w:iCs/>
        </w:rPr>
        <w:t>t</w:t>
      </w:r>
      <w:r>
        <w:t xml:space="preserve"> represents year </w:t>
      </w:r>
      <w:r>
        <w:rPr>
          <w:i/>
          <w:iCs/>
        </w:rPr>
        <w:t>t.</w:t>
      </w:r>
      <w:r w:rsidR="00C76C14">
        <w:t xml:space="preserve"> </w:t>
      </w:r>
      <w:r>
        <w:t xml:space="preserve">All predictors were converted from raw values to change in values using </w:t>
      </w:r>
      <w:r w:rsidRPr="00DD3028">
        <w:rPr>
          <w:i/>
          <w:iCs/>
        </w:rPr>
        <w:t>Xt</w:t>
      </w:r>
      <w:r w:rsidRPr="00DD3028">
        <w:rPr>
          <w:rFonts w:cstheme="minorHAnsi"/>
          <w:i/>
          <w:iCs/>
          <w:vertAlign w:val="subscript"/>
        </w:rPr>
        <w:t>+1</w:t>
      </w:r>
      <w:r w:rsidRPr="00DD3028">
        <w:rPr>
          <w:i/>
          <w:iCs/>
        </w:rPr>
        <w:t xml:space="preserve"> </w:t>
      </w:r>
      <w:r w:rsidRPr="00DD3028">
        <w:rPr>
          <w:rFonts w:cstheme="minorHAnsi"/>
          <w:i/>
          <w:iCs/>
        </w:rPr>
        <w:t xml:space="preserve">– </w:t>
      </w:r>
      <w:proofErr w:type="spellStart"/>
      <w:r w:rsidRPr="00DD3028">
        <w:rPr>
          <w:rFonts w:cstheme="minorHAnsi"/>
          <w:i/>
          <w:iCs/>
        </w:rPr>
        <w:t>X</w:t>
      </w:r>
      <w:r w:rsidRPr="00DD3028">
        <w:rPr>
          <w:rFonts w:cstheme="minorHAnsi"/>
          <w:i/>
          <w:iCs/>
          <w:vertAlign w:val="subscript"/>
        </w:rPr>
        <w:t>t</w:t>
      </w:r>
      <w:proofErr w:type="spellEnd"/>
      <w:r>
        <w:rPr>
          <w:rFonts w:cstheme="minorHAnsi"/>
          <w:i/>
          <w:iCs/>
        </w:rPr>
        <w:t xml:space="preserve">, </w:t>
      </w:r>
      <w:r>
        <w:rPr>
          <w:rFonts w:cstheme="minorHAnsi"/>
        </w:rPr>
        <w:t xml:space="preserve">where </w:t>
      </w:r>
      <w:r>
        <w:rPr>
          <w:rFonts w:cstheme="minorHAnsi"/>
          <w:i/>
          <w:iCs/>
        </w:rPr>
        <w:t>t</w:t>
      </w:r>
      <w:r>
        <w:rPr>
          <w:rFonts w:cstheme="minorHAnsi"/>
        </w:rPr>
        <w:t xml:space="preserve"> represents year </w:t>
      </w:r>
      <w:r>
        <w:rPr>
          <w:rFonts w:cstheme="minorHAnsi"/>
          <w:i/>
          <w:iCs/>
        </w:rPr>
        <w:t>t</w:t>
      </w:r>
      <w:r w:rsidR="00CC6840">
        <w:rPr>
          <w:rFonts w:cstheme="minorHAnsi"/>
        </w:rPr>
        <w:t xml:space="preserve"> </w:t>
      </w:r>
      <w:r w:rsidR="00CC6840">
        <w:rPr>
          <w:rFonts w:cstheme="minorHAnsi"/>
        </w:rPr>
        <w:fldChar w:fldCharType="begin"/>
      </w:r>
      <w:r w:rsidR="00CC6840">
        <w:rPr>
          <w:rFonts w:cstheme="minorHAnsi"/>
        </w:rP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00CC6840">
        <w:rPr>
          <w:rFonts w:cstheme="minorHAnsi"/>
        </w:rPr>
        <w:fldChar w:fldCharType="separate"/>
      </w:r>
      <w:r w:rsidR="00CC6840" w:rsidRPr="00CC6840">
        <w:rPr>
          <w:rFonts w:ascii="Calibri" w:hAnsi="Calibri" w:cs="Calibri"/>
        </w:rPr>
        <w:t>(Barrett et al. 2006)</w:t>
      </w:r>
      <w:r w:rsidR="00CC6840">
        <w:rPr>
          <w:rFonts w:cstheme="minorHAnsi"/>
        </w:rPr>
        <w:fldChar w:fldCharType="end"/>
      </w:r>
      <w:r>
        <w:rPr>
          <w:rFonts w:cstheme="minorHAnsi"/>
        </w:rPr>
        <w:t xml:space="preserve">. The variable </w:t>
      </w:r>
      <w:r>
        <w:rPr>
          <w:rFonts w:cstheme="minorHAnsi"/>
          <w:i/>
          <w:iCs/>
        </w:rPr>
        <w:t>forest remaining</w:t>
      </w:r>
      <w:r>
        <w:rPr>
          <w:rFonts w:cstheme="minorHAnsi"/>
        </w:rPr>
        <w:t xml:space="preserve"> was left as raw values</w:t>
      </w:r>
      <w:r w:rsidR="00F644DB">
        <w:rPr>
          <w:rFonts w:cstheme="minorHAnsi"/>
        </w:rPr>
        <w:t xml:space="preserve"> (km</w:t>
      </w:r>
      <w:r w:rsidR="00F644DB" w:rsidRPr="00F644DB">
        <w:rPr>
          <w:rFonts w:cstheme="minorHAnsi"/>
          <w:vertAlign w:val="superscript"/>
        </w:rPr>
        <w:t>2</w:t>
      </w:r>
      <w:r w:rsidR="00F644DB">
        <w:rPr>
          <w:rFonts w:cstheme="minorHAnsi"/>
        </w:rPr>
        <w:t>)</w:t>
      </w:r>
      <w:r>
        <w:rPr>
          <w:rFonts w:cstheme="minorHAnsi"/>
        </w:rPr>
        <w:t xml:space="preserve">. </w:t>
      </w:r>
      <w:r w:rsidR="00D667FE">
        <w:rPr>
          <w:rFonts w:cstheme="minorHAnsi"/>
        </w:rPr>
        <w:t xml:space="preserve">Cambodia’s first general election and subsequent adoption of a free market economy occurred in 1993, resulting in unreliable GDP-related values for 1993 </w:t>
      </w:r>
      <w:r w:rsidR="00D667FE">
        <w:rPr>
          <w:rFonts w:cstheme="minorHAnsi"/>
        </w:rPr>
        <w:fldChar w:fldCharType="begin"/>
      </w:r>
      <w:r w:rsidR="00D667FE">
        <w:rPr>
          <w:rFonts w:cstheme="minorHAnsi"/>
        </w:rPr>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00D667FE">
        <w:rPr>
          <w:rFonts w:cstheme="minorHAnsi"/>
        </w:rPr>
        <w:fldChar w:fldCharType="separate"/>
      </w:r>
      <w:r w:rsidR="00D667FE" w:rsidRPr="00D667FE">
        <w:rPr>
          <w:rFonts w:ascii="Calibri" w:hAnsi="Calibri" w:cs="Calibri"/>
        </w:rPr>
        <w:t>(Chhair &amp; Ung 2013)</w:t>
      </w:r>
      <w:r w:rsidR="00D667FE">
        <w:rPr>
          <w:rFonts w:cstheme="minorHAnsi"/>
        </w:rPr>
        <w:fldChar w:fldCharType="end"/>
      </w:r>
      <w:r w:rsidR="00D667FE">
        <w:rPr>
          <w:rFonts w:cstheme="minorHAnsi"/>
        </w:rPr>
        <w:t xml:space="preserve"> and subsequent change values in 1994, and so these were removed. </w:t>
      </w:r>
      <w:r w:rsidR="00F644DB">
        <w:rPr>
          <w:rFonts w:cstheme="minorHAnsi"/>
        </w:rPr>
        <w:t xml:space="preserve">To simplify interpretation, predictor variables were not centred or scaled prior to change calculations or modelling. </w:t>
      </w:r>
    </w:p>
    <w:p w14:paraId="0863910E" w14:textId="42E106CE" w:rsidR="00DD3028" w:rsidRPr="00DD3028" w:rsidRDefault="00DD3028">
      <w:pPr>
        <w:rPr>
          <w:i/>
          <w:iCs/>
        </w:rPr>
      </w:pPr>
      <w:r>
        <w:rPr>
          <w:i/>
          <w:iCs/>
        </w:rPr>
        <w:t>Socioeconomic analysis</w:t>
      </w:r>
    </w:p>
    <w:p w14:paraId="7538FD0B" w14:textId="11D51AF5" w:rsidR="004B385D" w:rsidRPr="004B385D" w:rsidRDefault="004B385D">
      <w:r>
        <w:t xml:space="preserve">Data from the Commune Database were at the </w:t>
      </w:r>
      <w:r w:rsidR="00DE2078">
        <w:t>resolution of individual village</w:t>
      </w:r>
      <w:r>
        <w:t>, and so the selected variables (Table 2) were aggregated to the commune</w:t>
      </w:r>
      <w:r w:rsidR="007417B6">
        <w:t xml:space="preserve"> and province level</w:t>
      </w:r>
      <w:r w:rsidR="007F487C">
        <w:t xml:space="preserve"> after error checking and cleaning (</w:t>
      </w:r>
      <w:r w:rsidR="003A5DB8">
        <w:t>Supporting Information)</w:t>
      </w:r>
      <w:r>
        <w:t>.</w:t>
      </w:r>
      <w:r w:rsidR="00DE2078">
        <w:t xml:space="preserve"> Some variables were converted from raw values to proportional data to account for large differences in commune</w:t>
      </w:r>
      <w:r w:rsidR="004F6196">
        <w:t xml:space="preserve"> and province</w:t>
      </w:r>
      <w:r w:rsidR="00DE2078">
        <w:t xml:space="preserve"> size and human population (Table 2). </w:t>
      </w:r>
      <w:r w:rsidR="003564E8">
        <w:t>Data were checked for errors and inconsistencies in R</w:t>
      </w:r>
      <w:r w:rsidR="002A4BD1">
        <w:t xml:space="preserve"> (Supporting Information, R Core Team, version 4.0)</w:t>
      </w:r>
      <w:r w:rsidR="003A5DB8">
        <w:t xml:space="preserve">. </w:t>
      </w:r>
    </w:p>
    <w:p w14:paraId="14BD3F12" w14:textId="6BCDFE44" w:rsidR="00C744C0" w:rsidRPr="00CC6840" w:rsidRDefault="00CC6840">
      <w:pPr>
        <w:rPr>
          <w:b/>
          <w:bCs/>
          <w:i/>
          <w:iCs/>
        </w:rPr>
      </w:pPr>
      <w:r>
        <w:rPr>
          <w:b/>
          <w:bCs/>
          <w:i/>
          <w:iCs/>
        </w:rPr>
        <w:t>Modelling</w:t>
      </w:r>
      <w:r w:rsidR="00C744C0" w:rsidRPr="00CC6840">
        <w:rPr>
          <w:b/>
          <w:bCs/>
          <w:i/>
          <w:iCs/>
        </w:rPr>
        <w:t xml:space="preserve"> </w:t>
      </w:r>
    </w:p>
    <w:p w14:paraId="734AAA5F" w14:textId="58A065F8" w:rsidR="00C744C0" w:rsidRDefault="00F639F9">
      <w:pPr>
        <w:rPr>
          <w:i/>
          <w:iCs/>
        </w:rPr>
      </w:pPr>
      <w:commentRangeStart w:id="0"/>
      <w:r>
        <w:rPr>
          <w:i/>
          <w:iCs/>
        </w:rPr>
        <w:t>Macroeconomic models</w:t>
      </w:r>
      <w:commentRangeEnd w:id="0"/>
      <w:r w:rsidR="00C51408">
        <w:rPr>
          <w:rStyle w:val="CommentReference"/>
        </w:rPr>
        <w:commentReference w:id="0"/>
      </w:r>
    </w:p>
    <w:p w14:paraId="1C74D142" w14:textId="219E2573" w:rsidR="00CC6840" w:rsidRDefault="00CC6840">
      <w:r>
        <w:t xml:space="preserve">This analysis aimed to model the relationships between </w:t>
      </w:r>
      <w:r w:rsidR="00304F2B">
        <w:t xml:space="preserve">changes in macroeconomic predictors and </w:t>
      </w:r>
      <w:r w:rsidR="00D951BC">
        <w:t xml:space="preserve">1) </w:t>
      </w:r>
      <w:r w:rsidR="00A86D1A">
        <w:t xml:space="preserve">the </w:t>
      </w:r>
      <w:r w:rsidR="00304F2B">
        <w:t>rate of forest loss at a national level</w:t>
      </w:r>
      <w:r w:rsidR="00D951BC">
        <w:t xml:space="preserve"> and 2) the allocation of new ELCs, both</w:t>
      </w:r>
      <w:r w:rsidR="00304F2B">
        <w:t xml:space="preserve"> for the time period 1993 – 2015. Models were run</w:t>
      </w:r>
      <w:r w:rsidR="00A25588">
        <w:t xml:space="preserve"> for both response variables</w:t>
      </w:r>
      <w:r w:rsidR="00304F2B">
        <w:t xml:space="preserve"> </w:t>
      </w:r>
      <w:r w:rsidR="00A25588">
        <w:t>with</w:t>
      </w:r>
      <w:r w:rsidR="00304F2B">
        <w:t xml:space="preserve">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00304F2B" w:rsidRPr="00304F2B">
        <w:rPr>
          <w:vertAlign w:val="superscript"/>
        </w:rPr>
        <w:t>2</w:t>
      </w:r>
      <w:r w:rsidR="00304F2B">
        <w:t>) was also included as a control variable in all models. Modelling</w:t>
      </w:r>
      <w:r w:rsidR="001C5A6F">
        <w:t xml:space="preserve"> was done using Generalised linear models (GLM)</w:t>
      </w:r>
      <w:r w:rsidR="00A86D1A">
        <w:t xml:space="preserve"> and</w:t>
      </w:r>
      <w:r w:rsidR="00304F2B">
        <w:t xml:space="preserve"> followed an information theoretic approach </w:t>
      </w:r>
      <w:r w:rsidR="00304F2B">
        <w:fldChar w:fldCharType="begin"/>
      </w:r>
      <w:r w:rsidR="00304F2B">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304F2B">
        <w:fldChar w:fldCharType="separate"/>
      </w:r>
      <w:r w:rsidR="00304F2B" w:rsidRPr="00304F2B">
        <w:rPr>
          <w:rFonts w:ascii="Calibri" w:hAnsi="Calibri" w:cs="Calibri"/>
        </w:rPr>
        <w:t>(Burnham &amp; Anderson 2007)</w:t>
      </w:r>
      <w:r w:rsidR="00304F2B">
        <w:fldChar w:fldCharType="end"/>
      </w:r>
      <w:r w:rsidR="008D1764">
        <w:t>.</w:t>
      </w:r>
      <w:r w:rsidR="001C5A6F">
        <w:t xml:space="preserve"> Both gaussian and gamma distributions were tested and resulting models were compared using Akaike’s Information Criterion (AIC). Final models </w:t>
      </w:r>
      <w:r w:rsidR="00A25588">
        <w:t>used</w:t>
      </w:r>
      <w:r w:rsidR="001C5A6F">
        <w:t xml:space="preserve"> gaussian distributions.</w:t>
      </w:r>
      <w:r w:rsidR="008D1764">
        <w:t xml:space="preserve"> All predictors in each model set ha</w:t>
      </w:r>
      <w:r w:rsidR="00574771">
        <w:t>d</w:t>
      </w:r>
      <w:r w:rsidR="008D1764">
        <w:t xml:space="preserve"> been selected because of a priori hypotheses</w:t>
      </w:r>
      <w:r w:rsidR="00574771">
        <w:t xml:space="preserve"> (</w:t>
      </w:r>
      <w:r w:rsidR="00574771" w:rsidRPr="00574771">
        <w:rPr>
          <w:highlight w:val="yellow"/>
        </w:rPr>
        <w:t xml:space="preserve">Table </w:t>
      </w:r>
      <w:proofErr w:type="spellStart"/>
      <w:r w:rsidR="00574771" w:rsidRPr="00574771">
        <w:rPr>
          <w:highlight w:val="yellow"/>
        </w:rPr>
        <w:t>Sx</w:t>
      </w:r>
      <w:proofErr w:type="spellEnd"/>
      <w:r w:rsidR="00574771">
        <w:t>)</w:t>
      </w:r>
      <w:r w:rsidR="008D1764">
        <w:t>, and so within each set all combinations of possible models were run and compared using</w:t>
      </w:r>
      <w:r w:rsidR="001C5A6F">
        <w:t xml:space="preserve"> AIC</w:t>
      </w:r>
      <w:r w:rsidR="008D1764">
        <w:t xml:space="preserve">. </w:t>
      </w:r>
      <w:r w:rsidR="00574771">
        <w:t xml:space="preserve">Models with </w:t>
      </w:r>
      <w:r w:rsidR="007417B6">
        <w:rPr>
          <w:rFonts w:cstheme="minorHAnsi"/>
        </w:rPr>
        <w:t>∆</w:t>
      </w:r>
      <w:r w:rsidR="00574771">
        <w:t xml:space="preserve">AIC &lt; 6 were considered to have sufficient support and retained in the final model set. Model averaging was implemented for the final model set, resulting in model-averaged coefficients for all model terms </w:t>
      </w:r>
      <w:r w:rsidR="00574771">
        <w:fldChar w:fldCharType="begin"/>
      </w:r>
      <w:r w:rsidR="00574771">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574771">
        <w:fldChar w:fldCharType="separate"/>
      </w:r>
      <w:r w:rsidR="00574771" w:rsidRPr="00574771">
        <w:rPr>
          <w:rFonts w:ascii="Calibri" w:hAnsi="Calibri" w:cs="Calibri"/>
        </w:rPr>
        <w:t>(Burnham &amp; Anderson 2007)</w:t>
      </w:r>
      <w:r w:rsidR="00574771">
        <w:fldChar w:fldCharType="end"/>
      </w:r>
      <w:r w:rsidR="00574771">
        <w:t>. This modelling procedure was repeated for a one-year time lag and two-year time lag as follows:</w:t>
      </w:r>
    </w:p>
    <w:p w14:paraId="65B60F8A" w14:textId="1EC7F00B" w:rsidR="00574771" w:rsidRDefault="001C5A6F">
      <w:commentRangeStart w:id="1"/>
      <w:r>
        <w:t>No time lag:</w:t>
      </w:r>
      <w:commentRangeEnd w:id="1"/>
      <w:r w:rsidR="0004621D">
        <w:rPr>
          <w:rStyle w:val="CommentReference"/>
        </w:rPr>
        <w:commentReference w:id="1"/>
      </w:r>
    </w:p>
    <w:p w14:paraId="77508BCB" w14:textId="3D130FC1" w:rsidR="001C5A6F" w:rsidRPr="000032BD" w:rsidRDefault="00B250AD">
      <w:pPr>
        <w:rPr>
          <w:sz w:val="28"/>
          <w:szCs w:val="28"/>
        </w:rPr>
      </w:pPr>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25C1B337" w14:textId="551EF895" w:rsidR="00CC6840" w:rsidRPr="000032BD" w:rsidRDefault="000032BD">
      <w:pPr>
        <w:rPr>
          <w:i/>
          <w:iCs/>
        </w:rPr>
      </w:pPr>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421282C9" w14:textId="6E334775" w:rsidR="00CC6840" w:rsidRDefault="000032BD">
      <w:r>
        <w:t>One year time lag:</w:t>
      </w:r>
    </w:p>
    <w:p w14:paraId="404934D6" w14:textId="2443C1C3" w:rsidR="000032BD" w:rsidRPr="000032BD" w:rsidRDefault="00B250AD">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5E5A20DA" w14:textId="535660B4" w:rsidR="00307ACC" w:rsidRDefault="00307ACC" w:rsidP="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+1</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33C8CB5C" w14:textId="408AE2FB" w:rsidR="00307ACC" w:rsidRPr="000032BD" w:rsidRDefault="00307ACC" w:rsidP="00307ACC">
      <w:pPr>
        <w:rPr>
          <w:i/>
          <w:iCs/>
        </w:rPr>
      </w:pPr>
      <w:proofErr w:type="gramStart"/>
      <w:r>
        <w:t>Two year</w:t>
      </w:r>
      <w:proofErr w:type="gramEnd"/>
      <w:r>
        <w:t xml:space="preserve"> time lag:</w:t>
      </w:r>
    </w:p>
    <w:p w14:paraId="318F48A4" w14:textId="67B25763" w:rsidR="00307ACC" w:rsidRPr="00307ACC" w:rsidRDefault="00B250AD">
      <m:oMathPara>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0</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p</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pt</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ϵ</m:t>
              </m:r>
            </m:e>
            <m:sub>
              <m:r>
                <w:rPr>
                  <w:rFonts w:ascii="Cambria Math" w:hAnsi="Cambria Math"/>
                  <w:sz w:val="28"/>
                  <w:szCs w:val="28"/>
                </w:rPr>
                <m:t>t</m:t>
              </m:r>
            </m:sub>
          </m:sSub>
        </m:oMath>
      </m:oMathPara>
    </w:p>
    <w:p w14:paraId="6E8598C4" w14:textId="77777777" w:rsidR="00A86D1A" w:rsidRDefault="00307ACC">
      <w:r>
        <w:t xml:space="preserve">Where </w:t>
      </w:r>
      <m:oMath>
        <m:r>
          <w:rPr>
            <w:rFonts w:ascii="Cambria Math" w:hAnsi="Cambria Math"/>
            <w:sz w:val="24"/>
            <w:szCs w:val="24"/>
          </w:rPr>
          <m:t>γ</m:t>
        </m:r>
      </m:oMath>
      <w:r>
        <w:t xml:space="preserve"> is the response at time</w:t>
      </w:r>
      <w:r w:rsidRPr="000032BD">
        <w:t xml:space="preserve"> </w:t>
      </w:r>
      <m:oMath>
        <m:r>
          <w:rPr>
            <w:rFonts w:ascii="Cambria Math" w:hAnsi="Cambria Math"/>
          </w:rPr>
          <m:t>t</m:t>
        </m:r>
        <m:r>
          <w:rPr>
            <w:rFonts w:ascii="Cambria Math" w:eastAsiaTheme="minorEastAsia" w:hAnsi="Cambria Math"/>
          </w:rPr>
          <m:t>+2</m:t>
        </m:r>
      </m:oMath>
      <w:r w:rsidRPr="000032BD">
        <w:rPr>
          <w:rFonts w:eastAsiaTheme="minorEastAsia"/>
        </w:rPr>
        <w:t xml:space="preserve">, </w:t>
      </w:r>
      <w:r>
        <w:rPr>
          <w:rFonts w:eastAsiaTheme="minorEastAsia"/>
        </w:rPr>
        <w:t xml:space="preserve">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 j=1,…,p</m:t>
        </m:r>
      </m:oMath>
      <w:r>
        <w:t xml:space="preserve"> is predictor variable </w:t>
      </w:r>
      <m:oMath>
        <m:r>
          <w:rPr>
            <w:rFonts w:ascii="Cambria Math" w:eastAsiaTheme="minorEastAsia" w:hAnsi="Cambria Math"/>
            <w:sz w:val="24"/>
            <w:szCs w:val="24"/>
          </w:rPr>
          <m:t>j</m:t>
        </m:r>
      </m:oMath>
      <w:r>
        <w:rPr>
          <w:rFonts w:eastAsiaTheme="minorEastAsia"/>
        </w:rPr>
        <w:t xml:space="preserve"> at time</w:t>
      </w:r>
      <m:oMath>
        <m:r>
          <w:rPr>
            <w:rFonts w:ascii="Cambria Math" w:hAnsi="Cambria Math"/>
            <w:sz w:val="24"/>
            <w:szCs w:val="24"/>
          </w:rPr>
          <m:t xml:space="preserve"> t</m:t>
        </m:r>
      </m:oMath>
      <w:r>
        <w:rPr>
          <w:rFonts w:eastAsiaTheme="minorEastAsia"/>
        </w:rPr>
        <w:t xml:space="preserve">. </w:t>
      </w:r>
      <w:r>
        <w:t xml:space="preserve"> </w:t>
      </w:r>
    </w:p>
    <w:p w14:paraId="072F59B5" w14:textId="77777777" w:rsidR="00316EC1" w:rsidRDefault="00316EC1">
      <w:pPr>
        <w:rPr>
          <w:i/>
          <w:iCs/>
        </w:rPr>
      </w:pPr>
    </w:p>
    <w:p w14:paraId="0FA0432C" w14:textId="3DD09D4D" w:rsidR="00F639F9" w:rsidRPr="00A86D1A" w:rsidRDefault="00F639F9">
      <w:r>
        <w:rPr>
          <w:i/>
          <w:iCs/>
        </w:rPr>
        <w:t>Socioeconomic models</w:t>
      </w:r>
    </w:p>
    <w:p w14:paraId="430A81E7" w14:textId="6C0049FD" w:rsidR="00316EC1" w:rsidRDefault="00A86D1A">
      <w:r>
        <w:t xml:space="preserve">This analysis aimed to model the relationships between forest cover and socioeconomic variables within communes between 2007 – 2012. </w:t>
      </w:r>
      <w:r w:rsidR="004F6196">
        <w:t>The results of initial commune-level modelling prompted further aggregation of</w:t>
      </w:r>
      <w:r w:rsidR="00D21B08">
        <w:t xml:space="preserve"> the</w:t>
      </w:r>
      <w:r w:rsidR="004F6196">
        <w:t xml:space="preserve"> data to the province</w:t>
      </w:r>
      <w:r w:rsidR="009C5130">
        <w:t>-</w:t>
      </w:r>
      <w:r w:rsidR="004F6196">
        <w:t xml:space="preserve">level and models were built to investigate the relationships between forest cover and socioeconomic variables within provinces for the same time period. </w:t>
      </w:r>
    </w:p>
    <w:p w14:paraId="27D107B5" w14:textId="43E185A3" w:rsidR="00316EC1" w:rsidRPr="00316EC1" w:rsidRDefault="00316EC1">
      <w:pPr>
        <w:rPr>
          <w:i/>
          <w:iCs/>
        </w:rPr>
      </w:pPr>
      <w:r>
        <w:tab/>
      </w:r>
      <w:commentRangeStart w:id="2"/>
      <w:r>
        <w:rPr>
          <w:i/>
          <w:iCs/>
        </w:rPr>
        <w:t>Commune-level models</w:t>
      </w:r>
      <w:commentRangeEnd w:id="2"/>
      <w:r w:rsidR="00086320">
        <w:rPr>
          <w:rStyle w:val="CommentReference"/>
        </w:rPr>
        <w:commentReference w:id="2"/>
      </w:r>
    </w:p>
    <w:p w14:paraId="2E62404A" w14:textId="5255A1FF" w:rsidR="00845831" w:rsidRDefault="004F6196">
      <w:r>
        <w:t>Generalised linear mixed models (GLMM) were used</w:t>
      </w:r>
      <w:r w:rsidR="00970DF7">
        <w:t xml:space="preserve"> </w:t>
      </w:r>
      <w:r w:rsidR="00316EC1">
        <w:t>with</w:t>
      </w:r>
      <w:r w:rsidR="00970DF7">
        <w:t xml:space="preserve"> </w:t>
      </w:r>
      <w:r w:rsidR="009B3799">
        <w:t xml:space="preserve">commune nested within province as random intercept terms to account for repeat measurements and the hierarchical data structure, and year as a random slope term to account for temporal autocorrelation </w:t>
      </w:r>
      <w:r w:rsidR="009B3799">
        <w:fldChar w:fldCharType="begin"/>
      </w:r>
      <w:r w:rsidR="009B3799">
        <w:instrText xml:space="preserve"> ADDIN ZOTERO_ITEM CSL_CITATION {"citationID":"SmityQpd","properties":{"formattedCitation":"(Zuur et al. 2009)","plainCitation":"(Zuur et al. 2009)","noteIndex":0},"citationItems":[{"id":2700,"uris":["http://zotero.org/users/2170232/items/A3LU44GR"],"uri":["http://zotero.org/users/2170232/items/A3LU44GR"],"itemData":{"id":2700,"type":"book","collection-title":"Statistics for Biology and Health","event-place":"New York, USA","ISBN":"978-0-387-87457-9","publisher":"Springer Science+Business Media","publisher-place":"New York, USA","title":"Mixed effects models and extensions in ecology with R","URL":"DOI 10.1007/978-0-387-87458-6 1,","author":[{"family":"Zuur","given":"Alain F."},{"family":"Ieno","given":"Elena N."},{"family":"Walker","given":"Neil J."},{"family":"Saveliev","given":"Anatoly A."},{"family":"Smith","given":"Graham M."}],"issued":{"date-parts":[["2009"]]}}}],"schema":"https://github.com/citation-style-language/schema/raw/master/csl-citation.json"} </w:instrText>
      </w:r>
      <w:r w:rsidR="009B3799">
        <w:fldChar w:fldCharType="separate"/>
      </w:r>
      <w:r w:rsidR="009B3799" w:rsidRPr="00F310CE">
        <w:rPr>
          <w:rFonts w:ascii="Calibri" w:hAnsi="Calibri" w:cs="Calibri"/>
        </w:rPr>
        <w:t>(Zuur et al. 2009)</w:t>
      </w:r>
      <w:r w:rsidR="009B3799">
        <w:fldChar w:fldCharType="end"/>
      </w:r>
      <w:r w:rsidR="009B3799">
        <w:t>.</w:t>
      </w:r>
      <w:r w:rsidR="00970DF7">
        <w:t xml:space="preserve"> </w:t>
      </w:r>
      <w:r w:rsidR="009B3799">
        <w:t>The natural logarithm of commune area (km</w:t>
      </w:r>
      <w:r w:rsidR="009B3799" w:rsidRPr="009B3799">
        <w:rPr>
          <w:vertAlign w:val="superscript"/>
        </w:rPr>
        <w:t>2</w:t>
      </w:r>
      <w:r w:rsidR="009B3799">
        <w:t xml:space="preserve">) was used as an offset term in all models to account for large variation in commune size. </w:t>
      </w:r>
      <w:r w:rsidR="001A2A21">
        <w:t>Due to the large number of available predictor variables, maximal within-set m</w:t>
      </w:r>
      <w:r w:rsidR="006A13F8">
        <w:t>odels were run</w:t>
      </w:r>
      <w:r w:rsidR="001A2A21">
        <w:t xml:space="preserve"> first</w:t>
      </w:r>
      <w:r w:rsidR="006A13F8">
        <w:t xml:space="preserve"> </w:t>
      </w:r>
      <w:r w:rsidR="001A2A21">
        <w:t>for</w:t>
      </w:r>
      <w:r w:rsidR="006A13F8">
        <w:t xml:space="preserve"> each of the 8 variable sets (</w:t>
      </w:r>
      <w:r w:rsidR="006A13F8" w:rsidRPr="006A13F8">
        <w:rPr>
          <w:highlight w:val="yellow"/>
        </w:rPr>
        <w:t xml:space="preserve">Table </w:t>
      </w:r>
      <w:proofErr w:type="spellStart"/>
      <w:r w:rsidR="006A13F8" w:rsidRPr="006A13F8">
        <w:rPr>
          <w:highlight w:val="yellow"/>
        </w:rPr>
        <w:t>Sx</w:t>
      </w:r>
      <w:proofErr w:type="spellEnd"/>
      <w:r w:rsidR="006A13F8">
        <w:t>)</w:t>
      </w:r>
      <w:r w:rsidR="001A2A21">
        <w:t xml:space="preserve">, and variables with very weak, or no effect were dropped. </w:t>
      </w:r>
      <w:r w:rsidR="000550BA">
        <w:t xml:space="preserve">Simplified models were compared with maximal models using likelihood ratio tests and analysis of variance tests. </w:t>
      </w:r>
      <w:r w:rsidR="005C56C2">
        <w:t xml:space="preserve">If a variable set had only one variable, this was automatically taken forward. </w:t>
      </w:r>
      <w:r w:rsidR="00986EED">
        <w:t xml:space="preserve">Because assessment of term significance in GLMMs is complex, predictions and plots were made for all terms before being dropped to ensure no effects were being missed. </w:t>
      </w:r>
      <w:r w:rsidR="001A2A21">
        <w:t xml:space="preserve">This process resulted in a final set of 13 variables which were </w:t>
      </w:r>
      <w:r w:rsidR="0004621D">
        <w:t>used to create a candidate set of 10 models (</w:t>
      </w:r>
      <w:r w:rsidR="0004621D" w:rsidRPr="0004621D">
        <w:rPr>
          <w:highlight w:val="yellow"/>
        </w:rPr>
        <w:t xml:space="preserve">Table </w:t>
      </w:r>
      <w:proofErr w:type="spellStart"/>
      <w:r w:rsidR="0004621D" w:rsidRPr="0004621D">
        <w:rPr>
          <w:highlight w:val="yellow"/>
        </w:rPr>
        <w:t>Sx</w:t>
      </w:r>
      <w:proofErr w:type="spellEnd"/>
      <w:r w:rsidR="0004621D">
        <w:t>)</w:t>
      </w:r>
      <w:r w:rsidR="001A2A21">
        <w:t>.</w:t>
      </w:r>
      <w:r w:rsidR="0004621D">
        <w:t xml:space="preserve"> Following an information theoretic approach </w:t>
      </w:r>
      <w:r w:rsidR="0004621D">
        <w:fldChar w:fldCharType="begin"/>
      </w:r>
      <w:r w:rsidR="0004621D">
        <w:instrText xml:space="preserve"> ADDIN ZOTERO_ITEM CSL_CITATION {"citationID":"8ICFBCnK","properties":{"formattedCitation":"(Burnham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4621D">
        <w:fldChar w:fldCharType="separate"/>
      </w:r>
      <w:r w:rsidR="0004621D" w:rsidRPr="0004621D">
        <w:rPr>
          <w:rFonts w:ascii="Calibri" w:hAnsi="Calibri" w:cs="Calibri"/>
        </w:rPr>
        <w:t>(Burnham &amp; Anderson 2007)</w:t>
      </w:r>
      <w:r w:rsidR="0004621D">
        <w:fldChar w:fldCharType="end"/>
      </w:r>
      <w:r w:rsidR="0004621D">
        <w:t xml:space="preserve"> models were compared via AIC to select the top model or models.</w:t>
      </w:r>
      <w:r w:rsidR="001A2A21">
        <w:t xml:space="preserve"> </w:t>
      </w:r>
      <w:r w:rsidR="00251990">
        <w:t xml:space="preserve">The resulting final model fit was assessed via diagnostic plots (residuals versus fitted, </w:t>
      </w:r>
      <w:r w:rsidR="00FB7C1E">
        <w:t>quantile-quantile</w:t>
      </w:r>
      <w:r w:rsidR="00C51408">
        <w:t xml:space="preserve"> of random effects, Supporting Information, </w:t>
      </w:r>
      <w:r w:rsidR="00C51408">
        <w:fldChar w:fldCharType="begin"/>
      </w:r>
      <w:r w:rsidR="00AB2974">
        <w:instrText xml:space="preserve"> ADDIN ZOTERO_ITEM CSL_CITATION {"citationID":"suNnabPj","properties":{"formattedCitation":"(Harrison et al. 2018)","plainCitation":"(Harrison et al. 2018)","dontUpdate":true,"noteIndex":0},"citationItems":[{"id":2215,"uris":["http://zotero.org/users/2170232/items/Y263KQX6"],"uri":["http://zotero.org/users/2170232/items/Y263KQX6"],"itemData":{"id":2215,"type":"article-journal","abstract":"The use of linear mixed effects models (LMMs) is increasingly common in the analysis of biological data. Whilst LMMs offer a flexible approach to modelling a broad range of data types, ecological data are often complex and require complex model structures, and the fitting and interpretation of such models is not always straightforward. The ability to achieve robust biological inference requires that practitioners know how and when to apply these tools. Here, we provide a general overview of current methods for the application of LMMs to biological data, and highlight the typical pitfalls that can be encountered in the statistical modelling process. We tackle several issues regarding methods of model selection, with particular reference to the use of information theory and multi-model inference in ecology. We offer practical solutions and direct the reader to key references that provide further technical detail for those seeking a deeper understanding. This overview should serve as a widely accessible code of best practice for applying LMMs to complex biological problems and model structures, and in doing so improve the robustness of conclusions drawn from studies investigating ecological and evolutionary questions.","container-title":"PeerJ","DOI":"10.7717/peerj.4794","ISSN":"2167-8359","journalAbbreviation":"PeerJ","language":"en","page":"e4794","source":"peerj.com","title":"A brief introduction to mixed effects modelling and multi-model inference in ecology","volume":"6","author":[{"family":"Harrison","given":"Xavier A."},{"family":"Donaldson","given":"Lynda"},{"family":"Correa-Cano","given":"Maria Eugenia"},{"family":"Evans","given":"Julian"},{"family":"Fisher","given":"David N."},{"family":"Goodwin","given":"Cecily E. D."},{"family":"Robinson","given":"Beth S."},{"family":"Hodgson","given":"David J."},{"family":"Inger","given":"Richard"}],"issued":{"date-parts":[["2018",5,23]]}}}],"schema":"https://github.com/citation-style-language/schema/raw/master/csl-citation.json"} </w:instrText>
      </w:r>
      <w:r w:rsidR="00C51408">
        <w:fldChar w:fldCharType="separate"/>
      </w:r>
      <w:r w:rsidR="00C51408" w:rsidRPr="00C51408">
        <w:rPr>
          <w:rFonts w:ascii="Calibri" w:hAnsi="Calibri" w:cs="Calibri"/>
        </w:rPr>
        <w:t xml:space="preserve">Harrison et al </w:t>
      </w:r>
      <w:r w:rsidR="00C51408">
        <w:rPr>
          <w:rFonts w:ascii="Calibri" w:hAnsi="Calibri" w:cs="Calibri"/>
        </w:rPr>
        <w:t>(</w:t>
      </w:r>
      <w:r w:rsidR="00C51408" w:rsidRPr="00C51408">
        <w:rPr>
          <w:rFonts w:ascii="Calibri" w:hAnsi="Calibri" w:cs="Calibri"/>
        </w:rPr>
        <w:t>2018)</w:t>
      </w:r>
      <w:r w:rsidR="00C51408">
        <w:fldChar w:fldCharType="end"/>
      </w:r>
      <w:r w:rsidR="00FB7C1E">
        <w:t>)</w:t>
      </w:r>
      <w:r w:rsidR="00C51408">
        <w:t xml:space="preserve">. </w:t>
      </w:r>
      <w:r w:rsidR="00251990">
        <w:t xml:space="preserve"> </w:t>
      </w:r>
      <w:r w:rsidR="007D2323">
        <w:t>Marginal (fixed effects only) and c</w:t>
      </w:r>
      <w:r w:rsidR="00C51408">
        <w:t xml:space="preserve">onditional </w:t>
      </w:r>
      <w:r w:rsidR="007D2323">
        <w:t>(fixed and random effects) R</w:t>
      </w:r>
      <w:r w:rsidR="007D2323" w:rsidRPr="007D2323">
        <w:rPr>
          <w:vertAlign w:val="superscript"/>
        </w:rPr>
        <w:t>2</w:t>
      </w:r>
      <w:r w:rsidR="007D2323">
        <w:t xml:space="preserve"> values were calculated based on </w:t>
      </w:r>
      <w:r w:rsidR="007D2323">
        <w:fldChar w:fldCharType="begin"/>
      </w:r>
      <w:r w:rsidR="00AB2974">
        <w:instrText xml:space="preserve"> ADDIN ZOTERO_ITEM CSL_CITATION {"citationID":"V5omb3jK","properties":{"formattedCitation":"(Nakagawa &amp; Schielzeth 2017)","plainCitation":"(Nakagawa &amp; Schielzeth 2017)","dontUpdate":true,"noteIndex":0},"citationItems":[{"id":2205,"uris":["http://zotero.org/users/2170232/items/NWMA7IIB"],"uri":["http://zotero.org/users/2170232/items/NWMA7IIB"],"itemData":{"id":2205,"type":"article-journal","abstract":"Summary The use of both linear and generalized linear mixed-effects models (LMMs and GLMMs) has become popular not only in social and medical sciences, but also in biological sciences, especially in the field of ecology and evolution. Information criteria, such as Akaike Information Criterion (AIC), are usually presented as model comparison tools for mixed-effects models. The presentation of ?variance explained? (R2) as a relevant summarizing statistic of mixed-effects models, however, is rare, even though R2 is routinely reported for linear models (LMs) and also generalized linear models (GLMs). R2 has the extremely useful property of providing an absolute value for the goodness-of-fit of a model, which cannot be given by the information criteria. As a summary statistic that describes the amount of variance explained, R2 can also be a quantity of biological interest. One reason for the under-appreciation of R2 for mixed-effects models lies in the fact that R2 can be defined in a number of ways. Furthermore, most definitions of R2 for mixed-effects have theoretical problems (e.g. decreased or negative R2 values in larger models) and/or their use is hindered by practical difficulties (e.g. implementation). Here, we make a case for the importance of reporting R2 for mixed-effects models. We first provide the common definitions of R2 for LMs and GLMs and discuss the key problems associated with calculating R2 for mixed-effects models. We then recommend a general and simple method for calculating two types of R2 (marginal and conditional R2) for both LMMs and GLMMs, which are less susceptible to common problems. This method is illustrated by examples and can be widely employed by researchers in any fields of research, regardless of software packages used for fitting mixed-effects models. The proposed method has the potential to facilitate the presentation of R2 for a wide range of circumstances.","container-title":"Methods in Ecology and Evolution","DOI":"10.1111/j.2041-210x.2012.00261.x@10.1111/(ISSN)2041-210X.STATSTOO","ISSN":"2041-210X","journalAbbreviation":"Methods in Ecology and Evolution","page":"133-142","source":"besjournals.onlinelibrary.wiley.com (Atypon)","title":"A general and simple method for obtaining R2 from generalized linear mixed-effects models","author":[{"family":"Nakagawa","given":"Shinichi"},{"family":"Schielzeth","given":"Holger"}],"issued":{"date-parts":[["2017",7,25]]}}}],"schema":"https://github.com/citation-style-language/schema/raw/master/csl-citation.json"} </w:instrText>
      </w:r>
      <w:r w:rsidR="007D2323">
        <w:fldChar w:fldCharType="separate"/>
      </w:r>
      <w:r w:rsidR="007D2323" w:rsidRPr="007D2323">
        <w:rPr>
          <w:rFonts w:ascii="Calibri" w:hAnsi="Calibri" w:cs="Calibri"/>
        </w:rPr>
        <w:t xml:space="preserve">Nakagawa &amp; Schielzeth </w:t>
      </w:r>
      <w:r w:rsidR="007D2323">
        <w:rPr>
          <w:rFonts w:ascii="Calibri" w:hAnsi="Calibri" w:cs="Calibri"/>
        </w:rPr>
        <w:t>(</w:t>
      </w:r>
      <w:r w:rsidR="007D2323" w:rsidRPr="007D2323">
        <w:rPr>
          <w:rFonts w:ascii="Calibri" w:hAnsi="Calibri" w:cs="Calibri"/>
        </w:rPr>
        <w:t>2017)</w:t>
      </w:r>
      <w:r w:rsidR="007D2323">
        <w:fldChar w:fldCharType="end"/>
      </w:r>
      <w:r w:rsidR="007D2323">
        <w:t xml:space="preserve"> using the R package ‘</w:t>
      </w:r>
      <w:proofErr w:type="spellStart"/>
      <w:r w:rsidR="007D2323">
        <w:t>MuMIn</w:t>
      </w:r>
      <w:proofErr w:type="spellEnd"/>
      <w:r w:rsidR="007D2323">
        <w:t xml:space="preserve">’ </w:t>
      </w:r>
      <w:r w:rsidR="007D2323">
        <w:fldChar w:fldCharType="begin"/>
      </w:r>
      <w:r w:rsidR="007D2323">
        <w:instrText xml:space="preserve"> ADDIN ZOTERO_ITEM CSL_CITATION {"citationID":"aNENcyHk","properties":{"formattedCitation":"(Barto\\uc0\\u324{} 2017)","plainCitation":"(Bartoń 2017)","noteIndex":0},"citationItems":[{"id":2704,"uris":["http://zotero.org/users/2170232/items/TVZKJH5U"],"uri":["http://zotero.org/users/2170232/items/TVZKJH5U"],"itemData":{"id":2704,"type":"book","abstract":"Tools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2017"]]}}}],"schema":"https://github.com/citation-style-language/schema/raw/master/csl-citation.json"} </w:instrText>
      </w:r>
      <w:r w:rsidR="007D2323">
        <w:fldChar w:fldCharType="separate"/>
      </w:r>
      <w:r w:rsidR="007D2323" w:rsidRPr="007D2323">
        <w:rPr>
          <w:rFonts w:ascii="Calibri" w:hAnsi="Calibri" w:cs="Calibri"/>
          <w:szCs w:val="24"/>
        </w:rPr>
        <w:t>(</w:t>
      </w:r>
      <w:proofErr w:type="spellStart"/>
      <w:r w:rsidR="007D2323" w:rsidRPr="007D2323">
        <w:rPr>
          <w:rFonts w:ascii="Calibri" w:hAnsi="Calibri" w:cs="Calibri"/>
          <w:szCs w:val="24"/>
        </w:rPr>
        <w:t>Bartoń</w:t>
      </w:r>
      <w:proofErr w:type="spellEnd"/>
      <w:r w:rsidR="007D2323" w:rsidRPr="007D2323">
        <w:rPr>
          <w:rFonts w:ascii="Calibri" w:hAnsi="Calibri" w:cs="Calibri"/>
          <w:szCs w:val="24"/>
        </w:rPr>
        <w:t xml:space="preserve"> 2017)</w:t>
      </w:r>
      <w:r w:rsidR="007D2323">
        <w:fldChar w:fldCharType="end"/>
      </w:r>
      <w:r w:rsidR="007D2323">
        <w:t>.</w:t>
      </w:r>
      <w:r w:rsidR="00970DF7">
        <w:t xml:space="preserve"> </w:t>
      </w:r>
      <w:r w:rsidR="007072F5">
        <w:t xml:space="preserve">To investigate the variation in effects between provinces, predictions were made for each variable within each commune and the 50% quantile from all commune-level predictions in each province was extracted as the provincial mean prediction. </w:t>
      </w:r>
    </w:p>
    <w:p w14:paraId="28E33B28" w14:textId="1B15E2C3" w:rsidR="00316EC1" w:rsidRDefault="00316EC1">
      <w:pPr>
        <w:rPr>
          <w:i/>
          <w:iCs/>
        </w:rPr>
      </w:pPr>
      <w:r>
        <w:tab/>
      </w:r>
      <w:r>
        <w:rPr>
          <w:i/>
          <w:iCs/>
        </w:rPr>
        <w:t>Province-level models</w:t>
      </w:r>
    </w:p>
    <w:p w14:paraId="31A91873" w14:textId="27DB7447" w:rsidR="00316EC1" w:rsidRDefault="00316EC1">
      <w:r>
        <w:t xml:space="preserve">The same GLMM model formulation was used for the province-level models except that commune was removed from the random effects structure. </w:t>
      </w:r>
      <w:r w:rsidR="0063227A">
        <w:t>Based on provincial-level histograms</w:t>
      </w:r>
      <w:r w:rsidR="00F521E7">
        <w:t xml:space="preserve"> of predictor variables</w:t>
      </w:r>
      <w:r w:rsidR="0063227A">
        <w:t xml:space="preserve">, 14 </w:t>
      </w:r>
      <w:r w:rsidR="00F521E7">
        <w:t>predictors</w:t>
      </w:r>
      <w:r w:rsidR="0063227A">
        <w:t xml:space="preserve"> were converted to categorical </w:t>
      </w:r>
      <w:r w:rsidR="00F521E7">
        <w:t xml:space="preserve">variables by splitting the data by the mean, </w:t>
      </w:r>
      <w:r w:rsidR="00F521E7">
        <w:lastRenderedPageBreak/>
        <w:t>resulting in “high” and “low” values</w:t>
      </w:r>
      <w:r w:rsidR="009C5130">
        <w:t xml:space="preserve"> (Table 2)</w:t>
      </w:r>
      <w:r w:rsidR="0063227A">
        <w:t>.</w:t>
      </w:r>
      <w:r w:rsidR="00B250AD">
        <w:t xml:space="preserve"> A candidate set of models was created </w:t>
      </w:r>
      <w:r w:rsidR="00B250AD" w:rsidRPr="00B250AD">
        <w:rPr>
          <w:highlight w:val="yellow"/>
        </w:rPr>
        <w:t xml:space="preserve">(Table </w:t>
      </w:r>
      <w:proofErr w:type="spellStart"/>
      <w:r w:rsidR="00B250AD" w:rsidRPr="00B250AD">
        <w:rPr>
          <w:highlight w:val="yellow"/>
        </w:rPr>
        <w:t>Sx</w:t>
      </w:r>
      <w:proofErr w:type="spellEnd"/>
      <w:r w:rsidR="00B250AD">
        <w:t>) and model comparison was done using AIC.</w:t>
      </w:r>
    </w:p>
    <w:p w14:paraId="33918CF8" w14:textId="62C6C071" w:rsidR="007072F5" w:rsidRDefault="007072F5">
      <w:r>
        <w:rPr>
          <w:b/>
          <w:bCs/>
          <w:i/>
          <w:iCs/>
        </w:rPr>
        <w:t>Cluster analysis</w:t>
      </w:r>
    </w:p>
    <w:p w14:paraId="7DD18FEE" w14:textId="2ECBC277" w:rsidR="007072F5" w:rsidRPr="007072F5" w:rsidRDefault="00AB2974">
      <w:r>
        <w:t xml:space="preserve">Agglomerative clustering was conducted to create a typology for provinces based on the socioeconomic variables used in the analysis above. Several agglomerative clustering approaches were assessed and compared using cophenetic correlation and Gower distance metrics, and </w:t>
      </w:r>
      <w:r w:rsidR="004C0A38">
        <w:t xml:space="preserve">the </w:t>
      </w:r>
      <w:r>
        <w:t xml:space="preserve">appropriate number of clusters (k) was selected </w:t>
      </w:r>
      <w:r w:rsidR="004C0A38">
        <w:t>using</w:t>
      </w:r>
      <w:r>
        <w:t xml:space="preserve"> the matrix correlation statistics </w:t>
      </w:r>
      <w:r>
        <w:fldChar w:fldCharType="begin"/>
      </w:r>
      <w:r>
        <w:instrText xml:space="preserve"> ADDIN ZOTERO_ITEM CSL_CITATION {"citationID":"R9LUkZIu","properties":{"formattedCitation":"(Borcard et al. 2018)","plainCitation":"(Borcard et al. 2018)","noteIndex":0},"citationItems":[{"id":2706,"uris":["http://zotero.org/users/2170232/items/5WYR7AXF"],"uri":["http://zotero.org/users/2170232/items/5WYR7AXF"],"itemData":{"id":2706,"type":"chapter","abstract":"In most cases, data exploration and the computation of association matrices are preliminary steps towards deeper analyses. In this chapter you will go further by experimenting one of the large groups of analytical methods used in ecology: clustering. Practically, you will learn how to choose among various clustering methods and compute them, apply these techniques to the Doubs River data to identify groups of sites and fish species. You will also explore two methods of constrained clustering, a powerful modelling approach where the clustering process is constrained by an external data set.","collection-title":"Use R!","container-title":"Numerical Ecology with R","event-place":"Cham","ISBN":"978-3-319-71404-2","language":"en","note":"DOI: 10.1007/978-3-319-71404-2_4","page":"59-150","publisher":"Springer International Publishing","publisher-place":"Cham","source":"Springer Link","title":"Cluster Analysis","URL":"https://doi.org/10.1007/978-3-319-71404-2_4","author":[{"family":"Borcard","given":"Daniel"},{"family":"Gillet","given":"François"},{"family":"Legendre","given":"Pierre"}],"editor":[{"family":"Borcard","given":"Daniel"},{"family":"Gillet","given":"François"},{"family":"Legendre","given":"Pierre"}],"accessed":{"date-parts":[["2021",4,30]]},"issued":{"date-parts":[["2018"]]}}}],"schema":"https://github.com/citation-style-language/schema/raw/master/csl-citation.json"} </w:instrText>
      </w:r>
      <w:r>
        <w:fldChar w:fldCharType="separate"/>
      </w:r>
      <w:r w:rsidRPr="00AB2974">
        <w:rPr>
          <w:rFonts w:ascii="Calibri" w:hAnsi="Calibri" w:cs="Calibri"/>
        </w:rPr>
        <w:t>(Borcard et al. 2018)</w:t>
      </w:r>
      <w:r>
        <w:fldChar w:fldCharType="end"/>
      </w:r>
      <w:r>
        <w:t xml:space="preserve">. </w:t>
      </w:r>
    </w:p>
    <w:p w14:paraId="101BD79A" w14:textId="64CF88CC" w:rsidR="00727888" w:rsidRDefault="00727888"/>
    <w:p w14:paraId="0873A743" w14:textId="77777777" w:rsidR="00D21B08" w:rsidRDefault="00D21B08"/>
    <w:p w14:paraId="70177149" w14:textId="77777777" w:rsidR="00D21B08" w:rsidRDefault="00D21B08"/>
    <w:p w14:paraId="1EABC6D6" w14:textId="77777777" w:rsidR="00D21B08" w:rsidRDefault="00D21B08"/>
    <w:p w14:paraId="4D076C16" w14:textId="77777777" w:rsidR="00727888" w:rsidRPr="00A86D1A" w:rsidRDefault="00727888"/>
    <w:sectPr w:rsidR="00727888" w:rsidRPr="00A86D1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04-29T16:59:00Z" w:initials="MN">
    <w:p w14:paraId="69EE6210" w14:textId="6489D91F" w:rsidR="00C51408" w:rsidRDefault="00C51408">
      <w:pPr>
        <w:pStyle w:val="CommentText"/>
      </w:pPr>
      <w:r>
        <w:rPr>
          <w:rStyle w:val="CommentReference"/>
        </w:rPr>
        <w:annotationRef/>
      </w:r>
      <w:r>
        <w:t>Add bit near bottom about model validation and checking</w:t>
      </w:r>
    </w:p>
  </w:comment>
  <w:comment w:id="1" w:author="Matthew Nuttall" w:date="2021-06-04T09:29:00Z" w:initials="MN">
    <w:p w14:paraId="233A34EB" w14:textId="4859C508" w:rsidR="0004621D" w:rsidRDefault="0004621D">
      <w:pPr>
        <w:pStyle w:val="CommentText"/>
      </w:pPr>
      <w:r>
        <w:rPr>
          <w:rStyle w:val="CommentReference"/>
        </w:rPr>
        <w:annotationRef/>
      </w:r>
      <w:r>
        <w:t>Use R package to get equations</w:t>
      </w:r>
    </w:p>
  </w:comment>
  <w:comment w:id="2" w:author="Matthew Nuttall" w:date="2021-06-02T14:18:00Z" w:initials="MN">
    <w:p w14:paraId="6EB9BC83" w14:textId="77777777" w:rsidR="00086320" w:rsidRDefault="00086320" w:rsidP="00086320">
      <w:pPr>
        <w:pStyle w:val="CommentText"/>
        <w:numPr>
          <w:ilvl w:val="0"/>
          <w:numId w:val="1"/>
        </w:numPr>
      </w:pPr>
      <w:r>
        <w:rPr>
          <w:rStyle w:val="CommentReference"/>
        </w:rPr>
        <w:annotationRef/>
      </w:r>
      <w:r>
        <w:t xml:space="preserve"> IT now used</w:t>
      </w:r>
    </w:p>
    <w:p w14:paraId="3963C8A4" w14:textId="1FCF1465" w:rsidR="00086320" w:rsidRDefault="00086320" w:rsidP="00086320">
      <w:pPr>
        <w:pStyle w:val="CommentText"/>
        <w:numPr>
          <w:ilvl w:val="0"/>
          <w:numId w:val="1"/>
        </w:numPr>
      </w:pPr>
      <w:r>
        <w:t>Hypothesis table made in 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EE6210" w15:done="0"/>
  <w15:commentEx w15:paraId="233A34EB" w15:done="0"/>
  <w15:commentEx w15:paraId="3963C8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6468" w16cex:dateUtc="2021-04-29T15:59:00Z"/>
  <w16cex:commentExtensible w16cex:durableId="24647106" w16cex:dateUtc="2021-06-04T08:29:00Z"/>
  <w16cex:commentExtensible w16cex:durableId="246211A1" w16cex:dateUtc="2021-06-02T13: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EE6210" w16cid:durableId="24356468"/>
  <w16cid:commentId w16cid:paraId="233A34EB" w16cid:durableId="24647106"/>
  <w16cid:commentId w16cid:paraId="3963C8A4" w16cid:durableId="246211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C5BD0"/>
    <w:multiLevelType w:val="hybridMultilevel"/>
    <w:tmpl w:val="29FE5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0"/>
    <w:rsid w:val="000032BD"/>
    <w:rsid w:val="00007B27"/>
    <w:rsid w:val="0004621D"/>
    <w:rsid w:val="000505EC"/>
    <w:rsid w:val="000550BA"/>
    <w:rsid w:val="000574C9"/>
    <w:rsid w:val="00086320"/>
    <w:rsid w:val="000924E5"/>
    <w:rsid w:val="000D560D"/>
    <w:rsid w:val="000D7C25"/>
    <w:rsid w:val="0011722E"/>
    <w:rsid w:val="001214C2"/>
    <w:rsid w:val="0016573F"/>
    <w:rsid w:val="00176BB0"/>
    <w:rsid w:val="001A2A21"/>
    <w:rsid w:val="001B33F4"/>
    <w:rsid w:val="001B6B38"/>
    <w:rsid w:val="001C5A6F"/>
    <w:rsid w:val="001D09A4"/>
    <w:rsid w:val="001F3408"/>
    <w:rsid w:val="00251990"/>
    <w:rsid w:val="00260194"/>
    <w:rsid w:val="002A4BD1"/>
    <w:rsid w:val="002B0228"/>
    <w:rsid w:val="002C38D3"/>
    <w:rsid w:val="00304F2B"/>
    <w:rsid w:val="00307ACC"/>
    <w:rsid w:val="00316EC1"/>
    <w:rsid w:val="003564E8"/>
    <w:rsid w:val="003A5DB8"/>
    <w:rsid w:val="003D30B2"/>
    <w:rsid w:val="004B385D"/>
    <w:rsid w:val="004C0A38"/>
    <w:rsid w:val="004F1E3C"/>
    <w:rsid w:val="004F6196"/>
    <w:rsid w:val="00562283"/>
    <w:rsid w:val="00571267"/>
    <w:rsid w:val="00574771"/>
    <w:rsid w:val="005B02E3"/>
    <w:rsid w:val="005B2210"/>
    <w:rsid w:val="005C56C2"/>
    <w:rsid w:val="006310EE"/>
    <w:rsid w:val="0063227A"/>
    <w:rsid w:val="006A13F8"/>
    <w:rsid w:val="006B50C9"/>
    <w:rsid w:val="007072F5"/>
    <w:rsid w:val="00727888"/>
    <w:rsid w:val="007417B6"/>
    <w:rsid w:val="0074709B"/>
    <w:rsid w:val="007D2323"/>
    <w:rsid w:val="007F487C"/>
    <w:rsid w:val="00845831"/>
    <w:rsid w:val="008D1764"/>
    <w:rsid w:val="00970DF7"/>
    <w:rsid w:val="00986EED"/>
    <w:rsid w:val="00990D53"/>
    <w:rsid w:val="00996724"/>
    <w:rsid w:val="009B1A40"/>
    <w:rsid w:val="009B3799"/>
    <w:rsid w:val="009C5130"/>
    <w:rsid w:val="00A1004F"/>
    <w:rsid w:val="00A25588"/>
    <w:rsid w:val="00A52878"/>
    <w:rsid w:val="00A74190"/>
    <w:rsid w:val="00A86D1A"/>
    <w:rsid w:val="00AB1479"/>
    <w:rsid w:val="00AB2974"/>
    <w:rsid w:val="00AE151D"/>
    <w:rsid w:val="00B250AD"/>
    <w:rsid w:val="00B26B7C"/>
    <w:rsid w:val="00B474F1"/>
    <w:rsid w:val="00BB19ED"/>
    <w:rsid w:val="00BD1065"/>
    <w:rsid w:val="00C51408"/>
    <w:rsid w:val="00C64AF9"/>
    <w:rsid w:val="00C744C0"/>
    <w:rsid w:val="00C76C14"/>
    <w:rsid w:val="00C838DB"/>
    <w:rsid w:val="00CC449B"/>
    <w:rsid w:val="00CC6840"/>
    <w:rsid w:val="00D21B08"/>
    <w:rsid w:val="00D667FE"/>
    <w:rsid w:val="00D92308"/>
    <w:rsid w:val="00D951BC"/>
    <w:rsid w:val="00DD3028"/>
    <w:rsid w:val="00DE2078"/>
    <w:rsid w:val="00E50075"/>
    <w:rsid w:val="00E957C3"/>
    <w:rsid w:val="00EB26C5"/>
    <w:rsid w:val="00F075E2"/>
    <w:rsid w:val="00F154AE"/>
    <w:rsid w:val="00F310CE"/>
    <w:rsid w:val="00F521E7"/>
    <w:rsid w:val="00F524E9"/>
    <w:rsid w:val="00F639F9"/>
    <w:rsid w:val="00F644DB"/>
    <w:rsid w:val="00F9140F"/>
    <w:rsid w:val="00FB7C1E"/>
    <w:rsid w:val="00FF4E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E4F9C"/>
  <w15:chartTrackingRefBased/>
  <w15:docId w15:val="{976C2161-C3AF-4866-9B79-DEF0C790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09A4"/>
    <w:rPr>
      <w:sz w:val="16"/>
      <w:szCs w:val="16"/>
    </w:rPr>
  </w:style>
  <w:style w:type="paragraph" w:styleId="CommentText">
    <w:name w:val="annotation text"/>
    <w:basedOn w:val="Normal"/>
    <w:link w:val="CommentTextChar"/>
    <w:uiPriority w:val="99"/>
    <w:semiHidden/>
    <w:unhideWhenUsed/>
    <w:rsid w:val="001D09A4"/>
    <w:pPr>
      <w:spacing w:line="240" w:lineRule="auto"/>
    </w:pPr>
    <w:rPr>
      <w:sz w:val="20"/>
      <w:szCs w:val="20"/>
    </w:rPr>
  </w:style>
  <w:style w:type="character" w:customStyle="1" w:styleId="CommentTextChar">
    <w:name w:val="Comment Text Char"/>
    <w:basedOn w:val="DefaultParagraphFont"/>
    <w:link w:val="CommentText"/>
    <w:uiPriority w:val="99"/>
    <w:semiHidden/>
    <w:rsid w:val="001D09A4"/>
    <w:rPr>
      <w:sz w:val="20"/>
      <w:szCs w:val="20"/>
    </w:rPr>
  </w:style>
  <w:style w:type="paragraph" w:styleId="CommentSubject">
    <w:name w:val="annotation subject"/>
    <w:basedOn w:val="CommentText"/>
    <w:next w:val="CommentText"/>
    <w:link w:val="CommentSubjectChar"/>
    <w:uiPriority w:val="99"/>
    <w:semiHidden/>
    <w:unhideWhenUsed/>
    <w:rsid w:val="001D09A4"/>
    <w:rPr>
      <w:b/>
      <w:bCs/>
    </w:rPr>
  </w:style>
  <w:style w:type="character" w:customStyle="1" w:styleId="CommentSubjectChar">
    <w:name w:val="Comment Subject Char"/>
    <w:basedOn w:val="CommentTextChar"/>
    <w:link w:val="CommentSubject"/>
    <w:uiPriority w:val="99"/>
    <w:semiHidden/>
    <w:rsid w:val="001D09A4"/>
    <w:rPr>
      <w:b/>
      <w:bCs/>
      <w:sz w:val="20"/>
      <w:szCs w:val="20"/>
    </w:rPr>
  </w:style>
  <w:style w:type="paragraph" w:styleId="BalloonText">
    <w:name w:val="Balloon Text"/>
    <w:basedOn w:val="Normal"/>
    <w:link w:val="BalloonTextChar"/>
    <w:uiPriority w:val="99"/>
    <w:semiHidden/>
    <w:unhideWhenUsed/>
    <w:rsid w:val="001D09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09A4"/>
    <w:rPr>
      <w:rFonts w:ascii="Segoe UI" w:hAnsi="Segoe UI" w:cs="Segoe UI"/>
      <w:sz w:val="18"/>
      <w:szCs w:val="18"/>
    </w:rPr>
  </w:style>
  <w:style w:type="character" w:styleId="Hyperlink">
    <w:name w:val="Hyperlink"/>
    <w:basedOn w:val="DefaultParagraphFont"/>
    <w:uiPriority w:val="99"/>
    <w:unhideWhenUsed/>
    <w:rsid w:val="006B50C9"/>
    <w:rPr>
      <w:color w:val="0563C1" w:themeColor="hyperlink"/>
      <w:u w:val="single"/>
    </w:rPr>
  </w:style>
  <w:style w:type="character" w:styleId="UnresolvedMention">
    <w:name w:val="Unresolved Mention"/>
    <w:basedOn w:val="DefaultParagraphFont"/>
    <w:uiPriority w:val="99"/>
    <w:semiHidden/>
    <w:unhideWhenUsed/>
    <w:rsid w:val="006B50C9"/>
    <w:rPr>
      <w:color w:val="605E5C"/>
      <w:shd w:val="clear" w:color="auto" w:fill="E1DFDD"/>
    </w:rPr>
  </w:style>
  <w:style w:type="character" w:styleId="PlaceholderText">
    <w:name w:val="Placeholder Text"/>
    <w:basedOn w:val="DefaultParagraphFont"/>
    <w:uiPriority w:val="99"/>
    <w:semiHidden/>
    <w:rsid w:val="001C5A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www.opendevelopmentcambodia.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2045</TotalTime>
  <Pages>4</Pages>
  <Words>10989</Words>
  <Characters>62638</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26</cp:revision>
  <dcterms:created xsi:type="dcterms:W3CDTF">2020-06-23T12:50:00Z</dcterms:created>
  <dcterms:modified xsi:type="dcterms:W3CDTF">2021-06-04T10:43:00Z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id="DPgqtbhI"/&gt;&lt;style id="http://www.zotero.org/styles/conservation-biology" hasBibliography="1" bibliographyStyleHasBeenSet="0"/&gt;&lt;prefs&gt;&lt;pref name="fieldType" value="Field"/&gt;&lt;pref name="automaticJ</vt:lpwstr>
  </property>
  <property fmtid="{D5CDD505-2E9C-101B-9397-08002B2CF9AE}" pid="3" name="ZOTERO_PREF_2">
    <vt:lpwstr>ournalAbbreviations" value="true"/&gt;&lt;/prefs&gt;&lt;/data&gt;</vt:lpwstr>
  </property>
</Properties>
</file>