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0F1451F5"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p>
    <w:p w14:paraId="02E8B06D" w14:textId="43887ADA" w:rsidR="00BB19ED" w:rsidRPr="00C76C14" w:rsidRDefault="00BB19ED">
      <w:pPr>
        <w:rPr>
          <w:b/>
          <w:bCs/>
          <w:i/>
          <w:iCs/>
        </w:rPr>
      </w:pPr>
      <w:r w:rsidRPr="00C76C14">
        <w:rPr>
          <w:b/>
          <w:bCs/>
          <w:i/>
          <w:iCs/>
        </w:rPr>
        <w:t>Variable selection</w:t>
      </w:r>
    </w:p>
    <w:p w14:paraId="2D14A6D9" w14:textId="043368A1" w:rsidR="000505EC" w:rsidRDefault="00007B27">
      <w:r>
        <w:t xml:space="preserve">The response variable for </w:t>
      </w:r>
      <w:r w:rsidR="00BD1065">
        <w:t xml:space="preserve">the macroeconomic analysis was 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BD1065">
        <w:t xml:space="preserve">. The response variable for the socioeconomic analysis was forest cover area. Both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r w:rsidR="000505EC">
        <w:t>Macroeconomic variables were selected to create three sets</w:t>
      </w:r>
      <w:r w:rsidR="00AB1479">
        <w:t xml:space="preserve"> of predictors, each targeting a different driver</w:t>
      </w:r>
      <w:r w:rsidR="000505EC">
        <w:t>: economic development</w:t>
      </w:r>
      <w:r w:rsidR="00CC449B">
        <w:t xml:space="preserve"> (n=10)</w:t>
      </w:r>
      <w:r w:rsidR="000505EC">
        <w:t>, commodity prices</w:t>
      </w:r>
      <w:r w:rsidR="00AB1479">
        <w:t xml:space="preserve"> (external market forces</w:t>
      </w:r>
      <w:r w:rsidR="00CC449B">
        <w:t>, n=8</w:t>
      </w:r>
      <w:r w:rsidR="00AB1479">
        <w:t>)</w:t>
      </w:r>
      <w:r w:rsidR="000505EC">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xml:space="preserve">. Both Gross Domestic Product per capita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rsidR="000505EC">
        <w:t xml:space="preserve"> </w:t>
      </w:r>
    </w:p>
    <w:p w14:paraId="168D1EB3" w14:textId="7A4533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4"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34046683" w:rsidR="00C76C14" w:rsidRPr="00C76C14" w:rsidRDefault="00C76C14" w:rsidP="00C76C14">
      <w:r>
        <w:t>The forest cover variable</w:t>
      </w:r>
      <w:r w:rsidR="00007B27">
        <w:t xml:space="preserve"> (response)</w:t>
      </w:r>
      <w:r>
        <w:t xml:space="preserve"> for both analyses w</w:t>
      </w:r>
      <w:r w:rsidR="00990D53">
        <w:t>as</w:t>
      </w:r>
      <w:r>
        <w:t xml:space="preserve"> extracted from the ESA CCI product by totalling the number of pixels in each year classified as bands 50, 60, 61, 62, 70, 71, 72, 80, 81, 82, 90, and 100 (</w:t>
      </w:r>
      <w:r w:rsidRPr="000D7C25">
        <w:rPr>
          <w:highlight w:val="yellow"/>
        </w:rPr>
        <w:t>Table Sx</w:t>
      </w:r>
      <w:r>
        <w:t>).</w:t>
      </w:r>
      <w:r w:rsidR="00990D53">
        <w:t xml:space="preserve"> For the macroeconomic analysis, the total forest cover for the whole country was used, and for the socioeconomic analysis the forest cover layer was further stratified into forest cover per commune.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 xml:space="preserve">For both analyses, predictor variables were checked for collinearity, and if two </w:t>
      </w:r>
      <w:r w:rsidR="003A5DB8">
        <w:lastRenderedPageBreak/>
        <w:t>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w:t>
      </w:r>
      <w:r w:rsidRPr="00DD3028">
        <w:rPr>
          <w:rFonts w:cstheme="minorHAnsi"/>
          <w:i/>
          <w:iCs/>
          <w:vertAlign w:val="subscript"/>
        </w:rPr>
        <w:t>t</w:t>
      </w:r>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718C6DB8" w:rsidR="004B385D" w:rsidRPr="004B385D" w:rsidRDefault="004B385D">
      <w:r>
        <w:t xml:space="preserve">Data from the Commune Database were at the </w:t>
      </w:r>
      <w:r w:rsidR="00DE2078">
        <w:t>resolution of individual village</w:t>
      </w:r>
      <w:r>
        <w:t>, and so the selected variables (Table 2) were aggregated to the commune</w:t>
      </w:r>
      <w:r w:rsidR="00DE2078">
        <w:t xml:space="preserv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 size and human population (Table 2). </w:t>
      </w:r>
      <w:r w:rsidR="003564E8">
        <w:t>Data were checked for errors and inconsistencies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r>
        <w:rPr>
          <w:i/>
          <w:iCs/>
        </w:rPr>
        <w:t>Macroeconomic models</w:t>
      </w:r>
    </w:p>
    <w:p w14:paraId="1C74D142" w14:textId="58DC8AF5" w:rsidR="00CC6840" w:rsidRDefault="00CC6840">
      <w:r>
        <w:t xml:space="preserve">This analysis aimed to model the relationships between </w:t>
      </w:r>
      <w:r w:rsidR="00304F2B">
        <w:t xml:space="preserve">changes in macroeconomic predictors and </w:t>
      </w:r>
      <w:r w:rsidR="00A86D1A">
        <w:t xml:space="preserve">the </w:t>
      </w:r>
      <w:r w:rsidR="00304F2B">
        <w:t>rate of forest loss at a national level for the time period 1993 – 2015. Models were run for each of the three variable sets: economic development, commodity prices, and producer prices. To account for the effect of time, a linear model of the response (change in forest cover)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w:t>
      </w:r>
      <w:r w:rsidR="001C5A6F">
        <w:t>Generalised linear models</w:t>
      </w:r>
      <w:r w:rsidR="001C5A6F">
        <w:t xml:space="preserve">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Both gaussian and gamma distributions were tested and resulting models were compared using </w:t>
      </w:r>
      <w:r w:rsidR="001C5A6F">
        <w:t>Akaike’s Information Criterion (AIC)</w:t>
      </w:r>
      <w:r w:rsidR="001C5A6F">
        <w:t>. Final models had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Table Sx</w:t>
      </w:r>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delta 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r>
        <w:t>No time lag:</w:t>
      </w:r>
    </w:p>
    <w:p w14:paraId="77508BCB" w14:textId="3D130FC1" w:rsidR="001C5A6F" w:rsidRPr="000032BD" w:rsidRDefault="000032BD">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m:t>
        </m:r>
        <m:r>
          <w:rPr>
            <w:rFonts w:ascii="Cambria Math" w:hAnsi="Cambria Math"/>
            <w:sz w:val="24"/>
            <w:szCs w:val="24"/>
          </w:rPr>
          <m:t>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0032BD">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m:t>
        </m:r>
        <m:r>
          <w:rPr>
            <w:rFonts w:ascii="Cambria Math" w:hAnsi="Cambria Math"/>
            <w:sz w:val="24"/>
            <w:szCs w:val="24"/>
          </w:rPr>
          <m:t>t</m:t>
        </m:r>
      </m:oMath>
      <w:r>
        <w:rPr>
          <w:rFonts w:eastAsiaTheme="minorEastAsia"/>
        </w:rPr>
        <w:t xml:space="preserve">. </w:t>
      </w:r>
      <w:r>
        <w:t xml:space="preserve"> </w:t>
      </w:r>
    </w:p>
    <w:p w14:paraId="33C8CB5C" w14:textId="408AE2FB" w:rsidR="00307ACC" w:rsidRPr="000032BD" w:rsidRDefault="00307ACC" w:rsidP="00307ACC">
      <w:pPr>
        <w:rPr>
          <w:i/>
          <w:iCs/>
        </w:rPr>
      </w:pPr>
      <w:r>
        <w:lastRenderedPageBreak/>
        <w:t>Two year time lag:</w:t>
      </w:r>
    </w:p>
    <w:p w14:paraId="318F48A4" w14:textId="67B25763" w:rsidR="00307ACC" w:rsidRPr="00307ACC" w:rsidRDefault="00307ACC">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m:t>
        </m:r>
        <m:r>
          <w:rPr>
            <w:rFonts w:ascii="Cambria Math" w:hAnsi="Cambria Math"/>
            <w:sz w:val="24"/>
            <w:szCs w:val="24"/>
          </w:rPr>
          <m:t>t</m:t>
        </m:r>
      </m:oMath>
      <w:r>
        <w:rPr>
          <w:rFonts w:eastAsiaTheme="minorEastAsia"/>
        </w:rPr>
        <w:t xml:space="preserve">. </w:t>
      </w:r>
      <w:r>
        <w:t xml:space="preserve"> </w:t>
      </w:r>
    </w:p>
    <w:p w14:paraId="0FA0432C" w14:textId="661FD6F0" w:rsidR="00F639F9" w:rsidRPr="00A86D1A" w:rsidRDefault="00F639F9">
      <w:r>
        <w:rPr>
          <w:i/>
          <w:iCs/>
        </w:rPr>
        <w:t>Socioeconomic models</w:t>
      </w:r>
    </w:p>
    <w:p w14:paraId="1A33CEEC" w14:textId="5F867021" w:rsidR="00C744C0" w:rsidRPr="00A86D1A" w:rsidRDefault="00A86D1A">
      <w:r>
        <w:t xml:space="preserve">This analysis aimed to model the relationships between forest cover and socioeconomic variables within communes between 2007 – 2012. </w:t>
      </w:r>
    </w:p>
    <w:sectPr w:rsidR="00C744C0" w:rsidRPr="00A86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505EC"/>
    <w:rsid w:val="000574C9"/>
    <w:rsid w:val="000924E5"/>
    <w:rsid w:val="000D7C25"/>
    <w:rsid w:val="0011722E"/>
    <w:rsid w:val="001214C2"/>
    <w:rsid w:val="0016573F"/>
    <w:rsid w:val="00176BB0"/>
    <w:rsid w:val="001B33F4"/>
    <w:rsid w:val="001B6B38"/>
    <w:rsid w:val="001C5A6F"/>
    <w:rsid w:val="001D09A4"/>
    <w:rsid w:val="001F3408"/>
    <w:rsid w:val="00260194"/>
    <w:rsid w:val="002A4BD1"/>
    <w:rsid w:val="002B0228"/>
    <w:rsid w:val="00304F2B"/>
    <w:rsid w:val="00307ACC"/>
    <w:rsid w:val="003564E8"/>
    <w:rsid w:val="003A5DB8"/>
    <w:rsid w:val="003D30B2"/>
    <w:rsid w:val="004B385D"/>
    <w:rsid w:val="00574771"/>
    <w:rsid w:val="005B02E3"/>
    <w:rsid w:val="005B2210"/>
    <w:rsid w:val="006310EE"/>
    <w:rsid w:val="006B50C9"/>
    <w:rsid w:val="007F487C"/>
    <w:rsid w:val="008D1764"/>
    <w:rsid w:val="00990D53"/>
    <w:rsid w:val="00996724"/>
    <w:rsid w:val="009B1A40"/>
    <w:rsid w:val="00A1004F"/>
    <w:rsid w:val="00A52878"/>
    <w:rsid w:val="00A74190"/>
    <w:rsid w:val="00A86D1A"/>
    <w:rsid w:val="00AB1479"/>
    <w:rsid w:val="00AE151D"/>
    <w:rsid w:val="00B26B7C"/>
    <w:rsid w:val="00B474F1"/>
    <w:rsid w:val="00BB19ED"/>
    <w:rsid w:val="00BD1065"/>
    <w:rsid w:val="00C64AF9"/>
    <w:rsid w:val="00C744C0"/>
    <w:rsid w:val="00C76C14"/>
    <w:rsid w:val="00C838DB"/>
    <w:rsid w:val="00CC449B"/>
    <w:rsid w:val="00CC6840"/>
    <w:rsid w:val="00D667FE"/>
    <w:rsid w:val="00D92308"/>
    <w:rsid w:val="00DD3028"/>
    <w:rsid w:val="00DE2078"/>
    <w:rsid w:val="00E957C3"/>
    <w:rsid w:val="00EB26C5"/>
    <w:rsid w:val="00F075E2"/>
    <w:rsid w:val="00F524E9"/>
    <w:rsid w:val="00F639F9"/>
    <w:rsid w:val="00F644DB"/>
    <w:rsid w:val="00F91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pendevelopmentcambodi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3</Pages>
  <Words>8719</Words>
  <Characters>49702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15</cp:revision>
  <dcterms:created xsi:type="dcterms:W3CDTF">2020-06-23T12:50:00Z</dcterms:created>
  <dcterms:modified xsi:type="dcterms:W3CDTF">2021-04-16T13:52:00Z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id="jRiFkOc7"/&gt;&lt;style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