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DE7" w14:textId="7B83EA12" w:rsidR="007C5BEC" w:rsidRPr="008A69FD" w:rsidRDefault="00F60FCB" w:rsidP="00F60FCB">
      <w:pPr>
        <w:rPr>
          <w:b/>
          <w:bCs/>
        </w:rPr>
      </w:pPr>
      <w:r w:rsidRPr="00F60FCB">
        <w:rPr>
          <w:b/>
          <w:bCs/>
        </w:rPr>
        <w:t xml:space="preserve">Introduction </w:t>
      </w:r>
    </w:p>
    <w:p w14:paraId="09D490E7" w14:textId="19CD781A" w:rsidR="007C5BEC" w:rsidRPr="0090243F" w:rsidRDefault="007C5BEC" w:rsidP="00F60FCB">
      <w:pPr>
        <w:rPr>
          <w:i/>
          <w:iCs/>
        </w:rPr>
      </w:pPr>
      <w:r w:rsidRPr="0090243F">
        <w:rPr>
          <w:i/>
          <w:iCs/>
        </w:rPr>
        <w:t xml:space="preserve">Forest cover and forest loss across SEA. Emerging economies based on natural resources. </w:t>
      </w:r>
    </w:p>
    <w:p w14:paraId="420FC14A" w14:textId="03BE12FC"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(Ceddia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(Culas, 2007; Frewer and Chan, 2014; Gaughan et al., 2009; Poffenberger,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w:t>
      </w:r>
      <w:r w:rsidR="008C0DC9">
        <w:t>drivers</w:t>
      </w:r>
      <w:r w:rsidR="009E7236">
        <w:t xml:space="preserve">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 xml:space="preserve">(Geist and </w:t>
      </w:r>
      <w:proofErr w:type="spellStart"/>
      <w:r w:rsidR="009E7236" w:rsidRPr="009E7236">
        <w:rPr>
          <w:rFonts w:ascii="Calibri" w:hAnsi="Calibri" w:cs="Calibri"/>
        </w:rPr>
        <w:t>Lambin</w:t>
      </w:r>
      <w:proofErr w:type="spellEnd"/>
      <w:r w:rsidR="009E7236" w:rsidRPr="009E7236">
        <w:rPr>
          <w:rFonts w:ascii="Calibri" w:hAnsi="Calibri" w:cs="Calibri"/>
        </w:rPr>
        <w:t>, 2002)</w:t>
      </w:r>
      <w:r w:rsidR="009E7236">
        <w:fldChar w:fldCharType="end"/>
      </w:r>
      <w:r w:rsidR="009E7236">
        <w:t>, to</w:t>
      </w:r>
      <w:r w:rsidR="008C0DC9">
        <w:t xml:space="preserve"> proximate causes at a local level such as</w:t>
      </w:r>
      <w:r w:rsidR="009E7236">
        <w:t xml:space="preserve">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(Estoque et al., 2019; Imai et al., 2018; Stibig et al., 2014; Wilcove et al., 2013; Zeng et al., 2018)</w:t>
      </w:r>
      <w:r w:rsidR="009E7236">
        <w:fldChar w:fldCharType="end"/>
      </w:r>
      <w:r w:rsidR="008C0DC9">
        <w:t>,</w:t>
      </w:r>
      <w:r w:rsidR="009E7236">
        <w:t xml:space="preserve"> the associated expansion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8C0DC9">
        <w:t xml:space="preserve">, and civil unrest and war </w:t>
      </w:r>
      <w:r w:rsidR="008C0DC9">
        <w:fldChar w:fldCharType="begin"/>
      </w:r>
      <w:r w:rsidR="008C0DC9">
        <w:instrText xml:space="preserve"> ADDIN ZOTERO_ITEM CSL_CITATION {"citationID":"YkGNnzyW","properties":{"formattedCitation":"(Kaimowitz and Faun\\uc0\\u233{}, 2003; Price, 2020)","plainCitation":"(Kaimowitz and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8C0DC9">
        <w:fldChar w:fldCharType="separate"/>
      </w:r>
      <w:r w:rsidR="008C0DC9" w:rsidRPr="008C0DC9">
        <w:rPr>
          <w:rFonts w:ascii="Calibri" w:hAnsi="Calibri" w:cs="Calibri"/>
          <w:szCs w:val="24"/>
        </w:rPr>
        <w:t>(</w:t>
      </w:r>
      <w:proofErr w:type="spellStart"/>
      <w:r w:rsidR="008C0DC9" w:rsidRPr="008C0DC9">
        <w:rPr>
          <w:rFonts w:ascii="Calibri" w:hAnsi="Calibri" w:cs="Calibri"/>
          <w:szCs w:val="24"/>
        </w:rPr>
        <w:t>Kaimowitz</w:t>
      </w:r>
      <w:proofErr w:type="spellEnd"/>
      <w:r w:rsidR="008C0DC9" w:rsidRPr="008C0DC9">
        <w:rPr>
          <w:rFonts w:ascii="Calibri" w:hAnsi="Calibri" w:cs="Calibri"/>
          <w:szCs w:val="24"/>
        </w:rPr>
        <w:t xml:space="preserve"> and </w:t>
      </w:r>
      <w:proofErr w:type="spellStart"/>
      <w:r w:rsidR="008C0DC9" w:rsidRPr="008C0DC9">
        <w:rPr>
          <w:rFonts w:ascii="Calibri" w:hAnsi="Calibri" w:cs="Calibri"/>
          <w:szCs w:val="24"/>
        </w:rPr>
        <w:t>Fauné</w:t>
      </w:r>
      <w:proofErr w:type="spellEnd"/>
      <w:r w:rsidR="008C0DC9" w:rsidRPr="008C0DC9">
        <w:rPr>
          <w:rFonts w:ascii="Calibri" w:hAnsi="Calibri" w:cs="Calibri"/>
          <w:szCs w:val="24"/>
        </w:rPr>
        <w:t>, 2003; Price, 2020)</w:t>
      </w:r>
      <w:r w:rsidR="008C0DC9">
        <w:fldChar w:fldCharType="end"/>
      </w:r>
      <w:r w:rsidR="009E7236">
        <w:t>.</w:t>
      </w:r>
      <w:r w:rsidR="00277B83">
        <w:t xml:space="preserve"> </w:t>
      </w:r>
      <w:r w:rsidR="008A69FD">
        <w:t>Globally, land conversion for commodity production is the single largest driver of deforestation</w:t>
      </w:r>
      <w:r w:rsidR="004D60CD">
        <w:t xml:space="preserve"> </w:t>
      </w:r>
      <w:r w:rsidR="004D60CD">
        <w:fldChar w:fldCharType="begin"/>
      </w:r>
      <w:r w:rsidR="004D60CD">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4D60CD">
        <w:fldChar w:fldCharType="separate"/>
      </w:r>
      <w:r w:rsidR="004D60CD" w:rsidRPr="004D60CD">
        <w:rPr>
          <w:rFonts w:ascii="Calibri" w:hAnsi="Calibri" w:cs="Calibri"/>
        </w:rPr>
        <w:t>(Curtis et al., 2018)</w:t>
      </w:r>
      <w:r w:rsidR="004D60CD">
        <w:fldChar w:fldCharType="end"/>
      </w:r>
      <w:r w:rsidR="004D60CD">
        <w:t xml:space="preserve">. </w:t>
      </w:r>
    </w:p>
    <w:p w14:paraId="7A853E54" w14:textId="3AA56FED" w:rsidR="0090243F" w:rsidRDefault="00277B83" w:rsidP="00F60FCB">
      <w:r>
        <w:t>Deforestation is accentuated in low income countries where poverty, debt, and overpopulation are high, and thus so are the demands for economic growth via agricultur</w:t>
      </w:r>
      <w:r w:rsidR="004D60CD">
        <w:t>al commodities</w:t>
      </w:r>
      <w:r>
        <w:t xml:space="preserv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(Culas,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(Culas,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(Lambin and Meyfroidt,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(Meyfroidt and Lambin,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(Meyfroidt and Lambin, 2009)</w:t>
      </w:r>
      <w:r w:rsidR="00C4246E">
        <w:fldChar w:fldCharType="end"/>
      </w:r>
      <w:r w:rsidR="00C4246E">
        <w:t xml:space="preserve">.  </w:t>
      </w:r>
      <w:r w:rsidR="00264263">
        <w:t xml:space="preserve"> </w:t>
      </w:r>
      <w:r w:rsidR="00406440">
        <w:t xml:space="preserve">  </w:t>
      </w:r>
      <w:r>
        <w:t xml:space="preserve"> </w:t>
      </w:r>
    </w:p>
    <w:p w14:paraId="671C5CD2" w14:textId="53C3EE1E" w:rsidR="007C5BEC" w:rsidRPr="00F17E1D" w:rsidRDefault="007C5BEC" w:rsidP="00F60FCB">
      <w:pPr>
        <w:rPr>
          <w:i/>
          <w:iCs/>
        </w:rPr>
      </w:pPr>
      <w:r w:rsidRPr="00F17E1D">
        <w:rPr>
          <w:i/>
          <w:iCs/>
        </w:rPr>
        <w:t xml:space="preserve">Importance and difficulties of </w:t>
      </w:r>
      <w:bookmarkStart w:id="0" w:name="_Hlk78203102"/>
      <w:r w:rsidRPr="00F17E1D">
        <w:rPr>
          <w:i/>
          <w:iCs/>
        </w:rPr>
        <w:t xml:space="preserve">understanding relationships between economics, socioeconomics, and forests at different scales. Important for developing sustainable forestry policies and for predicting forest loss </w:t>
      </w:r>
      <w:proofErr w:type="gramStart"/>
      <w:r w:rsidRPr="00F17E1D">
        <w:rPr>
          <w:i/>
          <w:iCs/>
        </w:rPr>
        <w:t>so as to</w:t>
      </w:r>
      <w:proofErr w:type="gramEnd"/>
      <w:r w:rsidRPr="00F17E1D">
        <w:rPr>
          <w:i/>
          <w:iCs/>
        </w:rPr>
        <w:t xml:space="preserve"> target interventions. </w:t>
      </w:r>
      <w:bookmarkEnd w:id="0"/>
      <w:r w:rsidR="00EB1A92" w:rsidRPr="00F17E1D">
        <w:rPr>
          <w:i/>
          <w:iCs/>
        </w:rPr>
        <w:t>Forest gain can be achieved in both open and closed countries, but deforestation might be accelerated in countries undergoing social transition (Imai et al 2018).</w:t>
      </w:r>
    </w:p>
    <w:p w14:paraId="398D33CA" w14:textId="1F05ED1C"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(Lambin and Meyfroidt,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economic, political, social, and environmental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(Lambin and Meyfroidt,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certain</w:t>
      </w:r>
      <w:r w:rsidR="0020286A">
        <w:t xml:space="preserve"> forest</w:t>
      </w:r>
      <w:r w:rsidR="00372A33">
        <w:t xml:space="preserve"> transition pathways</w:t>
      </w:r>
      <w:r w:rsidR="00F74B05">
        <w:t xml:space="preserve">, and to </w:t>
      </w:r>
      <w:r w:rsidR="00372A33">
        <w:t xml:space="preserve">support targeted interventions that are effective at reducing forest loss, it is </w:t>
      </w:r>
      <w:r w:rsidR="00B35044">
        <w:t>critical</w:t>
      </w:r>
      <w:r w:rsidR="00372A33">
        <w:t xml:space="preserve"> to identify</w:t>
      </w:r>
      <w:r w:rsidR="00B35044">
        <w:t xml:space="preserve"> and understand macroeconomic and</w:t>
      </w:r>
      <w:r w:rsidR="00372A33">
        <w:t xml:space="preserve"> </w:t>
      </w:r>
      <w:r w:rsidR="00451077">
        <w:t>soci</w:t>
      </w:r>
      <w:r w:rsidR="00B35044">
        <w:t>o</w:t>
      </w:r>
      <w:r w:rsidR="00451077">
        <w:t>economic</w:t>
      </w:r>
      <w:r w:rsidR="00372A33">
        <w:t xml:space="preserve"> drivers and predictors of forest cover and loss at different scales. Describing relationships between forest cover and </w:t>
      </w:r>
      <w:r w:rsidR="00B35044">
        <w:t xml:space="preserve">macroeconomic and </w:t>
      </w:r>
      <w:r w:rsidR="00372A33">
        <w:t>soci</w:t>
      </w:r>
      <w:r w:rsidR="00B35044">
        <w:t>o</w:t>
      </w:r>
      <w:r w:rsidR="00372A33">
        <w:t xml:space="preserve">economic variables, rather than simply biophysical,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(Imai et al., 2018)</w:t>
      </w:r>
      <w:r w:rsidR="00372A33">
        <w:fldChar w:fldCharType="end"/>
      </w:r>
      <w:r w:rsidR="00372A33">
        <w:t xml:space="preserve">. </w:t>
      </w:r>
      <w:r w:rsidR="00451077">
        <w:t xml:space="preserve">Successfully isolating </w:t>
      </w:r>
      <w:r w:rsidR="00451077">
        <w:lastRenderedPageBreak/>
        <w:t xml:space="preserve">the signals of these relationships is however, challenging, due to the complexity of social-ecological systems, the non-linear feedback loops, and the heterogeneity in system dynamics at different scales. </w:t>
      </w:r>
      <w:r w:rsidR="00372A33">
        <w:t xml:space="preserve"> </w:t>
      </w:r>
      <w:r>
        <w:t xml:space="preserve"> </w:t>
      </w:r>
    </w:p>
    <w:p w14:paraId="765EB82D" w14:textId="65478621" w:rsidR="007C5BEC" w:rsidRPr="00426F41" w:rsidRDefault="007C5BEC" w:rsidP="00F60FCB">
      <w:pPr>
        <w:rPr>
          <w:i/>
          <w:iCs/>
        </w:rPr>
      </w:pPr>
      <w:r w:rsidRPr="00426F41">
        <w:rPr>
          <w:i/>
          <w:iCs/>
        </w:rPr>
        <w:t>Approaches to modelling these relationships. Mini literature review. Identify some key papers from Asia that model these relationships. What approach did they take? What are the potential flaws?</w:t>
      </w:r>
    </w:p>
    <w:p w14:paraId="6FA5BEA4" w14:textId="212B375F" w:rsidR="00544327" w:rsidRDefault="00FD3603" w:rsidP="00F60FCB">
      <w:r>
        <w:t>Modelling the processes that drive land use change</w:t>
      </w:r>
      <w:r w:rsidR="00EC1665">
        <w:t xml:space="preserve"> (LUC)</w:t>
      </w:r>
      <w:r>
        <w:t>, including forest loss, is challenging due to the complex</w:t>
      </w:r>
      <w:r w:rsidR="00941455">
        <w:t>ity of the</w:t>
      </w:r>
      <w:r>
        <w:t xml:space="preserve"> systems within which it occurs </w:t>
      </w:r>
      <w:r>
        <w:fldChar w:fldCharType="begin"/>
      </w:r>
      <w:r>
        <w:instrText xml:space="preserve"> ADDIN ZOTERO_ITEM CSL_CITATION {"citationID":"GeSOjbG4","properties":{"formattedCitation":"(Basse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FD3603">
        <w:rPr>
          <w:rFonts w:ascii="Calibri" w:hAnsi="Calibri" w:cs="Calibri"/>
        </w:rPr>
        <w:t>(Basse et al., 2014)</w:t>
      </w:r>
      <w:r>
        <w:fldChar w:fldCharType="end"/>
      </w:r>
      <w:r>
        <w:t xml:space="preserve">. Advanced modelling frameworks have developed which are allowing greater understanding of the processes underlying </w:t>
      </w:r>
      <w:r w:rsidR="00EC1665">
        <w:t>LUC</w:t>
      </w:r>
      <w:r>
        <w:t xml:space="preserve">, and subsequently more accurate predictions into the future </w:t>
      </w:r>
      <w:r>
        <w:fldChar w:fldCharType="begin"/>
      </w:r>
      <w:r>
        <w:instrText xml:space="preserve"> ADDIN ZOTERO_ITEM CSL_CITATION {"citationID":"M5clZtuV","properties":{"formattedCitation":"(Basse et al., 2014; Bonilla-Bedoya et al., 2018)","plainCitation":"(Basse et al., 2014; Bonilla-Bedoya et al., 2018)","noteIndex":0},"citationItems":[{"id":1520,"uris":["http://zotero.org/users/2170232/items/LLN2Z9J7"],"uri":["http://zotero.org/users/2170232/items/LLN2Z9J7"],"itemData":{"id":1520,"type":"article-journal","abstract":"Identifying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fldChar w:fldCharType="separate"/>
      </w:r>
      <w:r w:rsidRPr="00FD3603">
        <w:rPr>
          <w:rFonts w:ascii="Calibri" w:hAnsi="Calibri" w:cs="Calibri"/>
        </w:rPr>
        <w:t>(Basse et al., 2014; Bonilla-Bedoya et al., 2018)</w:t>
      </w:r>
      <w:r>
        <w:fldChar w:fldCharType="end"/>
      </w:r>
      <w:r>
        <w:t xml:space="preserve">. However, the modelling approach taken depends on </w:t>
      </w:r>
      <w:r w:rsidR="00EC1665">
        <w:t>several</w:t>
      </w:r>
      <w:r>
        <w:t xml:space="preserve"> factors including</w:t>
      </w:r>
      <w:r w:rsidR="00EC1665">
        <w:t xml:space="preserve"> 1)</w:t>
      </w:r>
      <w:r>
        <w:t xml:space="preserve"> the research question</w:t>
      </w:r>
      <w:r w:rsidR="00EC1665">
        <w:t xml:space="preserve">, e.g., whether you want to model </w:t>
      </w:r>
      <w:r w:rsidR="00EC1665" w:rsidRPr="00EC1665">
        <w:rPr>
          <w:i/>
          <w:iCs/>
        </w:rPr>
        <w:t>patterns</w:t>
      </w:r>
      <w:r w:rsidR="00EC1665">
        <w:t xml:space="preserve"> of LUC or the </w:t>
      </w:r>
      <w:r w:rsidR="00EC1665" w:rsidRPr="00EC1665">
        <w:rPr>
          <w:i/>
          <w:iCs/>
        </w:rPr>
        <w:t>processes</w:t>
      </w:r>
      <w:r w:rsidR="00EC1665">
        <w:t xml:space="preserve"> of LUC</w:t>
      </w:r>
      <w:r>
        <w:t>,</w:t>
      </w:r>
      <w:r w:rsidR="00EC1665">
        <w:t xml:space="preserve"> 2)</w:t>
      </w:r>
      <w:r>
        <w:t xml:space="preserve"> </w:t>
      </w:r>
      <w:r w:rsidR="00EC1665">
        <w:t>the scale of the analysis</w:t>
      </w:r>
      <w:r w:rsidR="00941455">
        <w:t xml:space="preserve"> </w:t>
      </w:r>
      <w:r w:rsidR="00941455">
        <w:fldChar w:fldCharType="begin"/>
      </w:r>
      <w:r w:rsidR="00941455">
        <w:instrText xml:space="preserve"> ADDIN ZOTERO_ITEM CSL_CITATION {"citationID":"fpYMEYuQ","properties":{"formattedCitation":"(Brown et al., 2013)","plainCitation":"(Brown et al., 2013)","noteIndex":0},"citationItems":[{"id":1940,"uris":["http://zotero.org/users/2170232/items/53Q9HMSK"],"uri":["http://zotero.org/users/2170232/items/53Q9HMSK"],"itemData":{"id":1940,"type":"article-journal","abstract":"Land change modeling supports analyses, assessments, and decisions concerning land management by providing a platform for both encoding mechanisms of land-change processes and making projections of future land-cover and land-use patterns. Approaches have ranged from pattern-based methods, such as machine learning models, to structural or process-based methods, such as economic or agent-based models. Selection of the appropriate modeling approach for a given scientific or decision making purpose is essential. Additionally, we argue that more needs to be done to develop and disseminate methods for evaluating land-change models (LCMs). The profession needs better data to support the use of LCMs, integration of models that operate at various scales, and combinations of models that address both positive and normative aspects of land use and land cover patterns and dynamics","collection-title":"Human settlements and industrial systems","container-title":"Current Opinion in Environmental Sustainability","DOI":"10.1016/j.cosust.2013.07.012","ISSN":"1877-3435","issue":"5","journalAbbreviation":"Current Opinion in Environmental Sustainability","page":"452-457","source":"ScienceDirect","title":"Opportunities to improve impact, integration, and evaluation of land change models","volume":"5","author":[{"family":"Brown","given":"Daniel G"},{"family":"Verburg","given":"Peter H"},{"family":"Pontius","given":"Robert Gilmore"},{"family":"Lange","given":"Mark D"}],"issued":{"date-parts":[["2013",10,1]]}}}],"schema":"https://github.com/citation-style-language/schema/raw/master/csl-citation.json"} </w:instrText>
      </w:r>
      <w:r w:rsidR="00941455">
        <w:fldChar w:fldCharType="separate"/>
      </w:r>
      <w:r w:rsidR="00941455" w:rsidRPr="002E1632">
        <w:rPr>
          <w:rFonts w:ascii="Calibri" w:hAnsi="Calibri" w:cs="Calibri"/>
        </w:rPr>
        <w:t>(Brown et al., 2013)</w:t>
      </w:r>
      <w:r w:rsidR="00941455">
        <w:fldChar w:fldCharType="end"/>
      </w:r>
      <w:r w:rsidR="00EC1665">
        <w:t>, e.g., understanding human decision-making that drives land conversion at the local level, or understanding how global macroeconomics affect agricultural expansion at a regional level, 3) expertise and interests, which govern both the research questions and the statistical approaches that are likely to be used, and 4) data availability, which</w:t>
      </w:r>
      <w:r w:rsidR="002E1632">
        <w:t xml:space="preserve"> although</w:t>
      </w:r>
      <w:r w:rsidR="00EC1665">
        <w:t xml:space="preserve"> has seen dramatic improvements in recent decades </w:t>
      </w:r>
      <w:r w:rsidR="002E1632">
        <w:t>thanks to</w:t>
      </w:r>
      <w:r w:rsidR="00EC1665">
        <w:t xml:space="preserve"> freely available, high resolution remote sensing imagery</w:t>
      </w:r>
      <w:r w:rsidR="002E1632">
        <w:t xml:space="preserve"> and long-term global data sets on socioeconomic factors, can still limit analyses, particularly when there are scale mismatches between data. </w:t>
      </w:r>
    </w:p>
    <w:p w14:paraId="102467D6" w14:textId="0A485B6F" w:rsidR="00426F41" w:rsidRDefault="00544327" w:rsidP="00F60FCB">
      <w:r>
        <w:t xml:space="preserve">Methodological approaches fall broadly </w:t>
      </w:r>
      <w:r w:rsidR="00941455">
        <w:t>into two groups</w:t>
      </w:r>
      <w:r>
        <w:t xml:space="preserve"> governed largely by the aims of the study. </w:t>
      </w:r>
      <w:r w:rsidR="00BF441F">
        <w:t>First, m</w:t>
      </w:r>
      <w:r>
        <w:t>odelling the spatial processes of LUC is a common</w:t>
      </w:r>
      <w:r w:rsidR="00BF441F">
        <w:t xml:space="preserve"> goal, as this allows researchers to use patterns of past LUC to predict which areas are at higher risk of land conversion in the future, with the potential to explore a number of plausible future scenarios</w:t>
      </w:r>
      <w:r w:rsidR="00FD3603">
        <w:t xml:space="preserve"> </w:t>
      </w:r>
      <w:r w:rsidR="00BF441F">
        <w:fldChar w:fldCharType="begin"/>
      </w:r>
      <w:r w:rsidR="00BF441F">
        <w:instrText xml:space="preserve"> ADDIN ZOTERO_ITEM CSL_CITATION {"citationID":"yUHiZ6Uo","properties":{"formattedCitation":"(Basse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BF441F">
        <w:fldChar w:fldCharType="separate"/>
      </w:r>
      <w:r w:rsidR="00BF441F" w:rsidRPr="00BF441F">
        <w:rPr>
          <w:rFonts w:ascii="Calibri" w:hAnsi="Calibri" w:cs="Calibri"/>
        </w:rPr>
        <w:t>(Basse et al., 2014)</w:t>
      </w:r>
      <w:r w:rsidR="00BF441F">
        <w:fldChar w:fldCharType="end"/>
      </w:r>
      <w:r w:rsidR="00BF441F">
        <w:t>. There are several</w:t>
      </w:r>
      <w:r w:rsidR="00226BE2">
        <w:t xml:space="preserve"> spatially explicit cell-based</w:t>
      </w:r>
      <w:r w:rsidR="00BF441F">
        <w:t xml:space="preserve"> modelling frameworks that can achieve these aims, including maximum entropy </w:t>
      </w:r>
      <w:r w:rsidR="00BF441F">
        <w:fldChar w:fldCharType="begin"/>
      </w:r>
      <w:r w:rsidR="00226BE2">
        <w:instrText xml:space="preserve"> ADDIN ZOTERO_ITEM CSL_CITATION {"citationID":"tpfDNh1d","properties":{"formattedCitation":"(Bonilla-Bedoya et al., 2018; de Souza and De Marco, 2014)","plainCitation":"(Bonilla-Bedoya et al., 2018; de Souza and De Marco, 2014)","noteIndex":0},"citationItems":[{"id":179,"uris":["http://zotero.org/users/2170232/items/WZLMGHYE"],"uri":["http://zotero.org/users/2170232/items/WZLMGHYE"],"itemData":{"id":179,"type":"article-journal","abstract":"The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Marco","given":"Paulo"}],"issued":{"date-parts":[["2014",11,10]]}}}],"schema":"https://github.com/citation-style-language/schema/raw/master/csl-citation.json"} </w:instrText>
      </w:r>
      <w:r w:rsidR="00BF441F">
        <w:fldChar w:fldCharType="separate"/>
      </w:r>
      <w:r w:rsidR="00226BE2" w:rsidRPr="00226BE2">
        <w:rPr>
          <w:rFonts w:ascii="Calibri" w:hAnsi="Calibri" w:cs="Calibri"/>
        </w:rPr>
        <w:t>(Bonilla-Bedoya et al., 2018; de Souza and De Marco, 2014)</w:t>
      </w:r>
      <w:r w:rsidR="00BF441F">
        <w:fldChar w:fldCharType="end"/>
      </w:r>
      <w:r w:rsidR="00226BE2">
        <w:t xml:space="preserve">, and cellular automata </w:t>
      </w:r>
      <w:r w:rsidR="00226BE2">
        <w:fldChar w:fldCharType="begin"/>
      </w:r>
      <w:r w:rsidR="005662E2">
        <w:instrText xml:space="preserve"> ADDIN ZOTERO_ITEM CSL_CITATION {"citationID":"M3Guuckj","properties":{"formattedCitation":"(Stevens and Dragi\\uc0\\u263{}evi\\uc0\\u263{}, 2007; Yang et al., 2012)","plainCitation":"(Stevens and Dragićević, 2007; Yang et al., 2012)","noteIndex":0},"citationItems":[{"id":2745,"uris":["http://zotero.org/users/2170232/items/YZU2LDXS"],"uri":["http://zotero.org/users/2170232/items/YZU2LDXS"],"itemData":{"id":2745,"type":"article-journal","abstract":"This study proposes an alternative cellular automata (CA) model, which relaxes the traditional CA regular square grid and synchronous growth, and is designed for representations of land-use change in rural-urban fringe settings. The model uses high-resolution spatial data in the form of irregularly sized and shaped land parcels, and incorporates synchronous and asynchronous development in order to model more realistically land-use change at the land parcel scale. The model allows urban planners and other stakeholders to evaluate how different subdivision designs will influence development under varying population growth rates and buyer preferences. A model prototype has been developed in a common desktop GIS and applied to a rapidly developing area of a midsized Canadian city.","container-title":"Environment and Planning B: Planning and Design","DOI":"10.1068/b32098","ISSN":"0265-8135","issue":"4","journalAbbreviation":"Environ Plann B Plann Des","language":"en","note":"publisher: SAGE Publications Ltd STM","page":"708-724","source":"SAGE Journals","title":"A GIS-Based Irregular Cellular Automata Model of Land-Use Change","volume":"34","author":[{"family":"Stevens","given":"Daniel"},{"family":"Dragićević","given":"Suzana"}],"issued":{"date-parts":[["2007",8,1]]}}},{"id":2746,"uris":["http://zotero.org/users/2170232/items/IHAVUJ2C"],"uri":["http://zotero.org/users/2170232/items/IHAVUJ2C"],"itemData":{"id":2746,"type":"article-journal","abstract":"This paper proposes a spatiotemporal model of land use change based on ant colony optimization (ACO), Markov chain and cellular automata (CA). These three methodologies have previously been used separately or in pairs to simulate land use change. In this paper, we apply them in combination, using ant colony optimization and cellular automata to manage the spatial distribution of land use, and applying Markov chain and cellular automata to manage the total amount of land use coverage. We first describe the principle and implementation of the model. Then a land use map of an experimental area (Changping, a district of Beijing) based on land use maps from 1988 and 1998 is simulated for 2008 using the model. By analyzing with real situation, accuracy of the simulation result manifests that the model is useful for land use change simulation. And compared with the other two models (CA–Markov model and ACO–CA model), the model is more appropriate in predicting both the quantity and spatial distribution of land use change in the study area. Therefore the model proposed by this paper is capable of simulating land use change.","container-title":"Ecological Modelling","DOI":"10.1016/j.ecolmodel.2012.03.011","ISSN":"0304-3800","journalAbbreviation":"Ecological Modelling","language":"en","page":"11-19","source":"ScienceDirect","title":"A spatiotemporal model of land use change based on ant colony optimization, Markov chain and cellular automata","volume":"233","author":[{"family":"Yang","given":"Xin"},{"family":"Zheng","given":"Xin-Qi"},{"family":"Lv","given":"Li-Na"}],"issued":{"date-parts":[["2012",5,24]]}}}],"schema":"https://github.com/citation-style-language/schema/raw/master/csl-citation.json"} </w:instrText>
      </w:r>
      <w:r w:rsidR="00226BE2">
        <w:fldChar w:fldCharType="separate"/>
      </w:r>
      <w:r w:rsidR="005662E2" w:rsidRPr="005662E2">
        <w:rPr>
          <w:rFonts w:ascii="Calibri" w:hAnsi="Calibri" w:cs="Calibri"/>
          <w:szCs w:val="24"/>
        </w:rPr>
        <w:t xml:space="preserve">(Stevens and </w:t>
      </w:r>
      <w:proofErr w:type="spellStart"/>
      <w:r w:rsidR="005662E2" w:rsidRPr="005662E2">
        <w:rPr>
          <w:rFonts w:ascii="Calibri" w:hAnsi="Calibri" w:cs="Calibri"/>
          <w:szCs w:val="24"/>
        </w:rPr>
        <w:t>Dragićević</w:t>
      </w:r>
      <w:proofErr w:type="spellEnd"/>
      <w:r w:rsidR="005662E2" w:rsidRPr="005662E2">
        <w:rPr>
          <w:rFonts w:ascii="Calibri" w:hAnsi="Calibri" w:cs="Calibri"/>
          <w:szCs w:val="24"/>
        </w:rPr>
        <w:t>, 2007; Yang et al., 2012)</w:t>
      </w:r>
      <w:r w:rsidR="00226BE2">
        <w:fldChar w:fldCharType="end"/>
      </w:r>
      <w:r w:rsidR="00226BE2">
        <w:t xml:space="preserve">, which rely on discrete spatial units that have associated variable values and tend to be spatially correlated. Models are trained on past LUC, thus developing rules which govern the likelihood of a given cell being converted under various conditions. These rule-based approaches can be improved </w:t>
      </w:r>
      <w:r w:rsidR="005662E2">
        <w:t>with</w:t>
      </w:r>
      <w:r w:rsidR="00226BE2">
        <w:t xml:space="preserve"> advanced </w:t>
      </w:r>
      <w:r w:rsidR="005662E2">
        <w:t xml:space="preserve">machine learning techniques such as artificial neural networks </w:t>
      </w:r>
      <w:r w:rsidR="005662E2">
        <w:fldChar w:fldCharType="begin"/>
      </w:r>
      <w:r w:rsidR="005662E2">
        <w:instrText xml:space="preserve"> ADDIN ZOTERO_ITEM CSL_CITATION {"citationID":"TqWmVzsU","properties":{"formattedCitation":"(Basse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5662E2">
        <w:fldChar w:fldCharType="separate"/>
      </w:r>
      <w:r w:rsidR="005662E2" w:rsidRPr="005662E2">
        <w:rPr>
          <w:rFonts w:ascii="Calibri" w:hAnsi="Calibri" w:cs="Calibri"/>
        </w:rPr>
        <w:t>(Basse et al., 2014)</w:t>
      </w:r>
      <w:r w:rsidR="005662E2">
        <w:fldChar w:fldCharType="end"/>
      </w:r>
      <w:r w:rsidR="005662E2">
        <w:t xml:space="preserve">. </w:t>
      </w:r>
      <w:r w:rsidR="00941455">
        <w:t xml:space="preserve">More traditional statistical models have also been used in a cell-based framework, whereby the models such as logistic regression are used to predict the likelihood of a cell being converted </w:t>
      </w:r>
      <w:r w:rsidR="00941455">
        <w:fldChar w:fldCharType="begin"/>
      </w:r>
      <w:r w:rsidR="00941455">
        <w:instrText xml:space="preserve"> ADDIN ZOTERO_ITEM CSL_CITATION {"citationID":"WZ0VrOvA","properties":{"formattedCitation":"(Aguiar et al., 2016; Aspinall, 2004)","plainCitation":"(Aguiar et al., 2016; Aspinall, 2004)","noteIndex":0},"citationItems":[{"id":1539,"uris":["http://zotero.org/users/2170232/items/5JWHZEXB"],"uri":["http://zotero.org/users/2170232/items/5JWHZEXB"],"itemData":{"id":1539,"type":"article-journal","abstract":"Following an intense occupation process that was initiated in the 1960s, deforestation rates in the Brazilian Amazon have decreased significantly since 2004, stabilizing around 6000 km2 yr−1 in the last 5 years. A convergence of conditions contributed to this, including the creation of protected areas, the use of effective monitoring systems, and credit restriction mechanisms. Nevertheless, other threats remain, including the rapidly expanding global markets for agricultural commodities, large-scale transportation and energy infrastructure projects, and weak institutions. We propose three updated qualitative and quantitative land-use scenarios for the Brazilian Amazon, including a normative ‘Sustainability’ scenario in which we envision major socio-economic, institutional, and environmental achievements in the region. We developed an innovative spatially explicit modelling approach capable of representing alternative pathways of the clear-cut deforestation, secondary vegetation dynamics, and the old-growth forest degradation. We use the computational models to estimate net deforestation-driven carbon emissions for the different scenarios. The region would become a sink of carbon after 2020 in a scenario of residual deforestation (~1000 km2 yr−1) and a change in the current dynamics of the secondary vegetation – in a forest transition scenario. However, our results also show that the continuation of the current situation of relatively low deforestation rates and short life cycle of the secondary vegetation would maintain the region as a source of CO2 – even if a large portion of the deforested area is covered by secondary vegetation. In relation to the old-growth forest degradation process, we estimated average gross emission corresponding to 47% of the clear-cut deforestation from 2007 to 2013 (using the DEGRAD system data), although the aggregate effects of the postdisturbance regeneration can partially offset these emissions. Both processes (secondary vegetation and forest degradation) need to be better understood as they potentially will play a decisive role in the future regional carbon balance.","container-title":"Global Change Biology","DOI":"10.1111/gcb.13134","ISSN":"1365-2486","issue":"5","journalAbbreviation":"Glob Change Biol","language":"en","page":"1821-1840","source":"Wiley Online Library","title":"Land use change emission scenarios: anticipating a forest transition process in the Brazilian Amazon","title-short":"Land use change emission scenarios","volume":"22","author":[{"family":"Aguiar","given":"Ana Paula Dutra"},{"family":"Vieira","given":"Ima Célia Guimarães"},{"family":"Assis","given":"Talita Oliveira"},{"family":"Dalla-Nora","given":"Eloi L"},{"family":"Toledo","given":"Peter Mann"},{"family":"Oliveira Santos-Junior","given":"Roberto Araújo"},{"family":"Batistella","given":"Mateus"},{"family":"Coelho","given":"Andrea Santos"},{"family":"Savaget","given":"Elza Kawakami"},{"family":"Aragão","given":"Luiz Eduardo Oliveira Cruz"},{"family":"Nobre","given":"Carlos Afonso"},{"family":"Ometto","given":"Jean Pierre H."}],"issued":{"date-parts":[["2016",5,1]]}}},{"id":1524,"uris":["http://zotero.org/users/2170232/items/TMLEQ5F8"],"uri":["http://zotero.org/users/2170232/items/TMLEQ5F8"],"itemData":{"id":1524,"type":"article-journal","abstract":"This paper develops an approach to modelling land use change that links model selection and multi-model inference with empirical models and GIS. Land use change is frequently studied, and understanding gained, through a process of modelling that is an empirical analysis of documented changes in land cover or land use patterns. The approach here is based on analysis and comparison of multiple models of land use patterns using model selection and multi-model inference. The approach is illustrated with a case study of rural housing as it has developed for part of Gallatin County, Montana, USA. A GIS contains the location of rural housing on a yearly basis from 1860 to 2000. The database also documents a variety of environmental and socio-economic conditions. A general model of settlement development describes the evolution of drivers of land use change and their impacts in the region. This model is used to develop a series of different models reflecting drivers of change at different periods in the history of the study area. These period specific models represent a series of multiple working hypotheses describing (a) the effects of spatial variables as a representation of social, economic and environmental drivers of land use change, and (b) temporal changes in the effects of the spatial variables as the drivers of change evolve over time. Logistic regression is used to calibrate and interpret these models and the models are then compared and evaluated with model selection techniques. Results show that different models are ‘best’ for the different periods. The different models for different periods demonstrate that models are not invariant over time which presents challenges for validation and testing of empirical models. The research demonstrates (i) model selection as a mechanism for rating among many plausible models that describe land cover or land use patterns, (ii) inference from a set of models rather than from a single model, (iii) that models can be developed based on hypothesised relationships based on consideration of underlying and proximate causes of change, and (iv) that models are not invariant over time.","collection-title":"Modelling land use change and environmental impact","container-title":"Journal of Environmental Management","DOI":"10.1016/j.jenvman.2004.02.009","ISSN":"0301-4797","issue":"1","journalAbbreviation":"Journal of Environmental Management","page":"91-103","source":"ScienceDirect","title":"Modelling land use change with generalized linear models—a multi-model analysis of change between 1860 and 2000 in Gallatin Valley, Montana","volume":"72","author":[{"family":"Aspinall","given":"Richard"}],"issued":{"date-parts":[["2004",8,1]]}}}],"schema":"https://github.com/citation-style-language/schema/raw/master/csl-citation.json"} </w:instrText>
      </w:r>
      <w:r w:rsidR="00941455">
        <w:fldChar w:fldCharType="separate"/>
      </w:r>
      <w:r w:rsidR="00941455" w:rsidRPr="00941455">
        <w:rPr>
          <w:rFonts w:ascii="Calibri" w:hAnsi="Calibri" w:cs="Calibri"/>
        </w:rPr>
        <w:t>(Aguiar et al., 2016; Aspinall, 2004)</w:t>
      </w:r>
      <w:r w:rsidR="00941455">
        <w:fldChar w:fldCharType="end"/>
      </w:r>
      <w:r w:rsidR="00941455">
        <w:t xml:space="preserve">. </w:t>
      </w:r>
      <w:r w:rsidR="00B35044">
        <w:t xml:space="preserve">The above methods require spatially explicit data at the scale of the cell, and so are unable to model broader relationships and drivers that operate at a different level within the system. These approaches rely on geographical and biophysical predictor variables that have fixed value in space, precluding the use of national or regional drivers. Socioeconomic drivers can be modelled, provided they can be represented in discrete space </w:t>
      </w:r>
      <w:r w:rsidR="00B35044">
        <w:fldChar w:fldCharType="begin"/>
      </w:r>
      <w:r w:rsidR="00B35044">
        <w:instrText xml:space="preserve"> ADDIN ZOTERO_ITEM CSL_CITATION {"citationID":"MlgzJFfH","properties":{"formattedCitation":"(de Souza and De Marco, 2014; Estoque et al., 2019)","plainCitation":"(de Souza and De Marco, 2014; Estoque et al., 2019)","noteIndex":0},"citationItems":[{"id":2739,"uris":["http://zotero.org/users/2170232/items/6XJ7VLX5"],"uri":["http://zotero.org/users/2170232/items/6XJ7VLX5"],"itemData":{"id":2739,"type":"article-journal","abstract":"The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B35044">
        <w:fldChar w:fldCharType="separate"/>
      </w:r>
      <w:r w:rsidR="00B35044" w:rsidRPr="00B35044">
        <w:rPr>
          <w:rFonts w:ascii="Calibri" w:hAnsi="Calibri" w:cs="Calibri"/>
        </w:rPr>
        <w:t>(de Souza and De Marco, 2014; Estoque et al., 2019)</w:t>
      </w:r>
      <w:r w:rsidR="00B35044">
        <w:fldChar w:fldCharType="end"/>
      </w:r>
      <w:r w:rsidR="00B35044">
        <w:t xml:space="preserve">. </w:t>
      </w:r>
    </w:p>
    <w:p w14:paraId="07672CCD" w14:textId="439D6037" w:rsidR="00426F41" w:rsidRDefault="00CC15C8" w:rsidP="00F60FCB">
      <w:r>
        <w:t xml:space="preserve">Second, researchers may want to model the relationships between LUC and trends in predictor variables over time rather than space. These approaches are generally less deterministic than the spatial process modelling above, and are often at much larger scales </w:t>
      </w:r>
      <w:r>
        <w:fldChar w:fldCharType="begin"/>
      </w:r>
      <w:r>
        <w:instrText xml:space="preserve"> ADDIN ZOTERO_ITEM CSL_CITATION {"citationID":"afnD35am","properties":{"formattedCitation":"(Bhattarai and Hammig, 2004; Ceddia, 2019; Ewers, 2006)","plainCitation":"(Bhattarai and Hammig, 2004; Ceddia, 2019; Ewers, 2006)","noteIndex":0},"citationItems":[{"id":2122,"uris":["http://zotero.org/users/2170232/items/NINHSHM7"],"uri":["http://zotero.org/users/2170232/items/NINHSHM7"],"itemData":{"id":2122,"type":"article-journal","abstract":"This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CC15C8">
        <w:rPr>
          <w:rFonts w:ascii="Calibri" w:hAnsi="Calibri" w:cs="Calibri"/>
        </w:rPr>
        <w:t>(</w:t>
      </w:r>
      <w:r>
        <w:rPr>
          <w:rFonts w:ascii="Calibri" w:hAnsi="Calibri" w:cs="Calibri"/>
        </w:rPr>
        <w:t xml:space="preserve">e.g., </w:t>
      </w:r>
      <w:r w:rsidRPr="00CC15C8">
        <w:rPr>
          <w:rFonts w:ascii="Calibri" w:hAnsi="Calibri" w:cs="Calibri"/>
        </w:rPr>
        <w:t xml:space="preserve">Bhattarai and </w:t>
      </w:r>
      <w:proofErr w:type="spellStart"/>
      <w:r w:rsidRPr="00CC15C8">
        <w:rPr>
          <w:rFonts w:ascii="Calibri" w:hAnsi="Calibri" w:cs="Calibri"/>
        </w:rPr>
        <w:t>Hammig</w:t>
      </w:r>
      <w:proofErr w:type="spellEnd"/>
      <w:r w:rsidRPr="00CC15C8">
        <w:rPr>
          <w:rFonts w:ascii="Calibri" w:hAnsi="Calibri" w:cs="Calibri"/>
        </w:rPr>
        <w:t xml:space="preserve">, 2004; </w:t>
      </w:r>
      <w:proofErr w:type="spellStart"/>
      <w:r w:rsidRPr="00CC15C8">
        <w:rPr>
          <w:rFonts w:ascii="Calibri" w:hAnsi="Calibri" w:cs="Calibri"/>
        </w:rPr>
        <w:t>Ceddia</w:t>
      </w:r>
      <w:proofErr w:type="spellEnd"/>
      <w:r w:rsidRPr="00CC15C8">
        <w:rPr>
          <w:rFonts w:ascii="Calibri" w:hAnsi="Calibri" w:cs="Calibri"/>
        </w:rPr>
        <w:t>, 2019; Ewers, 2006)</w:t>
      </w:r>
      <w:r>
        <w:fldChar w:fldCharType="end"/>
      </w:r>
      <w:r>
        <w:t xml:space="preserve">. These analyses </w:t>
      </w:r>
      <w:r w:rsidR="006A56AF">
        <w:t>are often targeting broader economic, socioeconomic, cultural, political, and institutional drivers of LUC, which are less amenable to spatial sampling. Generalised linear mixed models (GLMM</w:t>
      </w:r>
      <w:r w:rsidR="00C4380C">
        <w:t>s, also known as multilevel or hierarchical models</w:t>
      </w:r>
      <w:r w:rsidR="006A56AF">
        <w:t xml:space="preserve">) are often employed in such analyses, as GLMMs </w:t>
      </w:r>
      <w:r w:rsidR="001D152F">
        <w:t>can</w:t>
      </w:r>
      <w:r w:rsidR="006A56AF">
        <w:t xml:space="preserve"> account for temporal autocorrelation and </w:t>
      </w:r>
      <w:r w:rsidR="001D152F">
        <w:t xml:space="preserve">hierarchical data structures </w:t>
      </w:r>
      <w:r w:rsidR="001D152F">
        <w:fldChar w:fldCharType="begin"/>
      </w:r>
      <w:r w:rsidR="001D152F">
        <w:instrText xml:space="preserve"> ADDIN ZOTERO_ITEM CSL_CITATION {"citationID":"PtECtAJk","properties":{"formattedCitation":"(Zuur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Zuur</w:t>
      </w:r>
      <w:proofErr w:type="spellEnd"/>
      <w:r w:rsidR="001D152F" w:rsidRPr="001D152F">
        <w:rPr>
          <w:rFonts w:ascii="Calibri" w:hAnsi="Calibri" w:cs="Calibri"/>
        </w:rPr>
        <w:t xml:space="preserve"> et al., 2009)</w:t>
      </w:r>
      <w:r w:rsidR="001D152F">
        <w:fldChar w:fldCharType="end"/>
      </w:r>
      <w:r w:rsidR="001D152F">
        <w:t xml:space="preserve">. Studies have used these, and other regression-type models, to investigate the relationships between LUC and national income and forest policies </w:t>
      </w:r>
      <w:r w:rsidR="001D152F">
        <w:fldChar w:fldCharType="begin"/>
      </w:r>
      <w:r w:rsidR="001D152F">
        <w:instrText xml:space="preserve"> ADDIN ZOTERO_ITEM CSL_CITATION {"citationID":"nVW3aYWK","properties":{"formattedCitation":"(Bhattarai and Hammig, 2004)","plainCitation":"(Bhattarai and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1D152F">
        <w:fldChar w:fldCharType="separate"/>
      </w:r>
      <w:r w:rsidR="001D152F" w:rsidRPr="001D152F">
        <w:rPr>
          <w:rFonts w:ascii="Calibri" w:hAnsi="Calibri" w:cs="Calibri"/>
        </w:rPr>
        <w:t xml:space="preserve">(Bhattarai and </w:t>
      </w:r>
      <w:proofErr w:type="spellStart"/>
      <w:r w:rsidR="001D152F" w:rsidRPr="001D152F">
        <w:rPr>
          <w:rFonts w:ascii="Calibri" w:hAnsi="Calibri" w:cs="Calibri"/>
        </w:rPr>
        <w:t>Hammig</w:t>
      </w:r>
      <w:proofErr w:type="spellEnd"/>
      <w:r w:rsidR="001D152F" w:rsidRPr="001D152F">
        <w:rPr>
          <w:rFonts w:ascii="Calibri" w:hAnsi="Calibri" w:cs="Calibri"/>
        </w:rPr>
        <w:t>, 2004)</w:t>
      </w:r>
      <w:r w:rsidR="001D152F">
        <w:fldChar w:fldCharType="end"/>
      </w:r>
      <w:r w:rsidR="001D152F">
        <w:t xml:space="preserve">, income, land, and wealth inequalities </w:t>
      </w:r>
      <w:r w:rsidR="001D152F">
        <w:fldChar w:fldCharType="begin"/>
      </w:r>
      <w:r w:rsidR="001D152F">
        <w:instrText xml:space="preserve"> ADDIN ZOTERO_ITEM CSL_CITATION {"citationID":"G9VXIaeZ","properties":{"formattedCitation":"(Ceddia,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2019)</w:t>
      </w:r>
      <w:r w:rsidR="001D152F">
        <w:fldChar w:fldCharType="end"/>
      </w:r>
      <w:r w:rsidR="001D152F">
        <w:t xml:space="preserve">, indigenous land </w:t>
      </w:r>
      <w:r w:rsidR="001D152F">
        <w:lastRenderedPageBreak/>
        <w:t xml:space="preserve">tenure </w:t>
      </w:r>
      <w:r w:rsidR="001D152F">
        <w:fldChar w:fldCharType="begin"/>
      </w:r>
      <w:r w:rsidR="001D152F">
        <w:instrText xml:space="preserve"> ADDIN ZOTERO_ITEM CSL_CITATION {"citationID":"AdzLNFgE","properties":{"formattedCitation":"(Ceddia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xml:space="preserve"> et al., 2015)</w:t>
      </w:r>
      <w:r w:rsidR="001D152F">
        <w:fldChar w:fldCharType="end"/>
      </w:r>
      <w:r w:rsidR="001D152F">
        <w:t xml:space="preserve">, macroeconomics and economic development </w:t>
      </w:r>
      <w:r w:rsidR="001D152F">
        <w:fldChar w:fldCharType="begin"/>
      </w:r>
      <w:r w:rsidR="001D152F">
        <w:instrText xml:space="preserve"> ADDIN ZOTERO_ITEM CSL_CITATION {"citationID":"DeIdEsRb","properties":{"formattedCitation":"(Culas, 2007; Ewers, 2006)","plainCitation":"(Culas, 2007; Ewers,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Culas</w:t>
      </w:r>
      <w:proofErr w:type="spellEnd"/>
      <w:r w:rsidR="001D152F" w:rsidRPr="001D152F">
        <w:rPr>
          <w:rFonts w:ascii="Calibri" w:hAnsi="Calibri" w:cs="Calibri"/>
        </w:rPr>
        <w:t>, 2007; Ewers, 2006)</w:t>
      </w:r>
      <w:r w:rsidR="001D152F">
        <w:fldChar w:fldCharType="end"/>
      </w:r>
      <w:r w:rsidR="001D152F">
        <w:t xml:space="preserve">, and urban socioeconomics </w:t>
      </w:r>
      <w:r w:rsidR="001D152F">
        <w:fldChar w:fldCharType="begin"/>
      </w:r>
      <w:r w:rsidR="001D152F">
        <w:instrText xml:space="preserve"> ADDIN ZOTERO_ITEM CSL_CITATION {"citationID":"se6ugQFB","properties":{"formattedCitation":"(Gong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1D152F">
        <w:fldChar w:fldCharType="separate"/>
      </w:r>
      <w:r w:rsidR="001D152F" w:rsidRPr="001D152F">
        <w:rPr>
          <w:rFonts w:ascii="Calibri" w:hAnsi="Calibri" w:cs="Calibri"/>
        </w:rPr>
        <w:t>(Gong et al., 2013)</w:t>
      </w:r>
      <w:r w:rsidR="001D152F">
        <w:fldChar w:fldCharType="end"/>
      </w:r>
      <w:r w:rsidR="001D152F">
        <w:t>.</w:t>
      </w:r>
      <w:r w:rsidR="00841D7D">
        <w:t xml:space="preserve"> Studies that use GLMMs almost exclusively use data from multiple countries</w:t>
      </w:r>
      <w:r w:rsidR="00C4380C">
        <w:t>, taking advantage of the ability of these models to harness</w:t>
      </w:r>
      <w:r w:rsidR="0039569B">
        <w:t xml:space="preserve"> large</w:t>
      </w:r>
      <w:r w:rsidR="00C4380C">
        <w:t xml:space="preserve"> longitudinal data</w:t>
      </w:r>
      <w:r w:rsidR="0039569B">
        <w:t xml:space="preserve"> sets</w:t>
      </w:r>
      <w:r w:rsidR="00C4380C">
        <w:t xml:space="preserve"> with few “subjects” without succumbing to pseudoreplication </w:t>
      </w:r>
      <w:r w:rsidR="00C4380C">
        <w:fldChar w:fldCharType="begin"/>
      </w:r>
      <w:r w:rsidR="00C4380C">
        <w:instrText xml:space="preserve"> ADDIN ZOTERO_ITEM CSL_CITATION {"citationID":"5Ii1SoVW","properties":{"formattedCitation":"(Gelman and Hill, 2006)","plainCitation":"(Gelman and Hill, 2006)","noteIndex":0},"citationItems":[{"id":2748,"uris":["http://zotero.org/users/2170232/items/SVN6ZYUN"],"uri":["http://zotero.org/users/2170232/items/SVN6ZYUN"],"itemData":{"id":2748,"type":"book","abstract":"Data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Models","author":[{"family":"Gelman","given":"Andrew"},{"family":"Hill","given":"Jennifer"}],"issued":{"date-parts":[["2006",12,18]]}}}],"schema":"https://github.com/citation-style-language/schema/raw/master/csl-citation.json"} </w:instrText>
      </w:r>
      <w:r w:rsidR="00C4380C">
        <w:fldChar w:fldCharType="separate"/>
      </w:r>
      <w:r w:rsidR="00C4380C" w:rsidRPr="00C4380C">
        <w:rPr>
          <w:rFonts w:ascii="Calibri" w:hAnsi="Calibri" w:cs="Calibri"/>
        </w:rPr>
        <w:t>(Gelman and Hill, 2006</w:t>
      </w:r>
      <w:r w:rsidR="0039569B">
        <w:rPr>
          <w:rFonts w:ascii="Calibri" w:hAnsi="Calibri" w:cs="Calibri"/>
        </w:rPr>
        <w:t>, see Ewers, 2006 for an example of where pseudoreplication may be an issue</w:t>
      </w:r>
      <w:r w:rsidR="00C4380C" w:rsidRPr="00C4380C">
        <w:rPr>
          <w:rFonts w:ascii="Calibri" w:hAnsi="Calibri" w:cs="Calibri"/>
        </w:rPr>
        <w:t>)</w:t>
      </w:r>
      <w:r w:rsidR="00C4380C">
        <w:fldChar w:fldCharType="end"/>
      </w:r>
      <w:r w:rsidR="00C4380C">
        <w:t xml:space="preserve">. </w:t>
      </w:r>
      <w:commentRangeStart w:id="1"/>
      <w:r w:rsidR="00C4380C">
        <w:t>Another advantage of GLMMs is the ability to quantify between-group variance, which not only offers crucial insight about the</w:t>
      </w:r>
      <w:r w:rsidR="0039569B">
        <w:t xml:space="preserve"> differences between groups (e.g., countries)</w:t>
      </w:r>
      <w:r w:rsidR="00C4380C">
        <w:t xml:space="preserve"> from which inference can</w:t>
      </w:r>
      <w:r w:rsidR="0039569B">
        <w:t xml:space="preserve"> be drawn </w:t>
      </w:r>
      <w:r w:rsidR="0039569B">
        <w:fldChar w:fldCharType="begin"/>
      </w:r>
      <w:r w:rsidR="0039569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39569B">
        <w:fldChar w:fldCharType="separate"/>
      </w:r>
      <w:r w:rsidR="0039569B" w:rsidRPr="0039569B">
        <w:rPr>
          <w:rFonts w:ascii="Calibri" w:hAnsi="Calibri" w:cs="Calibri"/>
        </w:rPr>
        <w:t>(</w:t>
      </w:r>
      <w:proofErr w:type="spellStart"/>
      <w:r w:rsidR="0039569B" w:rsidRPr="0039569B">
        <w:rPr>
          <w:rFonts w:ascii="Calibri" w:hAnsi="Calibri" w:cs="Calibri"/>
        </w:rPr>
        <w:t>Zuur</w:t>
      </w:r>
      <w:proofErr w:type="spellEnd"/>
      <w:r w:rsidR="0039569B" w:rsidRPr="0039569B">
        <w:rPr>
          <w:rFonts w:ascii="Calibri" w:hAnsi="Calibri" w:cs="Calibri"/>
        </w:rPr>
        <w:t xml:space="preserve"> et al., 2009)</w:t>
      </w:r>
      <w:r w:rsidR="0039569B">
        <w:fldChar w:fldCharType="end"/>
      </w:r>
      <w:r w:rsidR="0039569B">
        <w:t>, but can also highlight potential problems with ‘global’ predictions (i.e., predictions that are made with all random effect terms set at their mean).</w:t>
      </w:r>
      <w:r w:rsidR="00C4380C">
        <w:t xml:space="preserve"> Yet very few studies</w:t>
      </w:r>
      <w:r w:rsidR="0039569B">
        <w:t xml:space="preserve"> that use these models for LUC</w:t>
      </w:r>
      <w:r w:rsidR="00C4380C">
        <w:t xml:space="preserve"> report</w:t>
      </w:r>
      <w:r w:rsidR="0039569B">
        <w:t xml:space="preserve"> any values for variance associated with the random (group-level) effects. For example, </w:t>
      </w:r>
      <w:proofErr w:type="spellStart"/>
      <w:r w:rsidR="0039569B">
        <w:t>Bhattari</w:t>
      </w:r>
      <w:proofErr w:type="spellEnd"/>
      <w:r w:rsidR="0039569B">
        <w:t xml:space="preserve"> and </w:t>
      </w:r>
      <w:proofErr w:type="spellStart"/>
      <w:r w:rsidR="0039569B">
        <w:t>Hammig</w:t>
      </w:r>
      <w:proofErr w:type="spellEnd"/>
      <w:r w:rsidR="0039569B">
        <w:t xml:space="preserve"> (2004) use data from 63 countries</w:t>
      </w:r>
      <w:r w:rsidR="00147652">
        <w:t xml:space="preserve">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   </w:t>
      </w:r>
      <w:r w:rsidR="00C4380C">
        <w:t xml:space="preserve">    </w:t>
      </w:r>
      <w:r w:rsidR="006A56AF">
        <w:t xml:space="preserve">    </w:t>
      </w:r>
      <w:commentRangeEnd w:id="1"/>
      <w:r w:rsidR="00147652">
        <w:rPr>
          <w:rStyle w:val="CommentReference"/>
        </w:rPr>
        <w:commentReference w:id="1"/>
      </w:r>
    </w:p>
    <w:p w14:paraId="3B93043C" w14:textId="77777777" w:rsidR="00426F41" w:rsidRDefault="00426F41" w:rsidP="00F60FCB"/>
    <w:p w14:paraId="7AD6AF9A" w14:textId="77777777" w:rsidR="00426F41" w:rsidRDefault="00426F41" w:rsidP="00F60FCB"/>
    <w:p w14:paraId="53362201" w14:textId="77777777" w:rsidR="00426F41" w:rsidRDefault="00426F41" w:rsidP="00F60FCB"/>
    <w:p w14:paraId="4B0D8139" w14:textId="191B9BD6" w:rsidR="007C5BEC" w:rsidRPr="007C5BEC" w:rsidRDefault="007C5BEC" w:rsidP="00F60FCB">
      <w:r>
        <w:t xml:space="preserve">Challenges associated with some of the approaches. Are they identifying and accounting for all the variance at the scale they are working at? Are they missing a lot of variation? </w:t>
      </w:r>
    </w:p>
    <w:p w14:paraId="3B69E11E" w14:textId="6847F681" w:rsidR="007C5BEC" w:rsidRPr="007C5BEC" w:rsidRDefault="007C5BEC" w:rsidP="00F60FCB">
      <w:r>
        <w:t>Cambodia – rapid economic and social development post-conflict.</w:t>
      </w:r>
      <w:r w:rsidR="004F4C2D">
        <w:t xml:space="preserve"> Differences between development in different parts of the country</w:t>
      </w:r>
      <w:r w:rsidR="00F17E1D">
        <w:t xml:space="preserve"> - socioeconomics</w:t>
      </w:r>
      <w:r w:rsidR="004F4C2D">
        <w:t>.</w:t>
      </w:r>
      <w:r>
        <w:t xml:space="preserve"> </w:t>
      </w:r>
      <w:r w:rsidR="0014507A">
        <w:t>Discuss ELCs</w:t>
      </w:r>
      <w:r w:rsidR="0017584E">
        <w:t xml:space="preserve"> and foreign investment</w:t>
      </w:r>
      <w:r w:rsidR="0014507A">
        <w:t>.</w:t>
      </w:r>
      <w:r w:rsidR="004F4C2D">
        <w:t xml:space="preserve"> Pros and cons of ELCs.</w:t>
      </w:r>
      <w:r w:rsidR="0014507A">
        <w:t xml:space="preserve"> </w:t>
      </w:r>
      <w:r>
        <w:t xml:space="preserve">Importance of identifying drivers / relationships. But what is the best approach? </w:t>
      </w:r>
    </w:p>
    <w:p w14:paraId="340F81F8" w14:textId="77777777" w:rsidR="007C5BEC" w:rsidRDefault="007C5BEC" w:rsidP="00F60FCB">
      <w:pPr>
        <w:rPr>
          <w:i/>
          <w:iCs/>
        </w:rPr>
      </w:pPr>
    </w:p>
    <w:p w14:paraId="7B56758F" w14:textId="77777777" w:rsidR="007C5BEC" w:rsidRDefault="007C5BEC" w:rsidP="00F60FCB">
      <w:pPr>
        <w:rPr>
          <w:i/>
          <w:iCs/>
        </w:rPr>
      </w:pPr>
    </w:p>
    <w:p w14:paraId="0A95ACA0" w14:textId="77777777" w:rsidR="007C5BEC" w:rsidRDefault="007C5BEC" w:rsidP="00F60FCB">
      <w:pPr>
        <w:rPr>
          <w:i/>
          <w:iCs/>
        </w:rPr>
      </w:pPr>
    </w:p>
    <w:p w14:paraId="4A2C34DC" w14:textId="3EE8F898" w:rsidR="00A12239" w:rsidRPr="00A12239" w:rsidRDefault="00A12239" w:rsidP="00F60FCB">
      <w:pPr>
        <w:rPr>
          <w:i/>
          <w:iCs/>
        </w:rPr>
      </w:pPr>
      <w:r>
        <w:rPr>
          <w:i/>
          <w:iCs/>
        </w:rPr>
        <w:t xml:space="preserve">Cambodia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9EE9E9B" w:rsidR="00612128" w:rsidRDefault="0025381F">
      <w:r>
        <w:lastRenderedPageBreak/>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28D84F2" w14:textId="1A3212CE" w:rsidR="00E06C0E" w:rsidRDefault="00E06C0E"/>
    <w:p w14:paraId="0E0828FA" w14:textId="6A18C4E0" w:rsidR="00E06C0E" w:rsidRDefault="00E06C0E"/>
    <w:p w14:paraId="362BC692" w14:textId="77777777" w:rsidR="00E06C0E" w:rsidRPr="00E06C0E" w:rsidRDefault="00E06C0E" w:rsidP="00E06C0E">
      <w:r w:rsidRPr="00E06C0E">
        <w:t xml:space="preserve">McSweeney, C., New, M. &amp; </w:t>
      </w:r>
      <w:proofErr w:type="spellStart"/>
      <w:r w:rsidRPr="00E06C0E">
        <w:t>Lizcano</w:t>
      </w:r>
      <w:proofErr w:type="spellEnd"/>
      <w:r w:rsidRPr="00E06C0E">
        <w:t>, G. 2010. UNDP Climate Change Country Profiles: Cambodia. Available: http://country-profiles.geog.ox.ac.uk/ [Accessed 23/06/2020].</w:t>
      </w:r>
    </w:p>
    <w:p w14:paraId="5345BF35" w14:textId="77777777" w:rsidR="00E06C0E" w:rsidRDefault="00E06C0E"/>
    <w:sectPr w:rsidR="00E06C0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Nuttall" w:date="2021-08-03T22:06:00Z" w:initials="MN">
    <w:p w14:paraId="5414DF05" w14:textId="77777777" w:rsidR="00147652" w:rsidRDefault="00147652">
      <w:pPr>
        <w:pStyle w:val="CommentText"/>
      </w:pPr>
      <w:r>
        <w:rPr>
          <w:rStyle w:val="CommentReference"/>
        </w:rPr>
        <w:annotationRef/>
      </w:r>
      <w:r>
        <w:t xml:space="preserve">Nils and Jeroen, can you double check I’ve got this </w:t>
      </w:r>
      <w:proofErr w:type="gramStart"/>
      <w:r>
        <w:t>interpretation</w:t>
      </w:r>
      <w:proofErr w:type="gramEnd"/>
      <w:r>
        <w:t xml:space="preserve"> right??</w:t>
      </w:r>
    </w:p>
    <w:p w14:paraId="4339FA8A" w14:textId="77777777" w:rsidR="00147652" w:rsidRDefault="00147652">
      <w:pPr>
        <w:pStyle w:val="CommentText"/>
      </w:pPr>
    </w:p>
    <w:p w14:paraId="79D28368" w14:textId="36D15AB8" w:rsidR="00147652" w:rsidRDefault="00147652">
      <w:pPr>
        <w:pStyle w:val="CommentText"/>
      </w:pPr>
      <w:r>
        <w:t xml:space="preserve">I’m trying to set up the results of our socioeconomic models, and to emphasise that most people (in the world of modelling LUC anyway) just seem to breeze over the potentially huge variance that can make GLMMs global predictions dodgy.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28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3C4F" w16cex:dateUtc="2021-08-03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28368" w16cid:durableId="24B43C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47652"/>
    <w:rsid w:val="0017584E"/>
    <w:rsid w:val="001D152F"/>
    <w:rsid w:val="0020286A"/>
    <w:rsid w:val="00226BE2"/>
    <w:rsid w:val="00241429"/>
    <w:rsid w:val="0025381F"/>
    <w:rsid w:val="00264263"/>
    <w:rsid w:val="00277B83"/>
    <w:rsid w:val="002D55B0"/>
    <w:rsid w:val="002E1632"/>
    <w:rsid w:val="00361F24"/>
    <w:rsid w:val="00372A33"/>
    <w:rsid w:val="0039569B"/>
    <w:rsid w:val="00406440"/>
    <w:rsid w:val="00426F41"/>
    <w:rsid w:val="00451077"/>
    <w:rsid w:val="00463897"/>
    <w:rsid w:val="004D60CD"/>
    <w:rsid w:val="004F4C2D"/>
    <w:rsid w:val="00544327"/>
    <w:rsid w:val="005662E2"/>
    <w:rsid w:val="005760C1"/>
    <w:rsid w:val="00607930"/>
    <w:rsid w:val="00687B98"/>
    <w:rsid w:val="006A56AF"/>
    <w:rsid w:val="00740187"/>
    <w:rsid w:val="007C5BEC"/>
    <w:rsid w:val="00841D7D"/>
    <w:rsid w:val="0085516E"/>
    <w:rsid w:val="008601E8"/>
    <w:rsid w:val="00894BA7"/>
    <w:rsid w:val="008A69FD"/>
    <w:rsid w:val="008B6ED5"/>
    <w:rsid w:val="008C0DC9"/>
    <w:rsid w:val="0090243F"/>
    <w:rsid w:val="00941455"/>
    <w:rsid w:val="009E7236"/>
    <w:rsid w:val="00A12239"/>
    <w:rsid w:val="00A245E7"/>
    <w:rsid w:val="00A50804"/>
    <w:rsid w:val="00B35044"/>
    <w:rsid w:val="00BF441F"/>
    <w:rsid w:val="00C2269D"/>
    <w:rsid w:val="00C4246E"/>
    <w:rsid w:val="00C4380C"/>
    <w:rsid w:val="00CC15C8"/>
    <w:rsid w:val="00D70B02"/>
    <w:rsid w:val="00E06C0E"/>
    <w:rsid w:val="00EB1A92"/>
    <w:rsid w:val="00EC1665"/>
    <w:rsid w:val="00F17E1D"/>
    <w:rsid w:val="00F27DF2"/>
    <w:rsid w:val="00F46CD7"/>
    <w:rsid w:val="00F60FCB"/>
    <w:rsid w:val="00F74B05"/>
    <w:rsid w:val="00F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 w:type="paragraph" w:styleId="Bibliography">
    <w:name w:val="Bibliography"/>
    <w:basedOn w:val="Normal"/>
    <w:next w:val="Normal"/>
    <w:uiPriority w:val="37"/>
    <w:semiHidden/>
    <w:unhideWhenUsed/>
    <w:rsid w:val="00BF441F"/>
  </w:style>
  <w:style w:type="paragraph" w:styleId="CommentSubject">
    <w:name w:val="annotation subject"/>
    <w:basedOn w:val="CommentText"/>
    <w:next w:val="CommentText"/>
    <w:link w:val="CommentSubjectChar"/>
    <w:uiPriority w:val="99"/>
    <w:semiHidden/>
    <w:unhideWhenUsed/>
    <w:rsid w:val="00147652"/>
    <w:rPr>
      <w:b/>
      <w:bCs/>
    </w:rPr>
  </w:style>
  <w:style w:type="character" w:customStyle="1" w:styleId="CommentSubjectChar">
    <w:name w:val="Comment Subject Char"/>
    <w:basedOn w:val="CommentTextChar"/>
    <w:link w:val="CommentSubject"/>
    <w:uiPriority w:val="99"/>
    <w:semiHidden/>
    <w:rsid w:val="00147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4</Pages>
  <Words>20065</Words>
  <Characters>114371</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26</cp:revision>
  <dcterms:created xsi:type="dcterms:W3CDTF">2021-04-06T13:27:00Z</dcterms:created>
  <dcterms:modified xsi:type="dcterms:W3CDTF">2021-08-03T21:08:00Z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id="dOXLwfQ6"/&gt;&lt;style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