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xml:space="preserve">. Forest cover layers were </w:t>
      </w:r>
      <w:r w:rsidRPr="000A46B5">
        <w:lastRenderedPageBreak/>
        <w:t>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w:t>
      </w:r>
      <w:proofErr w:type="gramStart"/>
      <w:r w:rsidRPr="001E05DC">
        <w:t>The</w:t>
      </w:r>
      <w:proofErr w:type="gramEnd"/>
      <w:r w:rsidRPr="001E05DC">
        <w:t xml:space="preserv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C039EE"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C039EE"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C039EE"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01620666" w:rsidR="000A46B5" w:rsidRPr="00274974" w:rsidRDefault="00667CED" w:rsidP="000A46B5">
      <w:pPr>
        <w:rPr>
          <w:i/>
          <w:iCs/>
        </w:rPr>
      </w:pPr>
      <w:r>
        <w:rPr>
          <w:i/>
          <w:iCs/>
        </w:rPr>
        <w:t>Predictors of forest loss</w:t>
      </w:r>
    </w:p>
    <w:p w14:paraId="2CF22172" w14:textId="2F7D1233" w:rsidR="000A46B5" w:rsidRDefault="00F4635E" w:rsidP="000A46B5">
      <w:r>
        <w:t>The models for changes in the rate of forest loss as a function of macroeconomic predictors produced n</w:t>
      </w:r>
      <w:r w:rsidR="000A46B5">
        <w:t>o strong effects (</w:t>
      </w:r>
      <w:r w:rsidR="000A46B5" w:rsidRPr="00045ECA">
        <w:t>Figures S2 – S4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t>therefore inference is limited</w:t>
      </w:r>
      <w:r w:rsidR="000A46B5">
        <w:t>.</w:t>
      </w:r>
    </w:p>
    <w:p w14:paraId="5FF9CD15" w14:textId="77777777" w:rsidR="000A46B5" w:rsidRPr="00BA5281" w:rsidRDefault="000A46B5" w:rsidP="000A46B5">
      <w:pPr>
        <w:rPr>
          <w:i/>
          <w:iCs/>
        </w:rPr>
      </w:pPr>
      <w:r>
        <w:rPr>
          <w:i/>
          <w:iCs/>
        </w:rPr>
        <w:t>New economic land concession response</w:t>
      </w:r>
    </w:p>
    <w:p w14:paraId="0D3D8117" w14:textId="5D53C15A"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w:t>
      </w:r>
      <w:commentRangeStart w:id="4"/>
      <w:r>
        <w:t>$2115/ton</w:t>
      </w:r>
      <w:commentRangeEnd w:id="4"/>
      <w:r w:rsidR="00AD70AA">
        <w:rPr>
          <w:rStyle w:val="CommentReference"/>
        </w:rPr>
        <w:commentReference w:id="4"/>
      </w:r>
      <w:r>
        <w:t xml:space="preserve">, followed by rubber ($317/ton) and corn ($197/ton, </w:t>
      </w:r>
      <w:r w:rsidRPr="00045ECA">
        <w:t>Table S</w:t>
      </w:r>
      <w:r>
        <w:t xml:space="preserve">18).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The largest overall effect excluding control variables was for changes in agricultural proportion of GDP with no time lag and a one-year time lag (no time lag rate ratio = 1.310, and one-year time lag rate ratio = 1.284, </w:t>
      </w:r>
      <w:r w:rsidRPr="005E63DE">
        <w:t>Table 3, Figure 2</w:t>
      </w:r>
      <w:r>
        <w:t xml:space="preserve">). </w:t>
      </w:r>
    </w:p>
    <w:p w14:paraId="0B8DF666" w14:textId="1CD49B8B"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C30D0CF"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Table 3, Figure 2</w:t>
      </w:r>
      <w:r>
        <w:t>). The reduction in ELC allocation as</w:t>
      </w:r>
      <w:r w:rsidR="00DD2646">
        <w:t xml:space="preserve"> change in per capita</w:t>
      </w:r>
      <w:r>
        <w:t xml:space="preserve">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w:t>
      </w:r>
      <w:proofErr w:type="gramStart"/>
      <w:r>
        <w:t>in a given year</w:t>
      </w:r>
      <w:proofErr w:type="gramEnd"/>
      <w:r>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38CCFDCB" w:rsidR="000A46B5" w:rsidRDefault="000A46B5" w:rsidP="000A46B5">
      <w:r>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w:t>
      </w:r>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w:t>
      </w:r>
      <w:r>
        <w:lastRenderedPageBreak/>
        <w:t xml:space="preserve">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08E865C2"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308B0106"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5"/>
      <w:commentRangeStart w:id="6"/>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5"/>
      <w:r>
        <w:rPr>
          <w:rStyle w:val="CommentReference"/>
        </w:rPr>
        <w:commentReference w:id="5"/>
      </w:r>
      <w:commentRangeEnd w:id="6"/>
      <w:r w:rsidR="00C65931">
        <w:rPr>
          <w:rStyle w:val="CommentReference"/>
        </w:rPr>
        <w:commentReference w:id="6"/>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5D8F44AD"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45F1FF8B"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135FC9CB" w14:textId="7204265E" w:rsidR="00046338"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followed by</w:t>
      </w:r>
      <w:r>
        <w:t xml:space="preserve"> economic collapse, and</w:t>
      </w:r>
      <w:r w:rsidR="003D5F3C">
        <w:t xml:space="preserve"> then</w:t>
      </w:r>
      <w:r>
        <w:t xml:space="preserve"> subsequent rapid economic revival</w:t>
      </w:r>
      <w:r w:rsidR="003D5F3C">
        <w:t xml:space="preserve"> </w:t>
      </w:r>
      <w:r w:rsidR="003D5F3C">
        <w:fldChar w:fldCharType="begin"/>
      </w:r>
      <w:r w:rsidR="00046338">
        <w:instrText xml:space="preserve"> ADDIN ZOTERO_ITEM CSL_CITATION {"citationID":"jip8FHXz","properties":{"formattedCitation":"(Hamada &amp; Kasuya 1992; Riedel &amp; Turley 1999)","plainCitation":"(Hamada &amp; Kasuya 1992; Riedel &amp; Turley 1999)","noteIndex":0},"citationItems":[{"id":2884,"uris":["http://zotero.org/users/2170232/items/QTF3RFFE"],"uri":["http://zotero.org/users/2170232/items/QTF3RFFE"],"itemData":{"id":2884,"type":"report","event-place":"New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 xml:space="preserve">Hamada &amp; </w:t>
      </w:r>
      <w:proofErr w:type="spellStart"/>
      <w:r w:rsidR="00046338" w:rsidRPr="00046338">
        <w:rPr>
          <w:rFonts w:ascii="Calibri" w:hAnsi="Calibri" w:cs="Calibri"/>
        </w:rPr>
        <w:t>Kasuya</w:t>
      </w:r>
      <w:proofErr w:type="spellEnd"/>
      <w:r w:rsidR="00046338" w:rsidRPr="00046338">
        <w:rPr>
          <w:rFonts w:ascii="Calibri" w:hAnsi="Calibri" w:cs="Calibri"/>
        </w:rPr>
        <w:t xml:space="preserve">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Fourth,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046338">
        <w:t xml:space="preserve"> </w:t>
      </w:r>
    </w:p>
    <w:p w14:paraId="2DECDAB0" w14:textId="7274D1E6"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that would have alleviated poverty more effectively than a</w:t>
      </w:r>
      <w:r w:rsidR="00F513EE">
        <w:t>n externally owned</w:t>
      </w:r>
      <w:r>
        <w:t xml:space="preserve">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 xml:space="preserve">(De </w:t>
      </w:r>
      <w:proofErr w:type="spellStart"/>
      <w:r w:rsidR="007739D7" w:rsidRPr="007739D7">
        <w:rPr>
          <w:rFonts w:ascii="Calibri" w:hAnsi="Calibri" w:cs="Calibri"/>
        </w:rPr>
        <w:t>Schutter</w:t>
      </w:r>
      <w:proofErr w:type="spellEnd"/>
      <w:r w:rsidR="007739D7" w:rsidRPr="007739D7">
        <w:rPr>
          <w:rFonts w:ascii="Calibri" w:hAnsi="Calibri" w:cs="Calibri"/>
        </w:rPr>
        <w:t xml:space="preserve"> 2011)</w:t>
      </w:r>
      <w:r>
        <w:fldChar w:fldCharType="end"/>
      </w:r>
      <w:r>
        <w:t xml:space="preserve">. </w:t>
      </w:r>
    </w:p>
    <w:p w14:paraId="728E4EED" w14:textId="4EE3ECEF" w:rsidR="006F2311" w:rsidRDefault="006F2311" w:rsidP="006F2311">
      <w:r>
        <w:lastRenderedPageBreak/>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7"/>
      <w:commentRangeStart w:id="8"/>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7"/>
      <w:r>
        <w:rPr>
          <w:rStyle w:val="CommentReference"/>
        </w:rPr>
        <w:commentReference w:id="7"/>
      </w:r>
      <w:commentRangeEnd w:id="8"/>
      <w:r w:rsidR="001E2F1B">
        <w:rPr>
          <w:rStyle w:val="CommentReference"/>
        </w:rPr>
        <w:commentReference w:id="8"/>
      </w:r>
      <w:r>
        <w:t xml:space="preserve">. Understanding which commodities are driving land conversion, the strength of the effects, the time lags, and the legal and institutional mechanisms that facilitate the link between prices and forest loss, is critical for predicting future forest loss.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341440C0" w14:textId="77777777" w:rsidR="00C039EE" w:rsidRDefault="00C039EE" w:rsidP="000A46B5">
      <w:pPr>
        <w:rPr>
          <w:b/>
          <w:bCs/>
        </w:rPr>
      </w:pPr>
    </w:p>
    <w:p w14:paraId="3C5348ED" w14:textId="77777777" w:rsidR="00C039EE" w:rsidRDefault="00C039EE" w:rsidP="000A46B5">
      <w:pPr>
        <w:rPr>
          <w:b/>
          <w:bCs/>
        </w:rPr>
      </w:pPr>
    </w:p>
    <w:p w14:paraId="66D15937" w14:textId="0804D45B" w:rsidR="000A46B5" w:rsidRDefault="001A6F37" w:rsidP="000A46B5">
      <w:r>
        <w:t xml:space="preserve">For example, when the agricultural sector’s proportion of national GDP decreases by 3% </w:t>
      </w:r>
      <w:proofErr w:type="gramStart"/>
      <w:r>
        <w:t>in a given year</w:t>
      </w:r>
      <w:proofErr w:type="gramEnd"/>
      <w:r>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t>in a given year</w:t>
      </w:r>
      <w:proofErr w:type="gramEnd"/>
      <w:r>
        <w:t xml:space="preserve">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p>
    <w:p w14:paraId="1A700FAC" w14:textId="58160503" w:rsidR="001A6F37" w:rsidRDefault="001A6F37" w:rsidP="000A46B5"/>
    <w:p w14:paraId="5FCB2186" w14:textId="0ED1FEEE" w:rsidR="001A6F37" w:rsidRPr="002E4677" w:rsidRDefault="001A6F37" w:rsidP="000A46B5">
      <w:pPr>
        <w:rPr>
          <w:b/>
          <w:bCs/>
        </w:rPr>
      </w:pPr>
      <w:r>
        <w:t xml:space="preserve">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w:t>
      </w:r>
      <w:proofErr w:type="gramStart"/>
      <w:r>
        <w:t xml:space="preserve">.  </w:t>
      </w:r>
      <w:proofErr w:type="gramEnd"/>
    </w:p>
    <w:sectPr w:rsidR="001A6F37"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4" w:author="Matthew Nuttall" w:date="2021-10-15T15:23:00Z" w:initials="MN">
    <w:p w14:paraId="758BA4E6" w14:textId="6D8AE87E" w:rsidR="00AD70AA" w:rsidRDefault="00AD70AA">
      <w:pPr>
        <w:pStyle w:val="CommentText"/>
      </w:pPr>
      <w:r>
        <w:rPr>
          <w:rStyle w:val="CommentReference"/>
        </w:rPr>
        <w:annotationRef/>
      </w:r>
      <w:r>
        <w:t>Phil – you made a good point in the previous draft questioning why the producer (farmgate) price was so much higher than the commodity (market price). The producer price is the price a farmer in Cambodia got (i.e., local prices) whereas the commodity price is a global average. Presumably there are places around the world where sugar is much cheaper, and therefore the global average is much lower than in Cambodia. These differences are stated in Table 1. These two variables are independent of each other and were not modelled together, and therefore this difference is not important (I don’t think!)</w:t>
      </w:r>
    </w:p>
  </w:comment>
  <w:comment w:id="5"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6"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7"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8" w:author="Matthew Nuttall" w:date="2021-10-16T15:34:00Z" w:initials="MN">
    <w:p w14:paraId="56911E07" w14:textId="1128F490" w:rsidR="001E2F1B" w:rsidRDefault="001E2F1B">
      <w:pPr>
        <w:pStyle w:val="CommentText"/>
      </w:pPr>
      <w:r>
        <w:rPr>
          <w:rStyle w:val="CommentReference"/>
        </w:rPr>
        <w:annotationRef/>
      </w:r>
      <w:r>
        <w:t xml:space="preserve">Their analysis was at a much finer scale – they looked at a very localised bit of forest that straddles the Cambodia-Vietnam border. I think because my analysis was at the national scale the signal for small, isolated bits of forest loss like this were probably drown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758BA4E6"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5141B6F" w16cex:dateUtc="2021-10-15T14:23: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758BA4E6" w16cid:durableId="25141B6F"/>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46338"/>
    <w:rsid w:val="000A46B5"/>
    <w:rsid w:val="001A6F37"/>
    <w:rsid w:val="001E2F1B"/>
    <w:rsid w:val="002E4677"/>
    <w:rsid w:val="003B7206"/>
    <w:rsid w:val="003D5F3C"/>
    <w:rsid w:val="005252BE"/>
    <w:rsid w:val="005760C1"/>
    <w:rsid w:val="00667CED"/>
    <w:rsid w:val="006F2311"/>
    <w:rsid w:val="00721329"/>
    <w:rsid w:val="007739D7"/>
    <w:rsid w:val="007D6A50"/>
    <w:rsid w:val="008B3DA9"/>
    <w:rsid w:val="008B6ED5"/>
    <w:rsid w:val="009F455B"/>
    <w:rsid w:val="00AD70AA"/>
    <w:rsid w:val="00B66116"/>
    <w:rsid w:val="00C039EE"/>
    <w:rsid w:val="00C65931"/>
    <w:rsid w:val="00C831FB"/>
    <w:rsid w:val="00CC4F5A"/>
    <w:rsid w:val="00DD2646"/>
    <w:rsid w:val="00DE2591"/>
    <w:rsid w:val="00F4635E"/>
    <w:rsid w:val="00F5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14</Pages>
  <Words>16634</Words>
  <Characters>94819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2021-10-14T13:12:00Z</dcterms:created>
  <dcterms:modified xsi:type="dcterms:W3CDTF">2021-10-16T14:39:00Z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