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685089B3" w14:textId="74BF8040" w:rsidR="000A46B5" w:rsidRDefault="000A46B5">
      <w:pPr>
        <w:rPr>
          <w:b/>
          <w:bCs/>
        </w:rPr>
      </w:pPr>
    </w:p>
    <w:p w14:paraId="71A80A7D" w14:textId="56A74556" w:rsidR="000A46B5" w:rsidRDefault="000A46B5">
      <w:pPr>
        <w:rPr>
          <w:b/>
          <w:bCs/>
        </w:rPr>
      </w:pPr>
    </w:p>
    <w:p w14:paraId="6A1BCBAE" w14:textId="4761D170" w:rsidR="000A46B5" w:rsidRDefault="000A46B5">
      <w:pPr>
        <w:rPr>
          <w:b/>
          <w:bCs/>
        </w:rPr>
      </w:pPr>
    </w:p>
    <w:p w14:paraId="0EAC9FDD" w14:textId="0F7DA386" w:rsidR="000A46B5" w:rsidRDefault="000A46B5">
      <w:pPr>
        <w:rPr>
          <w:b/>
          <w:bCs/>
        </w:rPr>
      </w:pPr>
    </w:p>
    <w:p w14:paraId="61F71508" w14:textId="5EEC4A29" w:rsidR="000A46B5" w:rsidRDefault="000A46B5">
      <w:pPr>
        <w:rPr>
          <w:b/>
          <w:bCs/>
        </w:rPr>
      </w:pPr>
      <w:r>
        <w:rPr>
          <w:b/>
          <w:bCs/>
        </w:rPr>
        <w:t>Methods</w:t>
      </w:r>
    </w:p>
    <w:p w14:paraId="1059DA8F" w14:textId="77777777" w:rsidR="000A46B5" w:rsidRPr="000A46B5" w:rsidRDefault="000A46B5" w:rsidP="000A46B5">
      <w:pPr>
        <w:rPr>
          <w:b/>
          <w:bCs/>
          <w:i/>
          <w:iCs/>
        </w:rPr>
      </w:pPr>
      <w:r w:rsidRPr="000A46B5">
        <w:rPr>
          <w:b/>
          <w:bCs/>
          <w:i/>
          <w:iCs/>
        </w:rPr>
        <w:t>Study area</w:t>
      </w:r>
    </w:p>
    <w:p w14:paraId="62225273" w14:textId="1D8FA156" w:rsidR="000A46B5" w:rsidRPr="000A46B5" w:rsidRDefault="000A46B5" w:rsidP="000A46B5">
      <w:r w:rsidRPr="000A46B5">
        <w:drawing>
          <wp:anchor distT="0" distB="0" distL="114300" distR="114300" simplePos="0" relativeHeight="251659264" behindDoc="1" locked="0" layoutInCell="1" allowOverlap="1" wp14:anchorId="2DEFBACD" wp14:editId="60DE1C84">
            <wp:simplePos x="0" y="0"/>
            <wp:positionH relativeFrom="margin">
              <wp:align>left</wp:align>
            </wp:positionH>
            <wp:positionV relativeFrom="paragraph">
              <wp:posOffset>1332230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77777777" w:rsidR="000A46B5" w:rsidRPr="000A46B5" w:rsidRDefault="000A46B5" w:rsidP="000A46B5"/>
    <w:p w14:paraId="001F25E2" w14:textId="77777777" w:rsidR="000A46B5" w:rsidRPr="000A46B5" w:rsidRDefault="000A46B5" w:rsidP="000A46B5">
      <w:pPr>
        <w:rPr>
          <w:b/>
          <w:bCs/>
          <w:i/>
          <w:iCs/>
        </w:rPr>
      </w:pPr>
    </w:p>
    <w:p w14:paraId="45FCF218" w14:textId="77777777" w:rsidR="000A46B5" w:rsidRPr="000A46B5" w:rsidRDefault="000A46B5"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77777777" w:rsidR="000A46B5" w:rsidRPr="000A46B5" w:rsidRDefault="000A46B5" w:rsidP="000A46B5">
      <w:pPr>
        <w:rPr>
          <w:b/>
          <w:bCs/>
          <w:i/>
          <w:iCs/>
        </w:rPr>
      </w:pP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0A46B5" w:rsidRDefault="000A46B5" w:rsidP="000A46B5">
      <w:pPr>
        <w:rPr>
          <w:b/>
          <w:bCs/>
          <w:i/>
          <w:iCs/>
        </w:rPr>
      </w:pPr>
      <w:r w:rsidRPr="000A46B5">
        <w:rPr>
          <w:b/>
          <w:bCs/>
          <w:i/>
          <w:iCs/>
        </w:rPr>
        <w:t>Data sources</w:t>
      </w:r>
    </w:p>
    <w:p w14:paraId="6EA63835" w14:textId="04BD3AF4"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commentRangeStart w:id="0"/>
      <w:r w:rsidRPr="000A46B5">
        <w:t>Wildlife Conservation Society</w:t>
      </w:r>
      <w:commentRangeEnd w:id="0"/>
      <w:r w:rsidRPr="000A46B5">
        <w:commentReference w:id="0"/>
      </w:r>
      <w:r w:rsidRPr="000A46B5">
        <w:t>. Forest cover layers were taken from the publicly available European Space Agency Climate Change Initiative (ESACCI) satellite data for the years 1993 – 2015.</w:t>
      </w:r>
    </w:p>
    <w:p w14:paraId="6907946E" w14:textId="788DB002" w:rsidR="000A46B5" w:rsidRPr="000A46B5" w:rsidRDefault="000A46B5" w:rsidP="000A46B5">
      <w:pPr>
        <w:rPr>
          <w:b/>
          <w:bCs/>
          <w:i/>
          <w:iCs/>
        </w:rPr>
      </w:pPr>
      <w:r w:rsidRPr="000A46B5">
        <w:rPr>
          <w:b/>
          <w:bCs/>
          <w:i/>
          <w:iCs/>
        </w:rPr>
        <w:lastRenderedPageBreak/>
        <w:t>Variable selection</w:t>
      </w:r>
    </w:p>
    <w:p w14:paraId="3487211B" w14:textId="322D1CE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r w:rsidRPr="000A46B5">
        <w:t>Macroeconomic</w:t>
      </w:r>
      <w:r>
        <w:t xml:space="preserve"> </w:t>
      </w:r>
      <w:r w:rsidRPr="000A46B5">
        <w:t xml:space="preserve">and control variables were selected based on a combination of previous studies, data availability, and the authors’ knowledge of Cambodia. 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 xml:space="preserve">(Table S1, Nelson et al. 2006; Ewers 2006; Gong et al. 2013; </w:t>
      </w:r>
      <w:proofErr w:type="spellStart"/>
      <w:r w:rsidRPr="000A46B5">
        <w:t>Kuang</w:t>
      </w:r>
      <w:proofErr w:type="spellEnd"/>
      <w:r w:rsidRPr="000A46B5">
        <w:t xml:space="preserve">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Pr="000A46B5">
        <w:instrText xml:space="preserve"> ADDIN ZOTERO_ITEM CSL_CITATION {"citationID":"7L9iv0wG","properties":{"formattedCitation":"(Lambin and Meyfroidt, 2010; Rudel et al., 2005)","plainCitation":"(Lambin and Meyfroidt, 2010; Rudel et al., 2005)","noteIndex":0},"citationItems":[{"id":2121,"uris":["http://zotero.org/users/2170232/items/QDZVC72B"],"uri":["http://zotero.org/users/2170232/items/QDZVC72B"],"itemData":{"id":2121,"type":"article-journal","abstract":"Places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Pr="000A46B5">
        <w:t>(</w:t>
      </w:r>
      <w:proofErr w:type="spellStart"/>
      <w:r w:rsidRPr="000A46B5">
        <w:t>Lambin</w:t>
      </w:r>
      <w:proofErr w:type="spellEnd"/>
      <w:r w:rsidRPr="000A46B5">
        <w:t xml:space="preserve"> and </w:t>
      </w:r>
      <w:proofErr w:type="spellStart"/>
      <w:r w:rsidRPr="000A46B5">
        <w:t>Meyfroidt</w:t>
      </w:r>
      <w:proofErr w:type="spellEnd"/>
      <w:r w:rsidRPr="000A46B5">
        <w:t xml:space="preserve">, 2010; </w:t>
      </w:r>
      <w:proofErr w:type="spellStart"/>
      <w:r w:rsidRPr="000A46B5">
        <w:t>Rudel</w:t>
      </w:r>
      <w:proofErr w:type="spellEnd"/>
      <w:r w:rsidRPr="000A46B5">
        <w:t xml:space="preserve"> et al., 2005)</w:t>
      </w:r>
      <w:r w:rsidRPr="000A46B5">
        <w:fldChar w:fldCharType="end"/>
      </w:r>
      <w:r w:rsidRPr="000A46B5">
        <w:t>. After pre-analysis checks for errors and correlation, the resulting variable set contained 20 variables (Table 1).</w:t>
      </w:r>
    </w:p>
    <w:p w14:paraId="7B3CC724" w14:textId="77777777" w:rsidR="000A46B5" w:rsidRPr="001E05DC" w:rsidRDefault="000A46B5" w:rsidP="000A46B5">
      <w:pPr>
        <w:rPr>
          <w:b/>
          <w:bCs/>
          <w:i/>
          <w:iCs/>
        </w:rPr>
      </w:pPr>
      <w:r w:rsidRPr="001E05DC">
        <w:rPr>
          <w:b/>
          <w:bCs/>
          <w:i/>
          <w:iCs/>
        </w:rPr>
        <w:t>Data processing</w:t>
      </w:r>
    </w:p>
    <w:p w14:paraId="2AD4719E" w14:textId="7FA7A25B" w:rsidR="000A46B5" w:rsidRPr="001E05DC"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Pr="00634903">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instrText xml:space="preserve"> ADDIN ZOTERO_ITEM CSL_CITATION {"citationID":"885LiH9b","properties":{"formattedCitation":"(Chhair and Ung, 2013)","plainCitation":"(Chhair and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Pr="00634903">
        <w:rPr>
          <w:rFonts w:ascii="Calibri" w:hAnsi="Calibri" w:cs="Calibri"/>
        </w:rPr>
        <w:t>(</w:t>
      </w:r>
      <w:proofErr w:type="spellStart"/>
      <w:r w:rsidRPr="00634903">
        <w:rPr>
          <w:rFonts w:ascii="Calibri" w:hAnsi="Calibri" w:cs="Calibri"/>
        </w:rPr>
        <w:t>Chhair</w:t>
      </w:r>
      <w:proofErr w:type="spellEnd"/>
      <w:r w:rsidRPr="00634903">
        <w:rPr>
          <w:rFonts w:ascii="Calibri" w:hAnsi="Calibri" w:cs="Calibri"/>
        </w:rPr>
        <w:t xml:space="preserve"> and Ung, 2013)</w:t>
      </w:r>
      <w:r w:rsidRPr="001E05DC">
        <w:fldChar w:fldCharType="end"/>
      </w:r>
      <w:r w:rsidRPr="001E05DC">
        <w:t xml:space="preserve"> and subsequent change values in 1994, and so these were removed. To simplify interpretation, predictor variables were not centred or scaled prior to change calculations or modelling.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1E05DC" w:rsidRDefault="000A46B5" w:rsidP="000A46B5">
      <w:pPr>
        <w:rPr>
          <w:b/>
          <w:bCs/>
          <w:i/>
          <w:iCs/>
        </w:rPr>
      </w:pPr>
      <w:r w:rsidRPr="001E05DC">
        <w:rPr>
          <w:b/>
          <w:bCs/>
          <w:i/>
          <w:iCs/>
        </w:rPr>
        <w:lastRenderedPageBreak/>
        <w:t xml:space="preserve">Modelling </w:t>
      </w:r>
    </w:p>
    <w:p w14:paraId="731B3D43" w14:textId="30E63384"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instrText xml:space="preserve"> ADDIN ZOTERO_ITEM CSL_CITATION {"citationID":"W8sLh8uK","properties":{"formattedCitation":"(Burnham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Pr="00634903">
        <w:rPr>
          <w:rFonts w:ascii="Calibri" w:hAnsi="Calibri" w:cs="Calibri"/>
        </w:rPr>
        <w:t>(Burnham and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r w:rsidRPr="001E05DC">
        <w:t xml:space="preserve">used. </w:t>
      </w:r>
      <w:commentRangeEnd w:id="1"/>
      <w:r>
        <w:rPr>
          <w:rStyle w:val="CommentReference"/>
        </w:rPr>
        <w:commentReference w:id="1"/>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instrText xml:space="preserve"> ADDIN ZOTERO_ITEM CSL_CITATION {"citationID":"7EKj9FXi","properties":{"formattedCitation":"(Burnham and Anderson, 2007)","plainCitation":"(Burnham and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Pr="00634903">
        <w:rPr>
          <w:rFonts w:ascii="Calibri" w:hAnsi="Calibri" w:cs="Calibri"/>
        </w:rPr>
        <w:t>(Burnham and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proofErr w:type="spellStart"/>
      <w:r w:rsidRPr="001E05DC">
        <w:t>Bartoń</w:t>
      </w:r>
      <w:proofErr w:type="spellEnd"/>
      <w:r w:rsidRPr="001E05DC">
        <w:t xml:space="preserve">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2"/>
      <w:r w:rsidRPr="001E05DC">
        <w:t>No time lag:</w:t>
      </w:r>
      <w:commentRangeEnd w:id="2"/>
      <w:r w:rsidRPr="001E05DC">
        <w:commentReference w:id="2"/>
      </w:r>
    </w:p>
    <w:p w14:paraId="5A183351" w14:textId="77777777" w:rsidR="000A46B5" w:rsidRPr="001E05DC" w:rsidRDefault="000A46B5"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0A46B5"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0A46B5"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77777777" w:rsidR="000A46B5" w:rsidRPr="00274974" w:rsidRDefault="000A46B5" w:rsidP="000A46B5">
      <w:pPr>
        <w:rPr>
          <w:i/>
          <w:iCs/>
        </w:rPr>
      </w:pPr>
      <w:r>
        <w:rPr>
          <w:i/>
          <w:iCs/>
        </w:rPr>
        <w:t>Rate of forest loss response</w:t>
      </w:r>
    </w:p>
    <w:p w14:paraId="2CF22172" w14:textId="77777777" w:rsidR="000A46B5" w:rsidRDefault="000A46B5" w:rsidP="000A46B5">
      <w:commentRangeStart w:id="3"/>
      <w:r>
        <w:t xml:space="preserve">Models revealed that there were no strong effects of the macroeconomic predictors on forest loss between 1993 and 2015 </w:t>
      </w:r>
      <w:commentRangeEnd w:id="3"/>
      <w:r>
        <w:rPr>
          <w:rStyle w:val="CommentReference"/>
        </w:rPr>
        <w:commentReference w:id="3"/>
      </w:r>
      <w:r>
        <w:t>(</w:t>
      </w:r>
      <w:r w:rsidRPr="00045ECA">
        <w:t>Figures S2 – S4</w:t>
      </w:r>
      <w:r>
        <w:t xml:space="preserve">). For each predictor set there were between 5 and 28 models in the top model set and final coefficients were calculated using full averages </w:t>
      </w:r>
      <w:r>
        <w:fldChar w:fldCharType="begin"/>
      </w:r>
      <w:r>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fldChar w:fldCharType="separate"/>
      </w:r>
      <w:r w:rsidRPr="00D913D7">
        <w:rPr>
          <w:rFonts w:ascii="Calibri" w:hAnsi="Calibri" w:cs="Calibri"/>
        </w:rPr>
        <w:t>(</w:t>
      </w:r>
      <w:r w:rsidRPr="00045ECA">
        <w:t>Tables S9 – S</w:t>
      </w:r>
      <w:r>
        <w:t>17</w:t>
      </w:r>
      <w:r>
        <w:rPr>
          <w:rFonts w:ascii="Calibri" w:hAnsi="Calibri" w:cs="Calibri"/>
        </w:rPr>
        <w:t xml:space="preserve">, </w:t>
      </w:r>
      <w:r w:rsidRPr="00D913D7">
        <w:rPr>
          <w:rFonts w:ascii="Calibri" w:hAnsi="Calibri" w:cs="Calibri"/>
        </w:rPr>
        <w:t>Burnham and Anderson, 2007)</w:t>
      </w:r>
      <w:r>
        <w:fldChar w:fldCharType="end"/>
      </w:r>
      <w:r>
        <w:t xml:space="preserve">. The largest effects were from two of the control variables (population density, time). The largest effect overall was for population density with a one-year time lag (full averaged coefficient = -632.9, SE = 64.8, </w:t>
      </w:r>
      <w:r w:rsidRPr="00045ECA">
        <w:t>Table S10</w:t>
      </w:r>
      <w:r>
        <w:t xml:space="preserve">). The largest effect excluding control variables was for agricultural proportion of GDP with a one-year time lag (full averaged coefficient = -14.9, SE = 7.9) suggesting that there is a small reduction in the rate of forest loss as the contribution </w:t>
      </w:r>
      <w:r>
        <w:lastRenderedPageBreak/>
        <w:t xml:space="preserve">of agriculture to national GDP increases, </w:t>
      </w:r>
      <w:commentRangeStart w:id="4"/>
      <w:r>
        <w:t xml:space="preserve">although this effect is very weak </w:t>
      </w:r>
      <w:commentRangeEnd w:id="4"/>
      <w:r>
        <w:rPr>
          <w:rStyle w:val="CommentReference"/>
        </w:rPr>
        <w:commentReference w:id="4"/>
      </w:r>
      <w:r>
        <w:t>(</w:t>
      </w:r>
      <w:r w:rsidRPr="00045ECA">
        <w:t>Figure S2, Table S1</w:t>
      </w:r>
      <w:r>
        <w:t>0) and is not considered definitive.</w:t>
      </w:r>
    </w:p>
    <w:p w14:paraId="5FF9CD15" w14:textId="77777777" w:rsidR="000A46B5" w:rsidRPr="00BA5281" w:rsidRDefault="000A46B5" w:rsidP="000A46B5">
      <w:pPr>
        <w:rPr>
          <w:i/>
          <w:iCs/>
        </w:rPr>
      </w:pPr>
      <w:r>
        <w:rPr>
          <w:i/>
          <w:iCs/>
        </w:rPr>
        <w:t>New economic land concession response</w:t>
      </w:r>
    </w:p>
    <w:p w14:paraId="0D3D8117" w14:textId="77777777" w:rsidR="000A46B5" w:rsidRDefault="000A46B5" w:rsidP="000A46B5">
      <w:r>
        <w:t>There were 287 new ELCs allocated within the study period, with the majority (51%) being designated for rubber production (</w:t>
      </w:r>
      <w:r w:rsidRPr="00045ECA">
        <w:t>Table S</w:t>
      </w:r>
      <w:r>
        <w:t xml:space="preserve">18). The most valuable crop in terms of commodity price during the study period was rubber, with a mean market price of $1743/ton, followed by rice ($348/ton) and sugar ($282/ton, </w:t>
      </w:r>
      <w:r w:rsidRPr="00045ECA">
        <w:t>Table S18</w:t>
      </w:r>
      <w:r>
        <w:t xml:space="preserve">). The most valuable crop in terms of producer (farmgate) prices was sugar with a mean price over the study period of $2115/ton, followed by rubber ($317/ton) and corn ($197/ton, </w:t>
      </w:r>
      <w:r w:rsidRPr="00045ECA">
        <w:t>Table S</w:t>
      </w:r>
      <w:r>
        <w:t xml:space="preserve">18). A greater number of effects were revealed in the macroeconomic analysis with new economic land concession allocation as the response. The largest effect was for the economic control variable population density, where there were very strong negative effects across all time lags (rate ratios for one-year lag = 0.012, two-year lag = 0.002, three-year lag = 0.0005, </w:t>
      </w:r>
      <w:r w:rsidRPr="00E71D64">
        <w:t xml:space="preserve">Table </w:t>
      </w:r>
      <w:r>
        <w:t xml:space="preserve">3), indicating that new ELCs do not get allocated in areas of high human population density. </w:t>
      </w:r>
      <w:commentRangeStart w:id="5"/>
      <w:commentRangeStart w:id="6"/>
      <w:r>
        <w:t>The largest overall effect excluding control variables was for changes in agricultural proportion of GDP with no time lag and a one-year time lag (no time lag rate ratio = 1.310, and one-year time lag rate ratio = 1.284</w:t>
      </w:r>
      <w:commentRangeEnd w:id="5"/>
      <w:r>
        <w:rPr>
          <w:rStyle w:val="CommentReference"/>
        </w:rPr>
        <w:commentReference w:id="5"/>
      </w:r>
      <w:commentRangeEnd w:id="6"/>
      <w:r>
        <w:rPr>
          <w:rStyle w:val="CommentReference"/>
        </w:rPr>
        <w:commentReference w:id="6"/>
      </w:r>
      <w:r>
        <w:t xml:space="preserve">, </w:t>
      </w:r>
      <w:r w:rsidRPr="005E63DE">
        <w:t>Table 3, Figure 2</w:t>
      </w:r>
      <w:r>
        <w:t xml:space="preserve">). </w:t>
      </w:r>
    </w:p>
    <w:p w14:paraId="0B8DF666" w14:textId="77777777" w:rsidR="000A46B5" w:rsidRDefault="000A46B5" w:rsidP="000A46B5">
      <w:r>
        <w:t xml:space="preserve">From an economic perspective there were positive relationships between the allocation of new ELCs and increases in the agricultural proportion of GDP and increases in foreign direct investment (one-year time lag rate ratio = 1.004, </w:t>
      </w:r>
      <w:r w:rsidRPr="005E63DE">
        <w:t>Table 3, Figure 2</w:t>
      </w:r>
      <w:r>
        <w:t xml:space="preserve">). These effects suggest ties between both the development of new industrial-scale concessions and the growth of the agricultural sector, and the injection of foreign wealth into the sector via the purchasing of concessions by international companies. </w:t>
      </w:r>
      <w:commentRangeStart w:id="7"/>
      <w:r>
        <w:t xml:space="preserve">For example, when the agricultural sector’s proportion of national GDP decreases by 3% </w:t>
      </w:r>
      <w:proofErr w:type="gramStart"/>
      <w:r>
        <w:t>in a given year</w:t>
      </w:r>
      <w:proofErr w:type="gramEnd"/>
      <w:r>
        <w:t xml:space="preserve"> relative to the previous year, the number of new ELCs allocated that year is predicted to be approximately 2, whereas when the sector’s proportion of national GDP increases in a given year by 1% relative to the previous year, the number of new ELCs is predicted to be 6. When the amount of foreign investment decreases by approximately $10 million relative to the previous year, the number of new ELCs one year later is predicted to be 3. Conversely, when foreign investment </w:t>
      </w:r>
      <w:proofErr w:type="gramStart"/>
      <w:r>
        <w:t>in a given year</w:t>
      </w:r>
      <w:proofErr w:type="gramEnd"/>
      <w:r>
        <w:t xml:space="preserve"> increases by approximately $300 million relative to the previous year, then one year later the number of new ELCs is predicted to be 10. The one-year time lag of the effect of foreign investment suggests that it takes approximately one year from the time of investment for a company to see the creation of their land concession. </w:t>
      </w:r>
      <w:commentRangeEnd w:id="7"/>
      <w:r>
        <w:rPr>
          <w:rStyle w:val="CommentReference"/>
        </w:rPr>
        <w:commentReference w:id="7"/>
      </w:r>
      <w:r>
        <w:t xml:space="preserve">There was also a positive relationship between new ELC allocation and increases in development flows to the environment sector (no time lag rate ratio = 1.031). This suggests that in the short-term, investments into the environment sector via development funding (predominantly from international donors) does not reduce the number of new ELC allocations. </w:t>
      </w:r>
    </w:p>
    <w:p w14:paraId="60324C84" w14:textId="77777777" w:rsidR="000A46B5" w:rsidRDefault="000A46B5" w:rsidP="000A46B5">
      <w:r>
        <w:t xml:space="preserve">There was a negative relationship between new ELC allocation and increases in per capita GDP (one-year time lag rate ratio = 0.985 and two-year time lag rate ratio = 0.974, </w:t>
      </w:r>
      <w:r w:rsidRPr="005E63DE">
        <w:t>Table 3, Figure 2</w:t>
      </w:r>
      <w:r>
        <w:t xml:space="preserve">). The reduction in ELC allocation as GDP increases, over a period of one and two years, potentially suggests that there is a positive economic effect of ELCs. New concessions inject money into the national economy at various scales, for example at the national level via taxes to the government, and to the local level via employment opportunities and infrastructure development. Thus, as the economy grows, the need for new ELCs diminishes. For example, when GDP per capita </w:t>
      </w:r>
      <w:proofErr w:type="gramStart"/>
      <w:r>
        <w:t>in a given year</w:t>
      </w:r>
      <w:proofErr w:type="gramEnd"/>
      <w:r>
        <w:t xml:space="preserve"> falls by approximately $6 relative to the previous year, the number of new ELCs is predicted to be 8, whereas when the GDP per capita rises in a given year by approximately $60 relative to the previous year, the number of new ELCs predicted is only 3.  </w:t>
      </w:r>
    </w:p>
    <w:p w14:paraId="04AE5D44" w14:textId="77777777" w:rsidR="000A46B5" w:rsidRDefault="000A46B5" w:rsidP="000A46B5">
      <w:r>
        <w:lastRenderedPageBreak/>
        <w:t>The largest effect within the commodity set was for the change in market price of rice in the same year as the response (no time lag) with a rate ratio of 1.009 (</w:t>
      </w:r>
      <w:r w:rsidRPr="005E63DE">
        <w:t>Table 3</w:t>
      </w:r>
      <w:r>
        <w:t xml:space="preserve">). There were further strong positive relationships between the changes in the market price of rubber (no time lag rate ratio = 1.001), the changes in the non-food production index (one-year time lag rate ratio = 1.007), and changes in the market price of sugar (two-year time lag rate ratio = 1.009). Economic land concessions in Cambodia are predominantly agro-industrial concessions, and therefore the positive relationships between the market price of agricultural commodities and new ELC allocations is not surprising. Rubber and rice are the most valuable market commodities within the variable set, and we can see this reflected in the model; if rubber market prices do not change between years </w:t>
      </w:r>
      <w:r>
        <w:rPr>
          <w:i/>
          <w:iCs/>
        </w:rPr>
        <w:t>t</w:t>
      </w:r>
      <w:r>
        <w:t xml:space="preserve"> and </w:t>
      </w:r>
      <w:r>
        <w:rPr>
          <w:i/>
          <w:iCs/>
        </w:rPr>
        <w:t>t+1</w:t>
      </w:r>
      <w:r>
        <w:t xml:space="preserve"> then approximately 4 new ELCs are predicted in year </w:t>
      </w:r>
      <w:r>
        <w:rPr>
          <w:i/>
          <w:iCs/>
        </w:rPr>
        <w:t>t+1</w:t>
      </w:r>
      <w:r>
        <w:t xml:space="preserve">, whereas if the price of rubber increases by $1500/ton in year </w:t>
      </w:r>
      <w:r>
        <w:rPr>
          <w:i/>
          <w:iCs/>
        </w:rPr>
        <w:t>t</w:t>
      </w:r>
      <w:r>
        <w:t xml:space="preserve">, then approximately 29 new ELCs are predicted in year </w:t>
      </w:r>
      <w:r>
        <w:rPr>
          <w:i/>
          <w:iCs/>
        </w:rPr>
        <w:t>t+1</w:t>
      </w:r>
      <w:r>
        <w:t xml:space="preserve">. Similarly, if there is no change in the market price of rice between two given years, then approximately 5 new ELCs are predicted. If the market value increases by $300/ton then in year </w:t>
      </w:r>
      <w:r>
        <w:rPr>
          <w:i/>
          <w:iCs/>
        </w:rPr>
        <w:t>t+1</w:t>
      </w:r>
      <w:r>
        <w:t xml:space="preserve"> approximately 80 new ELCs are predicted. Interestingly the effect of changes in sugar price were weak when there was no time lag, but the effect was stronger when both a one-year and two-year time lag were introduced (</w:t>
      </w:r>
      <w:r w:rsidRPr="005E63DE">
        <w:t>Figure 3</w:t>
      </w:r>
      <w:r>
        <w:t>)</w:t>
      </w:r>
      <w:proofErr w:type="gramStart"/>
      <w:r>
        <w:t xml:space="preserve">.  </w:t>
      </w:r>
      <w:proofErr w:type="gramEnd"/>
    </w:p>
    <w:p w14:paraId="303CB01A" w14:textId="77777777" w:rsidR="000A46B5" w:rsidRDefault="000A46B5" w:rsidP="000A46B5">
      <w:r>
        <w:t xml:space="preserve">There were three negative relationships between ELC allocation and commodity variables, all of which were in the same year as the response (no time lag, </w:t>
      </w:r>
      <w:r w:rsidRPr="005E63DE">
        <w:t>Figure 3</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with no time lag is meaningful. 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 </w:t>
      </w:r>
    </w:p>
    <w:p w14:paraId="233CAA57" w14:textId="77777777" w:rsidR="000A46B5" w:rsidRDefault="000A46B5" w:rsidP="000A46B5">
      <w:r>
        <w:t>The producer price variable set, which reflects the farmgate prices of the commodities, had both positive and negative relationships with ELC allocation (</w:t>
      </w:r>
      <w:r w:rsidRPr="005E63DE">
        <w:t>Figure 4, Table 3</w:t>
      </w:r>
      <w:r>
        <w:t>). The strongest positive relationship was with changes in the producer price of rubber (no time lag rate ratio = 1.035). The effect of positive changes (i.e., net increases) in the price a farmer will get for rubber production can be seen in the predictions of new ELCs (</w:t>
      </w:r>
      <w:r w:rsidRPr="00DF51FB">
        <w:t>Figure 4</w:t>
      </w:r>
      <w:r>
        <w:t xml:space="preserve">). The difference between the number of ELC allocations when the producer price of rubber changes from a decrease of $30/ton (from year </w:t>
      </w:r>
      <w:r>
        <w:rPr>
          <w:i/>
          <w:iCs/>
        </w:rPr>
        <w:t xml:space="preserve">t </w:t>
      </w:r>
      <w:r>
        <w:t xml:space="preserve">to year </w:t>
      </w:r>
      <w:r>
        <w:rPr>
          <w:i/>
          <w:iCs/>
        </w:rPr>
        <w:t>t+1</w:t>
      </w:r>
      <w:r>
        <w:t xml:space="preserve">) to no change at all (i.e., the price remains constant) is approximately 3. In contrast, the difference in ELC allocation between no change in price and a positive change of $30/ton is more than 12. This suggests that producers are highly influenced by sale prices of commodities, particularly of high value products such as rubber, and that they will act quickly when there is the potential for financial gain. There were also positive relationships between ELC allocation and changes in the producer price of corn (one-year time lag rate ratio = 1.011) and the producer price of rice (two-year time lag rate ratio = 1.013, </w:t>
      </w:r>
      <w:r w:rsidRPr="00DF51FB">
        <w:t>Figure 4, Table 3</w:t>
      </w:r>
      <w:r>
        <w:t xml:space="preserve">). Corn and rice are less valuable in terms of absolute producer prices than sugar and rubber, and this may be reflected in the time lag that exists between positive changes in the prices and increases in new ELCs. </w:t>
      </w:r>
    </w:p>
    <w:p w14:paraId="1E83030E" w14:textId="77777777"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Increases in the producer prices of rice and cassava resulted in fewer predicted ELCs in the same year (no time lag rate ratio = 0.976) and two years later (two-year time lag rate ratio = 0.982), respectively.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Rice production is the dominant agricultural crop in Cambodia and is the second most </w:t>
      </w:r>
      <w:r>
        <w:lastRenderedPageBreak/>
        <w:t xml:space="preserve">valuable commodity in terms of market value </w:t>
      </w:r>
      <w:r w:rsidRPr="00DF51FB">
        <w:t>(Table S18</w:t>
      </w:r>
      <w:r>
        <w:t>). Yet only 1.7% of ELCs created during the study period were designated for rice production (</w:t>
      </w:r>
      <w:r w:rsidRPr="00DF51FB">
        <w:t>Table S18</w:t>
      </w:r>
      <w:r>
        <w:t xml:space="preserve">), suggesting that rice production and price were not driving forces behind ELC allocation. The negative relationship between the producer price of cassava and new ELC allocation was strong (two-year time lag rate ratio = 0.982, </w:t>
      </w:r>
      <w:r w:rsidRPr="00DF51FB">
        <w:t>Figure 4</w:t>
      </w:r>
      <w:r>
        <w:t>). Cassava is not a</w:t>
      </w:r>
      <w:r>
        <w:tab/>
        <w:t xml:space="preserve"> 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77777777" w:rsidR="009F455B" w:rsidRPr="00B41CFA" w:rsidRDefault="009F455B" w:rsidP="009F455B">
      <w:pPr>
        <w:rPr>
          <w:b/>
          <w:bCs/>
          <w:sz w:val="20"/>
          <w:szCs w:val="20"/>
        </w:rPr>
      </w:pPr>
      <w:r w:rsidRPr="00B41CFA">
        <w:rPr>
          <w:b/>
          <w:bCs/>
          <w:sz w:val="20"/>
          <w:szCs w:val="20"/>
        </w:rPr>
        <w:lastRenderedPageBreak/>
        <w:t>Table 3.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77777777"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017EFCC3" w14:textId="77777777"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77777777" w:rsidR="009F455B" w:rsidRDefault="009F455B" w:rsidP="009F455B">
      <w:pPr>
        <w:rPr>
          <w:b/>
          <w:bCs/>
          <w:i/>
          <w:iCs/>
        </w:rPr>
      </w:pPr>
      <w:r w:rsidRPr="00B41CFA">
        <w:rPr>
          <w:b/>
          <w:bCs/>
          <w:sz w:val="20"/>
          <w:szCs w:val="20"/>
        </w:rPr>
        <w:t xml:space="preserve">Figure </w:t>
      </w:r>
      <w:r>
        <w:rPr>
          <w:b/>
          <w:bCs/>
          <w:sz w:val="20"/>
          <w:szCs w:val="20"/>
        </w:rPr>
        <w:t>2</w:t>
      </w:r>
      <w:r w:rsidRPr="00B41CFA">
        <w:rPr>
          <w:b/>
          <w:bCs/>
          <w:sz w:val="20"/>
          <w:szCs w:val="20"/>
        </w:rPr>
        <w:t>. Modelled relationships between economic predictors and the allocation of new economic land concessions in Cambodia between 1993 – 2015. Top row: no time lag between predictor and response; middle row: 1-year time lag between predictor and response; bottom row: 2-year time lag between predictor and response.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8"/>
      <w:r>
        <w:rPr>
          <w:noProof/>
        </w:rPr>
        <w:lastRenderedPageBreak/>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8"/>
      <w:r>
        <w:rPr>
          <w:rStyle w:val="CommentReference"/>
        </w:rPr>
        <w:commentReference w:id="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3</w:t>
      </w:r>
      <w:r w:rsidRPr="00B41CFA">
        <w:rPr>
          <w:b/>
          <w:bCs/>
          <w:sz w:val="20"/>
          <w:szCs w:val="20"/>
        </w:rPr>
        <w:t>. Modelled relationships between commodity price predictors and the allocation of new economic land concessions in Cambodia between 1993 – 2015. Top two rows: no time lag between predictor and response; third row: 1-year time lag between predictor and response; bottom row: 2-year time lag between predictor and response.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lastRenderedPageBreak/>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77777777" w:rsidR="009F455B" w:rsidRPr="00B41CFA" w:rsidRDefault="009F455B" w:rsidP="009F455B">
      <w:pPr>
        <w:rPr>
          <w:b/>
          <w:bCs/>
          <w:sz w:val="20"/>
          <w:szCs w:val="20"/>
        </w:rPr>
      </w:pPr>
      <w:r w:rsidRPr="00B41CFA">
        <w:rPr>
          <w:b/>
          <w:bCs/>
          <w:sz w:val="20"/>
          <w:szCs w:val="20"/>
        </w:rPr>
        <w:t xml:space="preserve">Figure </w:t>
      </w:r>
      <w:r>
        <w:rPr>
          <w:b/>
          <w:bCs/>
          <w:sz w:val="20"/>
          <w:szCs w:val="20"/>
        </w:rPr>
        <w:t>4</w:t>
      </w:r>
      <w:r w:rsidRPr="00B41CFA">
        <w:rPr>
          <w:b/>
          <w:bCs/>
          <w:sz w:val="20"/>
          <w:szCs w:val="20"/>
        </w:rPr>
        <w:t xml:space="preserve">. Modelled relationships between producer price predictors and the allocation of new economic land concessions Cambodia between 1993 – 2015. 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DCED379" w:rsidR="006F2311" w:rsidRDefault="006F2311" w:rsidP="006F2311">
      <w:r>
        <w:t xml:space="preserve">In this study, we have modelled the relationships between macroeconomic and socioeconomic variables and forest loss, forest cover, and the development of new ELCs. We have investigated these relationships at multiple scales using a variety of approaches and have revealed some important relationships from which we can make cautious inferences regarding direct and indirect drivers of forest loss. Furthermore, we have revealed key methodological issues, particularly around scale and model variance, that are likely to be common in these types of analyses, but which often remain unexplored or unreported in the literature. </w:t>
      </w:r>
    </w:p>
    <w:p w14:paraId="219D6307" w14:textId="77777777" w:rsidR="006F2311" w:rsidRDefault="006F2311" w:rsidP="006F2311">
      <w:r>
        <w:lastRenderedPageBreak/>
        <w:t xml:space="preserve">There were very few significant effects in the macroeconomic analysis with forest loss as the response variable. Some of the predictor variables have been shown to correlate with LUC in other studies, such as GDP </w:t>
      </w:r>
      <w:r>
        <w:fldChar w:fldCharType="begin"/>
      </w:r>
      <w:r>
        <w:instrText xml:space="preserve"> ADDIN ZOTERO_ITEM CSL_CITATION {"citationID":"OCVMnIfZ","properties":{"formattedCitation":"(Ewers, 2006; Fan and Ding, 2016; Gong et al., 2013; Kuang et al., 2016)","plainCitation":"(Ewers, 2006; Fan and Ding, 2016; Gong et al., 2013; Kuang et al.,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Pr="000467D9">
        <w:rPr>
          <w:rFonts w:ascii="Calibri" w:hAnsi="Calibri" w:cs="Calibri"/>
        </w:rPr>
        <w:t xml:space="preserve">(Ewers, 2006; Fan and Ding, 2016; Gong et al., 2013; </w:t>
      </w:r>
      <w:proofErr w:type="spellStart"/>
      <w:r w:rsidRPr="000467D9">
        <w:rPr>
          <w:rFonts w:ascii="Calibri" w:hAnsi="Calibri" w:cs="Calibri"/>
        </w:rPr>
        <w:t>Kuang</w:t>
      </w:r>
      <w:proofErr w:type="spellEnd"/>
      <w:r w:rsidRPr="000467D9">
        <w:rPr>
          <w:rFonts w:ascii="Calibri" w:hAnsi="Calibri" w:cs="Calibri"/>
        </w:rPr>
        <w:t xml:space="preserve"> et al., 2016)</w:t>
      </w:r>
      <w:r>
        <w:fldChar w:fldCharType="end"/>
      </w:r>
      <w:r>
        <w:t xml:space="preserve">, the contribution of economic sectors to national GDP </w:t>
      </w:r>
      <w:r>
        <w:fldChar w:fldCharType="begin"/>
      </w:r>
      <w:r>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467D9">
        <w:rPr>
          <w:rFonts w:ascii="Calibri" w:hAnsi="Calibri" w:cs="Calibri"/>
        </w:rPr>
        <w:t>(Gong et al., 2013)</w:t>
      </w:r>
      <w:r>
        <w:fldChar w:fldCharType="end"/>
      </w:r>
      <w:r>
        <w:t xml:space="preserve">, human population growth and density </w:t>
      </w:r>
      <w:r>
        <w:fldChar w:fldCharType="begin"/>
      </w:r>
      <w:r>
        <w:instrText xml:space="preserve"> ADDIN ZOTERO_ITEM CSL_CITATION {"citationID":"FgOAx51a","properties":{"formattedCitation":"(Bonilla-Bedoya et al., 2018; Fan and Ding, 2016)","plainCitation":"(Bonilla-Bedoya et al., 2018; Fan and Ding, 2016)","noteIndex":0},"citationItems":[{"id":179,"uris":["http://zotero.org/users/2170232/items/WZLMGHYE"],"uri":["http://zotero.org/users/2170232/items/WZLMGHYE"],"itemData":{"id":179,"type":"article-journal","abstract":"The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0467D9">
        <w:rPr>
          <w:rFonts w:ascii="Calibri" w:hAnsi="Calibri" w:cs="Calibri"/>
        </w:rPr>
        <w:t>(Bonilla-Bedoya et al., 2018; Fan and Ding, 2016)</w:t>
      </w:r>
      <w:r>
        <w:fldChar w:fldCharType="end"/>
      </w:r>
      <w:r>
        <w:t xml:space="preserve">, and agricultural output </w:t>
      </w:r>
      <w:r>
        <w:fldChar w:fldCharType="begin"/>
      </w:r>
      <w:r>
        <w:instrText xml:space="preserve"> ADDIN ZOTERO_ITEM CSL_CITATION {"citationID":"gGsXQX2h","properties":{"formattedCitation":"(Fan and Ding, 2016)","plainCitation":"(Fan and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Pr="000467D9">
        <w:rPr>
          <w:rFonts w:ascii="Calibri" w:hAnsi="Calibri" w:cs="Calibri"/>
        </w:rPr>
        <w:t>(Fan and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commentRangeStart w:id="9"/>
      <w:r>
        <w:t>unique within Asia</w:t>
      </w:r>
      <w:commentRangeEnd w:id="9"/>
      <w:r>
        <w:rPr>
          <w:rStyle w:val="CommentReference"/>
        </w:rPr>
        <w:commentReference w:id="9"/>
      </w:r>
      <w:r>
        <w:t xml:space="preserve"> because of the civil unrest and war, economic collapse, and subsequent rapid economic revival.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Pr="00C13023">
        <w:rPr>
          <w:rFonts w:ascii="Calibri" w:hAnsi="Calibri" w:cs="Calibri"/>
        </w:rPr>
        <w:t>(</w:t>
      </w:r>
      <w:proofErr w:type="spellStart"/>
      <w:r w:rsidRPr="00C13023">
        <w:rPr>
          <w:rFonts w:ascii="Calibri" w:hAnsi="Calibri" w:cs="Calibri"/>
        </w:rPr>
        <w:t>Culas</w:t>
      </w:r>
      <w:proofErr w:type="spellEnd"/>
      <w:r w:rsidRPr="00C13023">
        <w:rPr>
          <w:rFonts w:ascii="Calibri" w:hAnsi="Calibri" w:cs="Calibri"/>
        </w:rPr>
        <w:t>, 2007)</w:t>
      </w:r>
      <w:r>
        <w:fldChar w:fldCharType="end"/>
      </w:r>
      <w:r>
        <w:t>. Fourth, we only investigated up to two years of time lag between changes in predictor variables and changes in forest cover.</w:t>
      </w:r>
      <w:commentRangeStart w:id="10"/>
      <w:r>
        <w:t xml:space="preserve"> It is possible that the effects of macroeconomics on forest cover and LUC operate at a larger temporal scale than considered in this study</w:t>
      </w:r>
      <w:proofErr w:type="gramStart"/>
      <w:r>
        <w:t xml:space="preserve">.  </w:t>
      </w:r>
      <w:proofErr w:type="gramEnd"/>
      <w:r>
        <w:t xml:space="preserve">     </w:t>
      </w:r>
      <w:commentRangeEnd w:id="10"/>
      <w:r>
        <w:rPr>
          <w:rStyle w:val="CommentReference"/>
        </w:rPr>
        <w:commentReference w:id="10"/>
      </w:r>
    </w:p>
    <w:p w14:paraId="2DECDAB0" w14:textId="77777777" w:rsidR="006F2311"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Pr="00C26A0C">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Pr="00C26A0C">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economic development of the country was closely linked to the increase in ELCs, </w:t>
      </w:r>
      <w:commentRangeStart w:id="11"/>
      <w:r>
        <w:t xml:space="preserve">which in turn have driven forest loss. </w:t>
      </w:r>
      <w:commentRangeEnd w:id="11"/>
      <w:r>
        <w:rPr>
          <w:rStyle w:val="CommentReference"/>
        </w:rPr>
        <w:commentReference w:id="11"/>
      </w:r>
      <w:r>
        <w:t xml:space="preserve">There were clear relationships between the size of the agricultural sector, the rates of foreign investment, and the number of new ELCs. The process of awarding ELC contracts in Cambodia has been criticised for lacking transparency and for corruption </w:t>
      </w:r>
      <w:r>
        <w:fldChar w:fldCharType="begin"/>
      </w:r>
      <w:r>
        <w:instrText xml:space="preserve"> ADDIN ZOTERO_ITEM CSL_CITATION {"citationID":"ZEOqCtHg","properties":{"formattedCitation":"(Neef et al., 2013; Vrieze and Kuch, 2012)","plainCitation":"(Neef et al., 2013; Vrieze and Kuch, 2012)","noteIndex":0},"citationItems":[{"id":2486,"uris":["http://zotero.org/users/2170232/items/2HCRAVQT"],"uri":["http://zotero.org/users/2170232/items/2HCRAVQT"],"itemData":{"id":2486,"type":"article-journal","abstract":"In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Pr="00F64F35">
        <w:rPr>
          <w:rFonts w:ascii="Calibri" w:hAnsi="Calibri" w:cs="Calibri"/>
        </w:rPr>
        <w:t>(</w:t>
      </w:r>
      <w:proofErr w:type="spellStart"/>
      <w:r w:rsidRPr="00F64F35">
        <w:rPr>
          <w:rFonts w:ascii="Calibri" w:hAnsi="Calibri" w:cs="Calibri"/>
        </w:rPr>
        <w:t>Neef</w:t>
      </w:r>
      <w:proofErr w:type="spellEnd"/>
      <w:r w:rsidRPr="00F64F35">
        <w:rPr>
          <w:rFonts w:ascii="Calibri" w:hAnsi="Calibri" w:cs="Calibri"/>
        </w:rPr>
        <w:t xml:space="preserve"> et al., 2013; </w:t>
      </w:r>
      <w:proofErr w:type="spellStart"/>
      <w:r w:rsidRPr="00F64F35">
        <w:rPr>
          <w:rFonts w:ascii="Calibri" w:hAnsi="Calibri" w:cs="Calibri"/>
        </w:rPr>
        <w:t>Vrieze</w:t>
      </w:r>
      <w:proofErr w:type="spellEnd"/>
      <w:r w:rsidRPr="00F64F35">
        <w:rPr>
          <w:rFonts w:ascii="Calibri" w:hAnsi="Calibri" w:cs="Calibri"/>
        </w:rPr>
        <w:t xml:space="preserve"> and </w:t>
      </w:r>
      <w:proofErr w:type="spellStart"/>
      <w:r w:rsidRPr="00F64F35">
        <w:rPr>
          <w:rFonts w:ascii="Calibri" w:hAnsi="Calibri" w:cs="Calibri"/>
        </w:rPr>
        <w:t>Kuch</w:t>
      </w:r>
      <w:proofErr w:type="spellEnd"/>
      <w:r w:rsidRPr="00F64F35">
        <w:rPr>
          <w:rFonts w:ascii="Calibri" w:hAnsi="Calibri" w:cs="Calibri"/>
        </w:rPr>
        <w:t>, 2012)</w:t>
      </w:r>
      <w:r>
        <w:fldChar w:fldCharType="end"/>
      </w:r>
      <w:r>
        <w:t xml:space="preserve">, and so it is not always possible to identify who owns a particular concession. Nevertheless, of those identified, 48% were foreign owned </w:t>
      </w:r>
      <w:r>
        <w:fldChar w:fldCharType="begin"/>
      </w:r>
      <w:r>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Pr="0098233C">
        <w:rPr>
          <w:rFonts w:ascii="Calibri" w:hAnsi="Calibri" w:cs="Calibri"/>
        </w:rPr>
        <w:t>(</w:t>
      </w:r>
      <w:proofErr w:type="spellStart"/>
      <w:r w:rsidRPr="0098233C">
        <w:rPr>
          <w:rFonts w:ascii="Calibri" w:hAnsi="Calibri" w:cs="Calibri"/>
        </w:rPr>
        <w:t>Licadho</w:t>
      </w:r>
      <w:proofErr w:type="spellEnd"/>
      <w:r w:rsidRPr="0098233C">
        <w:rPr>
          <w:rFonts w:ascii="Calibri" w:hAnsi="Calibri" w:cs="Calibri"/>
        </w:rPr>
        <w:t>, 2019)</w:t>
      </w:r>
      <w:r>
        <w:fldChar w:fldCharType="end"/>
      </w:r>
      <w:r>
        <w:t xml:space="preserve">. Despite real and perceived benefits of attracting foreign investment and expanding the production of cash crops, there are numerous negative effects on local people and the environment. Development of potential agricultural land by investors comes with opportunity costs for local people, who otherwise may have had access to the land, water, and other resources, and could have themselves developed agriculture that would have alleviated poverty more effectively than a commercial agricultural enterprise. Furthermore, agro-industrial production of cash crops for international markets leaves the country open to price shocks and other suboptimal market fluctuations </w:t>
      </w:r>
      <w:r>
        <w:fldChar w:fldCharType="begin"/>
      </w:r>
      <w:r>
        <w:instrText xml:space="preserve"> ADDIN ZOTERO_ITEM CSL_CITATION {"citationID":"HGKLJYut","properties":{"formattedCitation":"(De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fldChar w:fldCharType="separate"/>
      </w:r>
      <w:r w:rsidRPr="0098233C">
        <w:rPr>
          <w:rFonts w:ascii="Calibri" w:hAnsi="Calibri" w:cs="Calibri"/>
        </w:rPr>
        <w:t xml:space="preserve">(De </w:t>
      </w:r>
      <w:proofErr w:type="spellStart"/>
      <w:r w:rsidRPr="0098233C">
        <w:rPr>
          <w:rFonts w:ascii="Calibri" w:hAnsi="Calibri" w:cs="Calibri"/>
        </w:rPr>
        <w:t>Schutter</w:t>
      </w:r>
      <w:proofErr w:type="spellEnd"/>
      <w:r w:rsidRPr="0098233C">
        <w:rPr>
          <w:rFonts w:ascii="Calibri" w:hAnsi="Calibri" w:cs="Calibri"/>
        </w:rPr>
        <w:t>, 2011)</w:t>
      </w:r>
      <w:r>
        <w:fldChar w:fldCharType="end"/>
      </w:r>
      <w:r>
        <w:t xml:space="preserve">. </w:t>
      </w:r>
    </w:p>
    <w:p w14:paraId="728E4EED" w14:textId="69AA5038" w:rsidR="006F2311" w:rsidRDefault="006F2311" w:rsidP="006F2311">
      <w:r>
        <w:t xml:space="preserve">Changes in new ELC allocation can also be effectively predicted by several key agricultural commodity prices, both on the international market and internally at the farmgate scale. Rubber, sugar, corn, and rice we all important variables in the models, and increases in the market prices of these commodities can predict increases in the allocation of ELCs. Importantly, there were differences in the effects of commodity and producer prices on ELC allocation at different time lags, suggesting that either investors will delay investing in a new crop for up to two years after the prices increase, or that the process of purchasing land and establishing an ELC venture can in some cases </w:t>
      </w:r>
      <w:r>
        <w:lastRenderedPageBreak/>
        <w:t xml:space="preserve">be a slow process. International market forces are known to drive LUC, and globally, land conversion for commodity production is the single largest driver of deforestation </w:t>
      </w:r>
      <w:r>
        <w:fldChar w:fldCharType="begin"/>
      </w:r>
      <w:r>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fldChar w:fldCharType="separate"/>
      </w:r>
      <w:r w:rsidRPr="004D60CD">
        <w:rPr>
          <w:rFonts w:ascii="Calibri" w:hAnsi="Calibri" w:cs="Calibri"/>
        </w:rPr>
        <w:t>(Curtis et al., 2018)</w:t>
      </w:r>
      <w:r>
        <w:fldChar w:fldCharType="end"/>
      </w:r>
      <w:r>
        <w:t xml:space="preserve">. </w:t>
      </w:r>
      <w:commentRangeStart w:id="12"/>
      <w:r>
        <w:fldChar w:fldCharType="begin"/>
      </w:r>
      <w:r>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fldChar w:fldCharType="separate"/>
      </w:r>
      <w:r w:rsidRPr="00C00A42">
        <w:rPr>
          <w:rFonts w:ascii="Calibri" w:hAnsi="Calibri" w:cs="Calibri"/>
        </w:rPr>
        <w:t xml:space="preserve">Grogan et al </w:t>
      </w:r>
      <w:r>
        <w:rPr>
          <w:rFonts w:ascii="Calibri" w:hAnsi="Calibri" w:cs="Calibri"/>
        </w:rPr>
        <w:t>(</w:t>
      </w:r>
      <w:r w:rsidRPr="00C00A42">
        <w:rPr>
          <w:rFonts w:ascii="Calibri" w:hAnsi="Calibri" w:cs="Calibri"/>
        </w:rPr>
        <w:t>2015)</w:t>
      </w:r>
      <w:r>
        <w:fldChar w:fldCharType="end"/>
      </w:r>
      <w:r>
        <w:t xml:space="preserve"> provide an empirical example of how the international market price of rubber can drive deforestation in frontier areas of Cambodia and Vietnam</w:t>
      </w:r>
      <w:commentRangeEnd w:id="12"/>
      <w:r>
        <w:rPr>
          <w:rStyle w:val="CommentReference"/>
        </w:rPr>
        <w:commentReference w:id="12"/>
      </w:r>
      <w:r>
        <w:t xml:space="preserve">. Understanding which commodities are driving land conversion, the strength of the effects, the time lags, and the legal and institutional mechanisms that facilitate the link between prices and forest loss, is critical for predicting future forest loss. </w:t>
      </w:r>
      <w:commentRangeStart w:id="13"/>
      <w:r>
        <w:t>The Cambodian Prime Minister issued a moratorium on new ELCs in 2012, which drastically reduced (although did not eliminate) ELC allocation</w:t>
      </w:r>
      <w:commentRangeEnd w:id="13"/>
      <w:r>
        <w:rPr>
          <w:rStyle w:val="CommentReference"/>
        </w:rPr>
        <w:commentReference w:id="13"/>
      </w:r>
      <w:r>
        <w:t xml:space="preserve">. Although this has had a positive effect on forests, rural livelihoods, and indigenous land tenure, it is unclear how long this reprieve will last </w:t>
      </w:r>
      <w:r>
        <w:fldChar w:fldCharType="begin"/>
      </w:r>
      <w:r>
        <w:instrText xml:space="preserve"> ADDIN ZOTERO_ITEM CSL_CITATION {"citationID":"6Ox1VdRJ","properties":{"formattedCitation":"(Davis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Pr="00B65E3B">
        <w:rPr>
          <w:rFonts w:ascii="Calibri" w:hAnsi="Calibri" w:cs="Calibri"/>
        </w:rPr>
        <w:t>(Davis et al., 2015)</w:t>
      </w:r>
      <w:r>
        <w:fldChar w:fldCharType="end"/>
      </w:r>
      <w:r>
        <w:t xml:space="preserve">, or whether a new mechanism will emerge to replace ELCs. The opaque legal mechanisms and weak institutional frameworks that governed ELCs in the past are likely to continue to hinder the development of sustainable agricultural policies. The relationships between macroeconomics, commodity prices, and industrial-scale agriculture identified in this study are likely replicated across the region, and therefore these results will be of use to researchers and policy makers outside Cambodia. </w:t>
      </w:r>
    </w:p>
    <w:p w14:paraId="72938D37" w14:textId="77777777" w:rsidR="006F2311" w:rsidRDefault="006F2311" w:rsidP="006F2311"/>
    <w:p w14:paraId="66D15937" w14:textId="413312FC" w:rsidR="000A46B5" w:rsidRPr="002E4677" w:rsidRDefault="002E4677" w:rsidP="000A46B5">
      <w:pPr>
        <w:rPr>
          <w:b/>
          <w:bCs/>
        </w:rPr>
      </w:pPr>
      <w:r w:rsidRPr="002E4677">
        <w:rPr>
          <w:b/>
          <w:bCs/>
        </w:rPr>
        <w:t xml:space="preserve"> </w:t>
      </w:r>
    </w:p>
    <w:sectPr w:rsidR="000A46B5"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atharine Abernethy" w:date="2021-09-29T11:40:00Z" w:initials="KA">
    <w:p w14:paraId="708A1937" w14:textId="77777777" w:rsidR="000A46B5" w:rsidRDefault="000A46B5" w:rsidP="000A46B5">
      <w:pPr>
        <w:pStyle w:val="CommentText"/>
      </w:pPr>
      <w:r>
        <w:rPr>
          <w:rStyle w:val="CommentReference"/>
        </w:rPr>
        <w:annotationRef/>
      </w:r>
      <w:r>
        <w:t>Explain why this is an appropriate and reliable data source and where it is available. It seems that this data should come from government.</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3" w:author="Katharine Abernethy" w:date="2021-09-29T14:33:00Z" w:initials="KA">
    <w:p w14:paraId="1432C569" w14:textId="77777777" w:rsidR="000A46B5" w:rsidRDefault="000A46B5" w:rsidP="000A46B5">
      <w:pPr>
        <w:pStyle w:val="CommentText"/>
      </w:pPr>
      <w:r>
        <w:rPr>
          <w:rStyle w:val="CommentReference"/>
        </w:rPr>
        <w:annotationRef/>
      </w:r>
      <w:r>
        <w:t xml:space="preserve">Do you believe that there is really no link? </w:t>
      </w:r>
    </w:p>
  </w:comment>
  <w:comment w:id="4" w:author="Katharine Abernethy" w:date="2021-09-29T14:32:00Z" w:initials="KA">
    <w:p w14:paraId="7ACC02A4" w14:textId="77777777" w:rsidR="000A46B5" w:rsidRDefault="000A46B5" w:rsidP="000A46B5">
      <w:pPr>
        <w:pStyle w:val="CommentText"/>
      </w:pPr>
      <w:r>
        <w:rPr>
          <w:rStyle w:val="CommentReference"/>
        </w:rPr>
        <w:annotationRef/>
      </w:r>
      <w:r>
        <w:t>And counter intuitive</w:t>
      </w:r>
    </w:p>
  </w:comment>
  <w:comment w:id="5" w:author="Matthew Nuttall" w:date="2021-07-08T17:11:00Z" w:initials="MN">
    <w:p w14:paraId="7F8E41F0" w14:textId="77777777" w:rsidR="000A46B5" w:rsidRDefault="000A46B5" w:rsidP="000A46B5">
      <w:pPr>
        <w:pStyle w:val="CommentText"/>
      </w:pPr>
      <w:r>
        <w:rPr>
          <w:rStyle w:val="CommentReference"/>
        </w:rPr>
        <w:annotationRef/>
      </w:r>
      <w:r>
        <w:t>These are the largest effects based on the rate ratios which are the exp(coefficient). These are supposed to be what you would multiply the response by to get the new response after a 1 unit increase in the predictor. But the plots below (Fig 2) make it look like the foreign direct investment at 1 year lag is a steeper slope. I’m a bit confused….</w:t>
      </w:r>
    </w:p>
  </w:comment>
  <w:comment w:id="6" w:author="Katharine Abernethy" w:date="2021-09-29T14:35:00Z" w:initials="KA">
    <w:p w14:paraId="0F8497D7" w14:textId="77777777" w:rsidR="000A46B5" w:rsidRDefault="000A46B5" w:rsidP="000A46B5">
      <w:pPr>
        <w:pStyle w:val="CommentText"/>
      </w:pPr>
      <w:r>
        <w:rPr>
          <w:rStyle w:val="CommentReference"/>
        </w:rPr>
        <w:annotationRef/>
      </w:r>
      <w:r>
        <w:t xml:space="preserve">So am I. The </w:t>
      </w:r>
    </w:p>
  </w:comment>
  <w:comment w:id="7" w:author="Katharine Abernethy" w:date="2021-09-29T14:39:00Z" w:initials="KA">
    <w:p w14:paraId="6CC1CC20" w14:textId="77777777" w:rsidR="000A46B5" w:rsidRDefault="000A46B5" w:rsidP="000A46B5">
      <w:pPr>
        <w:pStyle w:val="CommentText"/>
      </w:pPr>
      <w:r>
        <w:rPr>
          <w:rStyle w:val="CommentReference"/>
        </w:rPr>
        <w:annotationRef/>
      </w:r>
      <w:r>
        <w:t xml:space="preserve">Is this Results? Sounds more like discussion and, </w:t>
      </w:r>
      <w:proofErr w:type="spellStart"/>
      <w:r>
        <w:t>tbh</w:t>
      </w:r>
      <w:proofErr w:type="spellEnd"/>
      <w:r>
        <w:t>, isn’t making the text any clearer here.</w:t>
      </w:r>
    </w:p>
  </w:comment>
  <w:comment w:id="8"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9" w:author="Katharine Abernethy" w:date="2021-09-29T15:01:00Z" w:initials="KA">
    <w:p w14:paraId="5876D4C1" w14:textId="77777777" w:rsidR="006F2311" w:rsidRDefault="006F2311" w:rsidP="006F2311">
      <w:pPr>
        <w:pStyle w:val="CommentText"/>
      </w:pPr>
      <w:r>
        <w:rPr>
          <w:rStyle w:val="CommentReference"/>
        </w:rPr>
        <w:annotationRef/>
      </w:r>
      <w:r>
        <w:t>Didn’t these things also happen to Viet Nam and Japan?</w:t>
      </w:r>
    </w:p>
  </w:comment>
  <w:comment w:id="10" w:author="Katharine Abernethy" w:date="2021-09-29T15:03:00Z" w:initials="KA">
    <w:p w14:paraId="61CCD74A" w14:textId="77777777" w:rsidR="006F2311" w:rsidRDefault="006F2311" w:rsidP="006F2311">
      <w:pPr>
        <w:pStyle w:val="CommentText"/>
      </w:pPr>
      <w:r>
        <w:rPr>
          <w:rStyle w:val="CommentReference"/>
        </w:rPr>
        <w:annotationRef/>
      </w:r>
      <w:r>
        <w:t xml:space="preserve">Seems a bit vague can you make a more educated guess? </w:t>
      </w:r>
    </w:p>
  </w:comment>
  <w:comment w:id="11" w:author="Katharine Abernethy" w:date="2021-09-29T15:04:00Z" w:initials="KA">
    <w:p w14:paraId="0A6C104C" w14:textId="77777777" w:rsidR="006F2311" w:rsidRDefault="006F2311" w:rsidP="006F2311">
      <w:pPr>
        <w:pStyle w:val="CommentText"/>
      </w:pPr>
      <w:r>
        <w:rPr>
          <w:rStyle w:val="CommentReference"/>
        </w:rPr>
        <w:annotationRef/>
      </w:r>
      <w:r>
        <w:t xml:space="preserve">Have you shown that or is that speculation? </w:t>
      </w:r>
    </w:p>
  </w:comment>
  <w:comment w:id="12" w:author="Katharine Abernethy" w:date="2021-09-29T15:06:00Z" w:initials="KA">
    <w:p w14:paraId="6EB9E1FD" w14:textId="77777777" w:rsidR="006F2311" w:rsidRDefault="006F2311" w:rsidP="006F2311">
      <w:pPr>
        <w:pStyle w:val="CommentText"/>
      </w:pPr>
      <w:r>
        <w:rPr>
          <w:rStyle w:val="CommentReference"/>
        </w:rPr>
        <w:annotationRef/>
      </w:r>
      <w:r>
        <w:t xml:space="preserve">Doe </w:t>
      </w:r>
      <w:proofErr w:type="spellStart"/>
      <w:r>
        <w:t>stheir</w:t>
      </w:r>
      <w:proofErr w:type="spellEnd"/>
      <w:r>
        <w:t xml:space="preserve"> analysis shed any light on how your model for macroeconomics performs? </w:t>
      </w:r>
    </w:p>
  </w:comment>
  <w:comment w:id="13" w:author="Katharine Abernethy" w:date="2021-09-29T15:08:00Z" w:initials="KA">
    <w:p w14:paraId="6C1F9175" w14:textId="77777777" w:rsidR="006F2311" w:rsidRDefault="006F2311" w:rsidP="006F2311">
      <w:pPr>
        <w:pStyle w:val="CommentText"/>
      </w:pPr>
      <w:r>
        <w:rPr>
          <w:rStyle w:val="CommentReference"/>
        </w:rPr>
        <w:annotationRef/>
      </w:r>
      <w:r>
        <w:t xml:space="preserve">Seems important to include that somewhere in the modelling, would it be worth truncating your data </w:t>
      </w:r>
      <w:proofErr w:type="gramStart"/>
      <w:r>
        <w:t>at</w:t>
      </w:r>
      <w:proofErr w:type="gramEnd"/>
      <w:r>
        <w:t xml:space="preserve"> 2012 to avoid this period?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08A1937" w15:done="0"/>
  <w15:commentEx w15:paraId="2D5FA456" w15:done="0"/>
  <w15:commentEx w15:paraId="49303429" w15:done="0"/>
  <w15:commentEx w15:paraId="1432C569" w15:done="0"/>
  <w15:commentEx w15:paraId="7ACC02A4" w15:done="0"/>
  <w15:commentEx w15:paraId="7F8E41F0" w15:done="0"/>
  <w15:commentEx w15:paraId="0F8497D7" w15:paraIdParent="7F8E41F0" w15:done="0"/>
  <w15:commentEx w15:paraId="6CC1CC20" w15:done="0"/>
  <w15:commentEx w15:paraId="60B0B8AE" w15:done="0"/>
  <w15:commentEx w15:paraId="5876D4C1" w15:done="0"/>
  <w15:commentEx w15:paraId="61CCD74A" w15:done="0"/>
  <w15:commentEx w15:paraId="0A6C104C" w15:done="0"/>
  <w15:commentEx w15:paraId="6EB9E1FD" w15:done="0"/>
  <w15:commentEx w15:paraId="6C1F9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ECF3D" w16cex:dateUtc="2021-09-29T10:40:00Z"/>
  <w16cex:commentExtensible w16cex:durableId="24FEE438" w16cex:dateUtc="2021-09-29T12:10:00Z"/>
  <w16cex:commentExtensible w16cex:durableId="24647106" w16cex:dateUtc="2021-06-04T08:29:00Z"/>
  <w16cex:commentExtensible w16cex:durableId="24FEF7A6" w16cex:dateUtc="2021-09-29T13:33:00Z"/>
  <w16cex:commentExtensible w16cex:durableId="24FEF76C" w16cex:dateUtc="2021-09-29T13:32:00Z"/>
  <w16cex:commentExtensible w16cex:durableId="2491B056" w16cex:dateUtc="2021-07-08T16:11:00Z"/>
  <w16cex:commentExtensible w16cex:durableId="24FEF831" w16cex:dateUtc="2021-09-29T13:35:00Z"/>
  <w16cex:commentExtensible w16cex:durableId="24FEF905" w16cex:dateUtc="2021-09-29T13:39:00Z"/>
  <w16cex:commentExtensible w16cex:durableId="24FEFA42" w16cex:dateUtc="2021-09-29T13:44:00Z"/>
  <w16cex:commentExtensible w16cex:durableId="24FEFE30" w16cex:dateUtc="2021-09-29T14:01:00Z"/>
  <w16cex:commentExtensible w16cex:durableId="24FEFECE" w16cex:dateUtc="2021-09-29T14:03:00Z"/>
  <w16cex:commentExtensible w16cex:durableId="24FEFF1B" w16cex:dateUtc="2021-09-29T14:04:00Z"/>
  <w16cex:commentExtensible w16cex:durableId="24FEFF7F" w16cex:dateUtc="2021-09-29T14:06:00Z"/>
  <w16cex:commentExtensible w16cex:durableId="24FEFFD6" w16cex:dateUtc="2021-09-29T14: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08A1937" w16cid:durableId="24FECF3D"/>
  <w16cid:commentId w16cid:paraId="2D5FA456" w16cid:durableId="24FEE438"/>
  <w16cid:commentId w16cid:paraId="49303429" w16cid:durableId="24647106"/>
  <w16cid:commentId w16cid:paraId="1432C569" w16cid:durableId="24FEF7A6"/>
  <w16cid:commentId w16cid:paraId="7ACC02A4" w16cid:durableId="24FEF76C"/>
  <w16cid:commentId w16cid:paraId="7F8E41F0" w16cid:durableId="2491B056"/>
  <w16cid:commentId w16cid:paraId="0F8497D7" w16cid:durableId="24FEF831"/>
  <w16cid:commentId w16cid:paraId="6CC1CC20" w16cid:durableId="24FEF905"/>
  <w16cid:commentId w16cid:paraId="60B0B8AE" w16cid:durableId="24FEFA42"/>
  <w16cid:commentId w16cid:paraId="5876D4C1" w16cid:durableId="24FEFE30"/>
  <w16cid:commentId w16cid:paraId="61CCD74A" w16cid:durableId="24FEFECE"/>
  <w16cid:commentId w16cid:paraId="0A6C104C" w16cid:durableId="24FEFF1B"/>
  <w16cid:commentId w16cid:paraId="6EB9E1FD" w16cid:durableId="24FEFF7F"/>
  <w16cid:commentId w16cid:paraId="6C1F9175" w16cid:durableId="24FEFFD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tharine Abernethy">
    <w15:presenceInfo w15:providerId="AD" w15:userId="S::ka7@stir.ac.uk::73552a5e-c7b9-4b5a-a6b8-75baee8b728a"/>
  </w15:person>
  <w15:person w15:author="Matthew Nuttall">
    <w15:presenceInfo w15:providerId="AD" w15:userId="S::mnn1@stir.ac.uk::52bda326-1982-4d2e-bfc2-66e5e0894b6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A46B5"/>
    <w:rsid w:val="002E4677"/>
    <w:rsid w:val="005252BE"/>
    <w:rsid w:val="005760C1"/>
    <w:rsid w:val="006F2311"/>
    <w:rsid w:val="008B6ED5"/>
    <w:rsid w:val="009F45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microsoft.com/office/2011/relationships/people" Target="people.xml"/><Relationship Id="rId3" Type="http://schemas.openxmlformats.org/officeDocument/2006/relationships/webSettings" Target="web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image" Target="media/image1.png"/><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15</Pages>
  <Words>15712</Words>
  <Characters>89564</Characters>
  <Application>Microsoft Office Word</Application>
  <DocSecurity>0</DocSecurity>
  <Lines>746</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cp:revision>
  <dcterms:created xsi:type="dcterms:W3CDTF">2021-10-14T13:12:00Z</dcterms:created>
  <dcterms:modified xsi:type="dcterms:W3CDTF">2021-10-14T20:07:00Z</dcterms:modified>
</cp:coreProperties>
</file>