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DFC89" w14:textId="3DCFCF4D" w:rsidR="00612128" w:rsidRDefault="000A46B5">
      <w:pPr>
        <w:rPr>
          <w:b/>
          <w:bCs/>
        </w:rPr>
      </w:pPr>
      <w:r>
        <w:rPr>
          <w:b/>
          <w:bCs/>
        </w:rPr>
        <w:t>Introduction</w:t>
      </w:r>
    </w:p>
    <w:p w14:paraId="07172C8A" w14:textId="5B2E728C" w:rsidR="00FD012C" w:rsidRPr="006C7758" w:rsidRDefault="00FD012C">
      <w:pPr>
        <w:rPr>
          <w:i/>
          <w:iCs/>
        </w:rPr>
      </w:pPr>
      <w:r w:rsidRPr="006C7758">
        <w:rPr>
          <w:i/>
          <w:iCs/>
        </w:rPr>
        <w:t xml:space="preserve">Economic and agricultural drivers of forest loss around the world. </w:t>
      </w:r>
      <w:r w:rsidR="002D02E5">
        <w:rPr>
          <w:i/>
          <w:iCs/>
        </w:rPr>
        <w:t xml:space="preserve">Commodities driving global deforestation (Hoang &amp; </w:t>
      </w:r>
      <w:proofErr w:type="spellStart"/>
      <w:r w:rsidR="002D02E5">
        <w:rPr>
          <w:i/>
          <w:iCs/>
        </w:rPr>
        <w:t>Kanemoto</w:t>
      </w:r>
      <w:proofErr w:type="spellEnd"/>
      <w:r w:rsidR="002D02E5">
        <w:rPr>
          <w:i/>
          <w:iCs/>
        </w:rPr>
        <w:t xml:space="preserve"> 21</w:t>
      </w:r>
      <w:r w:rsidR="007E4D4B">
        <w:rPr>
          <w:i/>
          <w:iCs/>
        </w:rPr>
        <w:t>, Curtis et al 2018</w:t>
      </w:r>
      <w:r w:rsidR="00E30129">
        <w:rPr>
          <w:i/>
          <w:iCs/>
        </w:rPr>
        <w:t xml:space="preserve">, </w:t>
      </w:r>
      <w:proofErr w:type="spellStart"/>
      <w:r w:rsidR="00E30129">
        <w:rPr>
          <w:i/>
          <w:iCs/>
        </w:rPr>
        <w:t>Pendrill</w:t>
      </w:r>
      <w:proofErr w:type="spellEnd"/>
      <w:r w:rsidR="00E30129">
        <w:rPr>
          <w:i/>
          <w:iCs/>
        </w:rPr>
        <w:t xml:space="preserve"> 2019</w:t>
      </w:r>
      <w:r w:rsidR="002D02E5">
        <w:rPr>
          <w:i/>
          <w:iCs/>
        </w:rPr>
        <w:t xml:space="preserve">). </w:t>
      </w:r>
      <w:r w:rsidRPr="006C7758">
        <w:rPr>
          <w:i/>
          <w:iCs/>
        </w:rPr>
        <w:t>Countries still aim for growing economies, especially in developing nations. Economic growth often linked to growth in the agricultural sector and extractive industries in low income countries.</w:t>
      </w:r>
      <w:r w:rsidR="00296541">
        <w:rPr>
          <w:i/>
          <w:iCs/>
        </w:rPr>
        <w:t xml:space="preserve"> Forest have always been the core material for economic development (</w:t>
      </w:r>
      <w:r w:rsidR="00DB2B52">
        <w:rPr>
          <w:i/>
          <w:iCs/>
        </w:rPr>
        <w:t>Williams 2003).</w:t>
      </w:r>
      <w:r w:rsidRPr="006C7758">
        <w:rPr>
          <w:i/>
          <w:iCs/>
        </w:rPr>
        <w:t xml:space="preserve"> These policies and growth often come at the expense of forests and other natural areas. Globally, there is evidence of a forest transition (ref?), but in many tropical countries deforestation for economic development is still big problem. </w:t>
      </w:r>
      <w:r w:rsidR="005620D2" w:rsidRPr="006C7758">
        <w:rPr>
          <w:i/>
          <w:iCs/>
        </w:rPr>
        <w:t xml:space="preserve">Sustainable land use, agricultural, and forest protection policies will be needed to reduce forest loss. Understanding the relationships between economic development and the agricultural sector on direct and indirect drivers of forest loss is crucial to develop appropriate policies and identify leverage points. </w:t>
      </w:r>
    </w:p>
    <w:p w14:paraId="19380335" w14:textId="27A21F65" w:rsidR="00DB2B52" w:rsidRPr="006C7758" w:rsidRDefault="00DB2B52">
      <w:r>
        <w:t>Deforestation resulting from human activities is one of the biggest threats to biodiversity</w:t>
      </w:r>
      <w:r w:rsidR="00811E4E">
        <w:t xml:space="preserve"> around the world </w:t>
      </w:r>
      <w:r w:rsidR="00811E4E">
        <w:fldChar w:fldCharType="begin"/>
      </w:r>
      <w:r w:rsidR="00811E4E">
        <w:instrText xml:space="preserve"> ADDIN ZOTERO_ITEM CSL_CITATION {"citationID":"XspUBFGQ","properties":{"formattedCitation":"(Estoque et al. 2019; Hoang &amp; Kanemoto 2021)","plainCitation":"(Estoque et al. 2019; Hoang &amp; Kanemoto 2021)","noteIndex":0},"citationItems":[{"id":2193,"uris":["http://zotero.org/users/2170232/items/XLXDWBAC"],"uri":["http://zotero.org/users/2170232/items/XLXDWBAC"],"itemData":{"id":2193,"type":"article-journal","abstract":"While Southeast Asia’s forests play important roles in biodiversity conservation and global carbon (C) balance, the region is also a deforestation hotspot. Here, we consider the five shared socioeconomic pathways (SSPs) to portray a range of plausible futures for the region’s forests, employing a state-of-the-art land change modelling procedure and remotely sensed data. We find that by 2050 under the worst-case scenario, SSP 3 (regional rivalry/a rocky road), the region’s forests would shrink by 5.2 million ha. The region’s aboveground forest carbon stock (AFCS) would decrease by 790 Tg C, 21% of which would be due to old-growth forest loss. Conversely, under the best-case scenario, SSP 1 (sustainability/taking the green road), the region is projected to gain 19.6 million ha of forests and 1651 Tg C of AFCS. The choice of the pathway is thus critical for the future of the region’s forests and their ecosystem functions and services.","container-title":"Nature Communications","DOI":"10.1038/s41467-019-09646-4","ISSN":"2041-1723","issue":"1","language":"en","page":"1829","source":"www.nature.com","title":"The future of Southeast Asia’s forests","volume":"10","author":[{"family":"Estoque","given":"Ronald C."},{"family":"Ooba","given":"Makoto"},{"family":"Avitabile","given":"Valerio"},{"family":"Hijioka","given":"Yasuaki"},{"family":"DasGupta","given":"Rajarshi"},{"family":"Togawa","given":"Takuya"},{"family":"Murayama","given":"Yuji"}],"issued":{"date-parts":[["2019",4,23]]}}},{"id":2634,"uris":["http://zotero.org/users/2170232/items/FYD69L4I"],"uri":["http://zotero.org/users/2170232/items/FYD69L4I"],"itemData":{"id":2634,"type":"article-journal","abstract":"Deforestation, a significant threat to biodiversity, is accelerated by global demand for commodities. Although prior literature has linked deforestation to global supply chains, here we provide a fine-scale representation of spatial patterns of deforestation associated with international trade. Using remote sensing data and a multi-region input–output model, we quantify and map the spatiotemporal changes in global deforestation footprints over 15 years (2001–2015) at a 30-m resolution. We find that, while many developed countries, China and India have obtained net forest gains domestically, they have also increased the deforestation embodied in their imports, of which tropical forests are the most threatened biome. Consumption patterns of G7 countries drive an average loss of 3.9 trees per person per year. Some of the hotspots of deforestation embodied in international trade are also biodiversity hotspots, such as in Southeast Asia, Madagascar, Liberia, Central America and the Amazonian rainforest. Our results emphasize the need to reform zero-deforestation policies through strong transnational efforts and by improving supply chain transparency, public–private engagement and financial support for the tropics.","container-title":"Nature Ecology &amp; Evolution","DOI":"10.1038/s41559-021-01417-z","ISSN":"2397-334X","language":"en","note":"publisher: Nature Publishing Group","page":"1-9","source":"www.nature.com","title":"Mapping the deforestation footprint of nations reveals growing threat to tropical forests","author":[{"family":"Hoang","given":"Nguyen Tien"},{"family":"Kanemoto","given":"Keiichiro"}],"issued":{"date-parts":[["2021",3,29]]}}}],"schema":"https://github.com/citation-style-language/schema/raw/master/csl-citation.json"} </w:instrText>
      </w:r>
      <w:r w:rsidR="00811E4E">
        <w:fldChar w:fldCharType="separate"/>
      </w:r>
      <w:r w:rsidR="00811E4E" w:rsidRPr="00811E4E">
        <w:rPr>
          <w:rFonts w:ascii="Calibri" w:hAnsi="Calibri" w:cs="Calibri"/>
        </w:rPr>
        <w:t xml:space="preserve">(Estoque et al. 2019; Hoang &amp; </w:t>
      </w:r>
      <w:proofErr w:type="spellStart"/>
      <w:r w:rsidR="00811E4E" w:rsidRPr="00811E4E">
        <w:rPr>
          <w:rFonts w:ascii="Calibri" w:hAnsi="Calibri" w:cs="Calibri"/>
        </w:rPr>
        <w:t>Kanemoto</w:t>
      </w:r>
      <w:proofErr w:type="spellEnd"/>
      <w:r w:rsidR="00811E4E" w:rsidRPr="00811E4E">
        <w:rPr>
          <w:rFonts w:ascii="Calibri" w:hAnsi="Calibri" w:cs="Calibri"/>
        </w:rPr>
        <w:t xml:space="preserve"> 2021)</w:t>
      </w:r>
      <w:r w:rsidR="00811E4E">
        <w:fldChar w:fldCharType="end"/>
      </w:r>
      <w:r w:rsidR="00811E4E">
        <w:t xml:space="preserve">, and the scale of land use change is such that the global climate is being affected </w:t>
      </w:r>
      <w:r w:rsidR="00811E4E">
        <w:fldChar w:fldCharType="begin"/>
      </w:r>
      <w:r w:rsidR="00811E4E">
        <w:instrText xml:space="preserve"> ADDIN ZOTERO_ITEM CSL_CITATION {"citationID":"PN12D8bw","properties":{"formattedCitation":"(Jiao et al. 2017)","plainCitation":"(Jiao et al. 2017)","noteIndex":0},"citationItems":[{"id":2918,"uris":["http://zotero.org/users/2170232/items/CL48AS5T"],"uri":["http://zotero.org/users/2170232/items/CL48AS5T"],"itemData":{"id":2918,"type":"article-journal","abstract":"Large-scale deforestation and reforestation have contributed substantially to historical and contemporary global climate change in part through albedo-induced radiative forcing, with meaningful implications for forest management aiming to mitigate climate change. Associated warming or cooling varies widely across the globe due to a range of factors including forest type, snow cover, and insolation, but resulting geographic variation remains poorly described and has been largely based on model assessments. This study provides an observation-based approach to quantify local and global radiative forcings from large-scale deforestation and reforestation and further examines mechanisms that result in the spatial heterogeneity of radiative forcing. We incorporate a new spatially and temporally explicit land cover-specific albedo product derived from Moderate Resolution Imaging Spectroradiometer with a historical land use data set (Land Use Harmonization product). Spatial variation in radiative forcing was attributed to four mechanisms, including the change in snow-covered albedo, change in snow-free albedo, snow cover fraction, and incoming solar radiation. We find an albedo-only radiative forcing (RF) of −0.819 W m−2 if year 2000 forests were completely deforested and converted to croplands. Albedo RF from global reforestation of present-day croplands to recover year 1700 forests is estimated to be 0.161 W m−2. Snow-cover fraction is identified as the primary factor in determining the spatial variation of radiative forcing in winter, while the magnitude of the change in snow-free albedo is the primary factor determining variations in summertime RF. Findings reinforce the notion that, for conifers at the snowier high latitudes, albedo RF diminishes the warming from forest loss and the cooling from forest gain more so than for other forest types, latitudes, and climate settings.","container-title":"Climatic Change","DOI":"10.1007/s10584-017-1962-8","ISSN":"1573-1480","issue":"3","journalAbbreviation":"Climatic Change","language":"en","page":"463-476","source":"Springer Link","title":"Global climate forcing from albedo change caused by large-scale deforestation and reforestation: quantification and attribution of geographic variation","title-short":"Global climate forcing from albedo change caused by large-scale deforestation and reforestation","volume":"142","author":[{"family":"Jiao","given":"Tong"},{"family":"Williams","given":"Christopher A."},{"family":"Ghimire","given":"Bardan"},{"family":"Masek","given":"Jeffrey"},{"family":"Gao","given":"Feng"},{"family":"Schaaf","given":"Crystal"}],"issued":{"date-parts":[["2017",6,1]]}}}],"schema":"https://github.com/citation-style-language/schema/raw/master/csl-citation.json"} </w:instrText>
      </w:r>
      <w:r w:rsidR="00811E4E">
        <w:fldChar w:fldCharType="separate"/>
      </w:r>
      <w:r w:rsidR="00811E4E" w:rsidRPr="00811E4E">
        <w:rPr>
          <w:rFonts w:ascii="Calibri" w:hAnsi="Calibri" w:cs="Calibri"/>
        </w:rPr>
        <w:t>(Jiao et al. 2017)</w:t>
      </w:r>
      <w:r w:rsidR="00811E4E">
        <w:fldChar w:fldCharType="end"/>
      </w:r>
      <w:r w:rsidR="00811E4E">
        <w:t xml:space="preserve">. </w:t>
      </w:r>
      <w:r w:rsidR="00E30129">
        <w:t>T</w:t>
      </w:r>
      <w:r w:rsidR="00811E4E">
        <w:t xml:space="preserve">he production and trade in agricultural commodities </w:t>
      </w:r>
      <w:r w:rsidR="00E30129">
        <w:t>driven by</w:t>
      </w:r>
      <w:r w:rsidR="00811E4E">
        <w:t xml:space="preserve"> modern consumption patterns, particularly in developed countries, </w:t>
      </w:r>
      <w:r w:rsidR="00E30129">
        <w:t xml:space="preserve">is responsible for the majority of forest loss around the world </w:t>
      </w:r>
      <w:r w:rsidR="00E30129">
        <w:fldChar w:fldCharType="begin"/>
      </w:r>
      <w:r w:rsidR="00E30129">
        <w:instrText xml:space="preserve"> ADDIN ZOTERO_ITEM CSL_CITATION {"citationID":"W0jDtgZT","properties":{"formattedCitation":"(Curtis et al. 2018; Pendrill et al. 2019; Hoang &amp; Kanemoto 2021)","plainCitation":"(Curtis et al. 2018; Pendrill et al. 2019; Hoang &amp; Kanemoto 2021)","noteIndex":0},"citationItems":[{"id":2375,"uris":["http://zotero.org/users/2170232/items/MGBJXYEN"],"uri":["http://zotero.org/users/2170232/items/MGBJXYEN"],"itemData":{"id":2375,"type":"article-journal","abstract":"Mapping global deforestation patterns\nForest loss is being driven by various factors, including commodity production, forestry, agriculture, wildfire, and urbanization. Curtis et al. used high-resolution Google Earth imagery to map and classify global forest loss since 2001. Just over a quarter of global forest loss is due to deforestation through permanent land use change for the production of commodities, including beef, soy, palm oil, and wood fiber. Despite regional differences and efforts by governments, conservationists, and corporations to stem the losses, the overall rate of commodity-driven deforestation has not declined since 2001.\nScience, this issue p. 1108\nGlobal maps of forest loss depict the scale and magnitude of forest disturbance, yet companies, governments, and nongovernmental organizations need to distinguish permanent conversion (i.e., deforestation) from temporary loss from forestry or wildfire. Using satellite imagery, we developed a forest loss classification model to determine a spatial attribution of forest disturbance to the dominant drivers of land cover and land use change over the period 2001 to 2015. Our results indicate that 27% of global forest loss can be attributed to deforestation through permanent land use change for commodity production. The remaining areas maintained the same land use over 15 years; in those areas, loss was attributed to forestry (26%), shifting agriculture (24%), and wildfire (23%). Despite corporate commitments, the rate of commodity-driven deforestation has not declined. To end deforestation, companies must eliminate 5 million hectares of conversion from supply chains each year.\nA high-resolution global map enables a classification of the main drivers of forest loss.\nA high-resolution global map enables a classification of the main drivers of forest loss.","container-title":"Science","DOI":"10.1126/science.aau3445","ISSN":"0036-8075, 1095-9203","issue":"6407","language":"en","note":"PMID: 30213911","page":"1108-1111","source":"science.sciencemag.org","title":"Classifying drivers of global forest loss","volume":"361","author":[{"family":"Curtis","given":"Philip G."},{"family":"Slay","given":"Christy M."},{"family":"Harris","given":"Nancy L."},{"family":"Tyukavina","given":"Alexandra"},{"family":"Hansen","given":"Matthew C."}],"issued":{"date-parts":[["2018"]]}}},{"id":2917,"uris":["http://zotero.org/users/2170232/items/6H456Z27"],"uri":["http://zotero.org/users/2170232/items/6H456Z27"],"itemData":{"id":2917,"type":"article-journal","abstract":"While many developed countries are increasing their forest cover, deforestation is still rife in the tropics and subtropics. With international trade in forest-risk commodities on the rise, it is becoming increasingly important to consider between-country trade linkages in assessing the drivers of—and possible connections between—forest loss and gain across countries. Previous studies have shown that countries that have undergone a forest transition (and are now increasing their forest cover) tend to displace land use outside their borders. However, lack of comprehensive data on deforestation drivers imply that it has not been possible to ascertain whether this has accelerated forest loss in sourcing countries. To remedy this, we present a land-balance model that quantifies deforestation embodied in production of agricultural and forestry commodities at country level across the tropics and subtropics, subsequently tracing embodied deforestation to countries of apparent consumption using a physical, country-to-country trade model. We find that in the period 2005–2013, 62% (5.5 Mha yr−1) of forest loss could be attributed to expanding commercial cropland, pastures and tree plantations. The commodity groups most commonly associated with deforestation were cattle meat, forestry products, oil palm, cereals and soybeans, though variation between countries and regions was large. A large (26%) and slightly increasing share of deforestation was attributed to international demand, the bulk of which (87%) was exported to countries that either exhibit decreasing deforestation rates or increasing forest cover (late- or post-forest transition countries), particularly in Europe and Asia (China, India, and Russia). About a third of the net forest gains in post-forest transition countries was in this way offset by imports of commodities causing deforestation elsewhere, suggesting that achieving a global forest transition will be substantially more challenging than achieving national or regional ones.","DOI":"10.1088/1748-9326/ab0d41","ISSN":"1748-9326","issue":"5","journalAbbreviation":"Environ. Res. Lett.","language":"en","note":"publisher: IOP Publishing","page":"055003","source":"Institute of Physics","title":"Deforestation displaced: trade in forest-risk commodities and the prospects for a global forest transition","title-short":"Deforestation displaced","volume":"14","author":[{"family":"Pendrill","given":"Florence"},{"family":"Persson","given":"U. Martin"},{"family":"Godar","given":"Javier"},{"family":"Kastner","given":"Thomas"}],"issued":{"date-parts":[["2019",5]]}}},{"id":2634,"uris":["http://zotero.org/users/2170232/items/FYD69L4I"],"uri":["http://zotero.org/users/2170232/items/FYD69L4I"],"itemData":{"id":2634,"type":"article-journal","abstract":"Deforestation, a significant threat to biodiversity, is accelerated by global demand for commodities. Although prior literature has linked deforestation to global supply chains, here we provide a fine-scale representation of spatial patterns of deforestation associated with international trade. Using remote sensing data and a multi-region input–output model, we quantify and map the spatiotemporal changes in global deforestation footprints over 15 years (2001–2015) at a 30-m resolution. We find that, while many developed countries, China and India have obtained net forest gains domestically, they have also increased the deforestation embodied in their imports, of which tropical forests are the most threatened biome. Consumption patterns of G7 countries drive an average loss of 3.9 trees per person per year. Some of the hotspots of deforestation embodied in international trade are also biodiversity hotspots, such as in Southeast Asia, Madagascar, Liberia, Central America and the Amazonian rainforest. Our results emphasize the need to reform zero-deforestation policies through strong transnational efforts and by improving supply chain transparency, public–private engagement and financial support for the tropics.","container-title":"Nature Ecology &amp; Evolution","DOI":"10.1038/s41559-021-01417-z","ISSN":"2397-334X","language":"en","note":"publisher: Nature Publishing Group","page":"1-9","source":"www.nature.com","title":"Mapping the deforestation footprint of nations reveals growing threat to tropical forests","author":[{"family":"Hoang","given":"Nguyen Tien"},{"family":"Kanemoto","given":"Keiichiro"}],"issued":{"date-parts":[["2021",3,29]]}}}],"schema":"https://github.com/citation-style-language/schema/raw/master/csl-citation.json"} </w:instrText>
      </w:r>
      <w:r w:rsidR="00E30129">
        <w:fldChar w:fldCharType="separate"/>
      </w:r>
      <w:r w:rsidR="00E30129" w:rsidRPr="00E30129">
        <w:rPr>
          <w:rFonts w:ascii="Calibri" w:hAnsi="Calibri" w:cs="Calibri"/>
        </w:rPr>
        <w:t xml:space="preserve">(Curtis et al. 2018; </w:t>
      </w:r>
      <w:proofErr w:type="spellStart"/>
      <w:r w:rsidR="00E30129" w:rsidRPr="00E30129">
        <w:rPr>
          <w:rFonts w:ascii="Calibri" w:hAnsi="Calibri" w:cs="Calibri"/>
        </w:rPr>
        <w:t>Pendrill</w:t>
      </w:r>
      <w:proofErr w:type="spellEnd"/>
      <w:r w:rsidR="00E30129" w:rsidRPr="00E30129">
        <w:rPr>
          <w:rFonts w:ascii="Calibri" w:hAnsi="Calibri" w:cs="Calibri"/>
        </w:rPr>
        <w:t xml:space="preserve"> et al. 2019; Hoang &amp; </w:t>
      </w:r>
      <w:proofErr w:type="spellStart"/>
      <w:r w:rsidR="00E30129" w:rsidRPr="00E30129">
        <w:rPr>
          <w:rFonts w:ascii="Calibri" w:hAnsi="Calibri" w:cs="Calibri"/>
        </w:rPr>
        <w:t>Kanemoto</w:t>
      </w:r>
      <w:proofErr w:type="spellEnd"/>
      <w:r w:rsidR="00E30129" w:rsidRPr="00E30129">
        <w:rPr>
          <w:rFonts w:ascii="Calibri" w:hAnsi="Calibri" w:cs="Calibri"/>
        </w:rPr>
        <w:t xml:space="preserve"> 2021)</w:t>
      </w:r>
      <w:r w:rsidR="00E30129">
        <w:fldChar w:fldCharType="end"/>
      </w:r>
      <w:r w:rsidR="00E30129">
        <w:t xml:space="preserve">. </w:t>
      </w:r>
      <w:r w:rsidR="00643D5E">
        <w:t>This is because a</w:t>
      </w:r>
      <w:r w:rsidR="00E30129">
        <w:t xml:space="preserve">gricultural production is a fundamental component of many national economies, both for improving food security within countries and for national income generation via international export markets (ref). </w:t>
      </w:r>
      <w:r w:rsidR="000A29B4">
        <w:t>G</w:t>
      </w:r>
      <w:r w:rsidR="000A29B4">
        <w:t>rowth</w:t>
      </w:r>
      <w:r w:rsidR="000A29B4">
        <w:t xml:space="preserve"> within the agricultural sector, and other natural resource-based industries,</w:t>
      </w:r>
      <w:r w:rsidR="000A29B4">
        <w:t xml:space="preserve"> is</w:t>
      </w:r>
      <w:r w:rsidR="000A29B4">
        <w:t xml:space="preserve"> therefore</w:t>
      </w:r>
      <w:r w:rsidR="000A29B4">
        <w:t xml:space="preserve"> an important </w:t>
      </w:r>
      <w:r w:rsidR="000A29B4">
        <w:t>tool</w:t>
      </w:r>
      <w:r w:rsidR="000A29B4">
        <w:t xml:space="preserve"> </w:t>
      </w:r>
      <w:r w:rsidR="000A29B4">
        <w:t>f</w:t>
      </w:r>
      <w:r w:rsidR="00E30129">
        <w:t>or lower income nations</w:t>
      </w:r>
      <w:r w:rsidR="000A29B4">
        <w:t xml:space="preserve"> where economic development is a priority</w:t>
      </w:r>
      <w:r w:rsidR="00E30129">
        <w:t xml:space="preserve"> </w:t>
      </w:r>
      <w:r w:rsidR="000A29B4">
        <w:fldChar w:fldCharType="begin"/>
      </w:r>
      <w:r w:rsidR="00562B5B">
        <w:instrText xml:space="preserve"> ADDIN ZOTERO_ITEM CSL_CITATION {"citationID":"iSEpO5xM","properties":{"formattedCitation":"(Eliste &amp; Zorya 2015; Caravaggio 2020)","plainCitation":"(Eliste &amp; Zorya 2015; Caravaggio 2020)","noteIndex":0},"citationItems":[{"id":2752,"uris":["http://zotero.org/users/2170232/items/U2ZTSPR5"],"uri":["http://zotero.org/users/2170232/items/U2ZTSPR5"],"itemData":{"id":2752,"type":"report","event-place":"Washington DC, USA","publisher":"World Bank Group","publisher-place":"Washington DC, USA","title":"Cambodian agriculture in transition: Opportunities and risks","URL":"http://documents.worldbank.org/curated/en/805091467993504209/Cambodian-agriculture-in-transition-opportunities-and-risks","author":[{"family":"Eliste","given":"Paavo"},{"family":"Zorya","given":"Sergiy"}],"issued":{"date-parts":[["2015"]]}}},{"id":2923,"uris":["http://zotero.org/users/2170232/items/PJSP8TMJ"],"uri":["http://zotero.org/users/2170232/items/PJSP8TMJ"],"itemData":{"id":2923,"type":"article-journal","abstract":"This paper investigates an unresolved question in environmental economics: An Environmental Kuznets Curve for deforestation (EKCd). It relies on a 55 year panel of forest cover data reconstructed from the periodic national forest inventories of 114 countries clustered in low, middle, and high income groups—as defined by the World Bank—and examines these clusters within both static and dynamic frameworks. The results are supportive of the inverse U-shaped EKC for deforestation. For low income countries strong effort will be required to avoid further increases in forest loss as these countries develop. Middle income countries, the largest cluster under investigation, display the classic bell-shaped EKCd with the turning point for a decreasing rate of deforestation at US$ 3,790. Deforestation continues thereafter, only at a lower rate until, eventually, for high income countries these rates become negative and these economies begin to show absolute gains in total forest cover. While the combined results from the three clusters confirm the existence of an EKCd, its relatively elevated turning point and the even higher level of development at which forests begin to increase and recover, raise important concern, but also opportunity, for the modern policies and management addressing global forest cover—doubts and opportunities on which the conclusion to this paper reflects further.","container-title":"Forest Policy and Economics","DOI":"10.1016/j.forpol.2020.102282","ISSN":"1389-9341","journalAbbreviation":"Forest Policy and Economics","language":"en","page":"102282","source":"ScienceDirect","title":"A global empirical re-assessment of the Environmental Kuznets curve for deforestation","volume":"119","author":[{"family":"Caravaggio","given":"Nicola"}],"issued":{"date-parts":[["2020",10,1]]}}}],"schema":"https://github.com/citation-style-language/schema/raw/master/csl-citation.json"} </w:instrText>
      </w:r>
      <w:r w:rsidR="000A29B4">
        <w:fldChar w:fldCharType="separate"/>
      </w:r>
      <w:r w:rsidR="00562B5B" w:rsidRPr="00562B5B">
        <w:rPr>
          <w:rFonts w:ascii="Calibri" w:hAnsi="Calibri" w:cs="Calibri"/>
        </w:rPr>
        <w:t>(</w:t>
      </w:r>
      <w:proofErr w:type="spellStart"/>
      <w:r w:rsidR="00562B5B" w:rsidRPr="00562B5B">
        <w:rPr>
          <w:rFonts w:ascii="Calibri" w:hAnsi="Calibri" w:cs="Calibri"/>
        </w:rPr>
        <w:t>Eliste</w:t>
      </w:r>
      <w:proofErr w:type="spellEnd"/>
      <w:r w:rsidR="00562B5B" w:rsidRPr="00562B5B">
        <w:rPr>
          <w:rFonts w:ascii="Calibri" w:hAnsi="Calibri" w:cs="Calibri"/>
        </w:rPr>
        <w:t xml:space="preserve"> &amp; </w:t>
      </w:r>
      <w:proofErr w:type="spellStart"/>
      <w:r w:rsidR="00562B5B" w:rsidRPr="00562B5B">
        <w:rPr>
          <w:rFonts w:ascii="Calibri" w:hAnsi="Calibri" w:cs="Calibri"/>
        </w:rPr>
        <w:t>Zorya</w:t>
      </w:r>
      <w:proofErr w:type="spellEnd"/>
      <w:r w:rsidR="00562B5B" w:rsidRPr="00562B5B">
        <w:rPr>
          <w:rFonts w:ascii="Calibri" w:hAnsi="Calibri" w:cs="Calibri"/>
        </w:rPr>
        <w:t xml:space="preserve"> 2015; Caravaggio 2020)</w:t>
      </w:r>
      <w:r w:rsidR="000A29B4">
        <w:fldChar w:fldCharType="end"/>
      </w:r>
      <w:r w:rsidR="00E30129">
        <w:t xml:space="preserve">. </w:t>
      </w:r>
      <w:r w:rsidR="00643D5E">
        <w:t xml:space="preserve">Forests have provided the raw materials for economic growth throughout much of human history </w:t>
      </w:r>
      <w:r w:rsidR="00643D5E">
        <w:fldChar w:fldCharType="begin"/>
      </w:r>
      <w:r w:rsidR="00643D5E">
        <w:instrText xml:space="preserve"> ADDIN ZOTERO_ITEM CSL_CITATION {"citationID":"MH5emw2c","properties":{"formattedCitation":"(Williams 2003)","plainCitation":"(Williams 2003)","noteIndex":0},"citationItems":[{"id":2919,"uris":["http://zotero.org/users/2170232/items/IG7UGS9F"],"uri":["http://zotero.org/users/2170232/items/IG7UGS9F"],"itemData":{"id":2919,"type":"book","abstract":"Since humans first appeared on the earth, we've been cutting down trees for fuel and shelter. Indeed, the thinning, changing, and wholesale clearing of forests are among the most important ways humans have transformed the global environment. With the onset of industrialization and colonization the process has accelerated, as agriculture, metal smelting, trade, war, territorial expansion, and even cultural aversion to forests have all taken their toll.  Michael Williams surveys ten thousand years of history to trace how, why, and when human-induced deforestation has shaped economies, societies, and landscapes around the world. Beginning with the return of the forests to Europe, North America, and the tropics after the Ice Ages, Williams traces the impact of human-set fires for gathering and hunting, land clearing for agriculture, and other activities from the Paleolithic through the classical world and the Middle Ages. He then continues the story from the 1500s to the early 1900s, focusing on forest clearing both within Europe and by European imperialists and industrialists abroad, in such places as the New World and India, China, Japan, and Latin America. Finally, he covers the present-day and alarming escalation of deforestation, with the ever-increasing human population placing a possibly unsupportable burden on the world's forests.  Accessible and nonsensationalist, Deforesting the Earth provides the historical and geographical background we need for a deeper understanding of deforestation's tremendous impact on the environment and the people who inhabit it.","ISBN":"978-0-226-89926-8","language":"en","note":"Google-Books-ID: bDrV3F6TYCMC","number-of-pages":"716","publisher":"University of Chicago Press","source":"Google Books","title":"Deforesting the Earth: From Prehistory to Global Crisis","title-short":"Deforesting the Earth","author":[{"family":"Williams","given":"Michael"}],"issued":{"date-parts":[["2003"]]}}}],"schema":"https://github.com/citation-style-language/schema/raw/master/csl-citation.json"} </w:instrText>
      </w:r>
      <w:r w:rsidR="00643D5E">
        <w:fldChar w:fldCharType="separate"/>
      </w:r>
      <w:r w:rsidR="00643D5E" w:rsidRPr="00811E4E">
        <w:rPr>
          <w:rFonts w:ascii="Calibri" w:hAnsi="Calibri" w:cs="Calibri"/>
        </w:rPr>
        <w:t>(Williams 2003)</w:t>
      </w:r>
      <w:r w:rsidR="00643D5E">
        <w:fldChar w:fldCharType="end"/>
      </w:r>
      <w:r w:rsidR="00643D5E">
        <w:t xml:space="preserve">, and little has changed in recent years; between 2005-2013 the expansion of commercial agriculture, plantations, and pastures were responsible for 62% of forest loss across the tropics and subtropics </w:t>
      </w:r>
      <w:r w:rsidR="00643D5E">
        <w:fldChar w:fldCharType="begin"/>
      </w:r>
      <w:r w:rsidR="00643D5E">
        <w:instrText xml:space="preserve"> ADDIN ZOTERO_ITEM CSL_CITATION {"citationID":"1Z1qEtt2","properties":{"formattedCitation":"(Pendrill et al. 2019)","plainCitation":"(Pendrill et al. 2019)","noteIndex":0},"citationItems":[{"id":2917,"uris":["http://zotero.org/users/2170232/items/6H456Z27"],"uri":["http://zotero.org/users/2170232/items/6H456Z27"],"itemData":{"id":2917,"type":"article-journal","abstract":"While many developed countries are increasing their forest cover, deforestation is still rife in the tropics and subtropics. With international trade in forest-risk commodities on the rise, it is becoming increasingly important to consider between-country trade linkages in assessing the drivers of—and possible connections between—forest loss and gain across countries. Previous studies have shown that countries that have undergone a forest transition (and are now increasing their forest cover) tend to displace land use outside their borders. However, lack of comprehensive data on deforestation drivers imply that it has not been possible to ascertain whether this has accelerated forest loss in sourcing countries. To remedy this, we present a land-balance model that quantifies deforestation embodied in production of agricultural and forestry commodities at country level across the tropics and subtropics, subsequently tracing embodied deforestation to countries of apparent consumption using a physical, country-to-country trade model. We find that in the period 2005–2013, 62% (5.5 Mha yr−1) of forest loss could be attributed to expanding commercial cropland, pastures and tree plantations. The commodity groups most commonly associated with deforestation were cattle meat, forestry products, oil palm, cereals and soybeans, though variation between countries and regions was large. A large (26%) and slightly increasing share of deforestation was attributed to international demand, the bulk of which (87%) was exported to countries that either exhibit decreasing deforestation rates or increasing forest cover (late- or post-forest transition countries), particularly in Europe and Asia (China, India, and Russia). About a third of the net forest gains in post-forest transition countries was in this way offset by imports of commodities causing deforestation elsewhere, suggesting that achieving a global forest transition will be substantially more challenging than achieving national or regional ones.","DOI":"10.1088/1748-9326/ab0d41","ISSN":"1748-9326","issue":"5","journalAbbreviation":"Environ. Res. Lett.","language":"en","note":"publisher: IOP Publishing","page":"055003","source":"Institute of Physics","title":"Deforestation displaced: trade in forest-risk commodities and the prospects for a global forest transition","title-short":"Deforestation displaced","volume":"14","author":[{"family":"Pendrill","given":"Florence"},{"family":"Persson","given":"U. Martin"},{"family":"Godar","given":"Javier"},{"family":"Kastner","given":"Thomas"}],"issued":{"date-parts":[["2019",5]]}}}],"schema":"https://github.com/citation-style-language/schema/raw/master/csl-citation.json"} </w:instrText>
      </w:r>
      <w:r w:rsidR="00643D5E">
        <w:fldChar w:fldCharType="separate"/>
      </w:r>
      <w:r w:rsidR="00643D5E" w:rsidRPr="00643D5E">
        <w:rPr>
          <w:rFonts w:ascii="Calibri" w:hAnsi="Calibri" w:cs="Calibri"/>
        </w:rPr>
        <w:t>(</w:t>
      </w:r>
      <w:proofErr w:type="spellStart"/>
      <w:r w:rsidR="00643D5E" w:rsidRPr="00643D5E">
        <w:rPr>
          <w:rFonts w:ascii="Calibri" w:hAnsi="Calibri" w:cs="Calibri"/>
        </w:rPr>
        <w:t>Pendrill</w:t>
      </w:r>
      <w:proofErr w:type="spellEnd"/>
      <w:r w:rsidR="00643D5E" w:rsidRPr="00643D5E">
        <w:rPr>
          <w:rFonts w:ascii="Calibri" w:hAnsi="Calibri" w:cs="Calibri"/>
        </w:rPr>
        <w:t xml:space="preserve"> et al. 2019)</w:t>
      </w:r>
      <w:r w:rsidR="00643D5E">
        <w:fldChar w:fldCharType="end"/>
      </w:r>
      <w:r w:rsidR="00643D5E">
        <w:t xml:space="preserve">. </w:t>
      </w:r>
      <w:r w:rsidR="00B5750E">
        <w:t>The Environmental Kuznets Curve (EKC) is an environmental economic theory that links deforestation rates to economic development; it predicts increasing deforestation with increasing economic development</w:t>
      </w:r>
      <w:r w:rsidR="004C2131">
        <w:t xml:space="preserve"> until a tipping point is reached, after which further economic development (and shifts in the structure of economies) results in decreasing rates of deforestation until net forest loss changes to net forest gain (ref).</w:t>
      </w:r>
      <w:r w:rsidR="00B5750E">
        <w:t xml:space="preserve"> G</w:t>
      </w:r>
      <w:r w:rsidR="00F05DBA">
        <w:t>lobally, deforestation rates are decreasing</w:t>
      </w:r>
      <w:r w:rsidR="00B5750E">
        <w:t xml:space="preserve"> </w:t>
      </w:r>
      <w:r w:rsidR="00B5750E">
        <w:fldChar w:fldCharType="begin"/>
      </w:r>
      <w:r w:rsidR="00B5750E">
        <w:instrText xml:space="preserve"> ADDIN ZOTERO_ITEM CSL_CITATION {"citationID":"DPtb7bYj","properties":{"formattedCitation":"(FAO 2020)","plainCitation":"(FAO 2020)","noteIndex":0},"citationItems":[{"id":2925,"uris":["http://zotero.org/users/2170232/items/YUJ3LYCT"],"uri":["http://zotero.org/users/2170232/items/YUJ3LYCT"],"itemData":{"id":2925,"type":"book","abstract":"FAO completed its first assessment of the world’s forest resources in 1948. At that time, its major objective was to collect information on available timber supply to satisfy post-war reconstruction demand. Since then, the Global Forest Resources Assessment (FRA) has evolved into a comprehensive evaluation of forest resources and their condition, management and uses, covering all the thematic elements of sustainable forest management. \n\nThis, the latest of these assessments, examines the status of, and trends in, forest resources over the period 1990–2020, drawing on the efforts of hundreds of experts worldwide. The production of FRA 2020 also involved collaboration among many partner organizations, thereby reducing the reporting burden on countries, increasing synergies among reporting processes, and improving data consistency. \n\nThe results of FRA 2020 are available in several formats, including this report and an online database containing the original inputs of countries and territories as well as desk studies and regional and global analyses prepared by FAO. I invite you to use these materials to support our common journey towards a more sustainable future with forests. \n\nLast updated date 18/11/2020 (rewording on tables and figures), see the Corrigendum","event-place":"Rome, Italy","ISBN":"978-92-5-132974-0","language":"en","note":"DOI: 10.4060/ca9825en","number-of-pages":"184","publisher":"FAO","publisher-place":"Rome, Italy","source":"FAO Publications","title":"Global Forest Resources Assessment 2020: Main report","title-short":"Global Forest Resources Assessment 2020","URL":"https://www.fao.org/documents/card/en/c/ca9825en","author":[{"literal":"FAO"}],"accessed":{"date-parts":[["2021",10,21]]},"issued":{"date-parts":[["2020"]]}}}],"schema":"https://github.com/citation-style-language/schema/raw/master/csl-citation.json"} </w:instrText>
      </w:r>
      <w:r w:rsidR="00B5750E">
        <w:fldChar w:fldCharType="separate"/>
      </w:r>
      <w:r w:rsidR="00B5750E" w:rsidRPr="00B5750E">
        <w:rPr>
          <w:rFonts w:ascii="Calibri" w:hAnsi="Calibri" w:cs="Calibri"/>
        </w:rPr>
        <w:t>(FAO 2020)</w:t>
      </w:r>
      <w:r w:rsidR="00B5750E">
        <w:fldChar w:fldCharType="end"/>
      </w:r>
      <w:r w:rsidR="00B5750E">
        <w:t xml:space="preserve">, and there are recent studies that provide evidence </w:t>
      </w:r>
      <w:r w:rsidR="004C2131">
        <w:t xml:space="preserve">to support the EKC theory, and a possible move towards a global forest transition </w:t>
      </w:r>
      <w:r w:rsidR="004C2131">
        <w:fldChar w:fldCharType="begin"/>
      </w:r>
      <w:r w:rsidR="004C2131">
        <w:instrText xml:space="preserve"> ADDIN ZOTERO_ITEM CSL_CITATION {"citationID":"Mc3gaMuY","properties":{"formattedCitation":"(Caravaggio 2020)","plainCitation":"(Caravaggio 2020)","noteIndex":0},"citationItems":[{"id":2923,"uris":["http://zotero.org/users/2170232/items/PJSP8TMJ"],"uri":["http://zotero.org/users/2170232/items/PJSP8TMJ"],"itemData":{"id":2923,"type":"article-journal","abstract":"This paper investigates an unresolved question in environmental economics: An Environmental Kuznets Curve for deforestation (EKCd). It relies on a 55 year panel of forest cover data reconstructed from the periodic national forest inventories of 114 countries clustered in low, middle, and high income groups—as defined by the World Bank—and examines these clusters within both static and dynamic frameworks. The results are supportive of the inverse U-shaped EKC for deforestation. For low income countries strong effort will be required to avoid further increases in forest loss as these countries develop. Middle income countries, the largest cluster under investigation, display the classic bell-shaped EKCd with the turning point for a decreasing rate of deforestation at US$ 3,790. Deforestation continues thereafter, only at a lower rate until, eventually, for high income countries these rates become negative and these economies begin to show absolute gains in total forest cover. While the combined results from the three clusters confirm the existence of an EKCd, its relatively elevated turning point and the even higher level of development at which forests begin to increase and recover, raise important concern, but also opportunity, for the modern policies and management addressing global forest cover—doubts and opportunities on which the conclusion to this paper reflects further.","container-title":"Forest Policy and Economics","DOI":"10.1016/j.forpol.2020.102282","ISSN":"1389-9341","journalAbbreviation":"Forest Policy and Economics","language":"en","page":"102282","source":"ScienceDirect","title":"A global empirical re-assessment of the Environmental Kuznets curve for deforestation","volume":"119","author":[{"family":"Caravaggio","given":"Nicola"}],"issued":{"date-parts":[["2020",10,1]]}}}],"schema":"https://github.com/citation-style-language/schema/raw/master/csl-citation.json"} </w:instrText>
      </w:r>
      <w:r w:rsidR="004C2131">
        <w:fldChar w:fldCharType="separate"/>
      </w:r>
      <w:r w:rsidR="004C2131" w:rsidRPr="004C2131">
        <w:rPr>
          <w:rFonts w:ascii="Calibri" w:hAnsi="Calibri" w:cs="Calibri"/>
        </w:rPr>
        <w:t>(Caravaggio 2020)</w:t>
      </w:r>
      <w:r w:rsidR="004C2131">
        <w:fldChar w:fldCharType="end"/>
      </w:r>
      <w:r w:rsidR="004C2131">
        <w:t>.</w:t>
      </w:r>
    </w:p>
    <w:p w14:paraId="6E51D916" w14:textId="77777777" w:rsidR="006C7758" w:rsidRDefault="006C7758">
      <w:pPr>
        <w:rPr>
          <w:i/>
          <w:iCs/>
        </w:rPr>
      </w:pPr>
    </w:p>
    <w:p w14:paraId="5029C368" w14:textId="78D068D0" w:rsidR="006C7758" w:rsidRDefault="006C7758">
      <w:pPr>
        <w:rPr>
          <w:i/>
          <w:iCs/>
        </w:rPr>
      </w:pPr>
      <w:r w:rsidRPr="006C7758">
        <w:rPr>
          <w:i/>
          <w:iCs/>
        </w:rPr>
        <w:t>SEA and deforestation</w:t>
      </w:r>
    </w:p>
    <w:p w14:paraId="75DB6808" w14:textId="02E5D70C" w:rsidR="006C7758" w:rsidRPr="006C7758" w:rsidRDefault="006C7758" w:rsidP="006C7758">
      <w:r w:rsidRPr="006C7758">
        <w:t xml:space="preserve">The loss of SEA’s forests has potentially severe consequences for climate change </w:t>
      </w:r>
      <w:r w:rsidRPr="006C7758">
        <w:fldChar w:fldCharType="begin"/>
      </w:r>
      <w:r w:rsidR="00811E4E">
        <w:instrText xml:space="preserve"> ADDIN ZOTERO_ITEM CSL_CITATION {"citationID":"AseaowXU","properties":{"formattedCitation":"(Ceddia et al. 2015)","plainCitation":"(Ceddia et al. 2015)","noteIndex":0},"citationItems":[{"id":2142,"uris":["http://zotero.org/users/2170232/items/96TCP83Z"],"uri":["http://zotero.org/users/2170232/items/96TCP83Z"],"itemData":{"id":2142,"type":"article-journal","abstract":"Agricultural expansion remains the most important proximate cause of tropical deforestation, while interactions between socio-economic, technological and institutional factors represent the fundamental drivers. Projected population increases could further raise the pressure on the remaining forests, unless agricultural intensification allows raising agricultural output without expanding agricultural areas. The purpose of this article is to understand the role of institutional factors in governing the intensification process towards the goal of preserving forests from agricultural pressures, with a focus on Indigenous Peoples’ and local communities’ rights to forests (as embedded in the various tenure regimes). In this paper we adopt an international dimension and analyse the process of agricultural expansion across eleven Latin American countries over the period 1990–2010 to assess whether, in a context of agricultural intensification, different land tenure regimes impact differently on the realization of land-sparing or Jevons paradox. The results, based on a number of multivariate statistical models that controls for socio-economic factors, strongly suggest that the formal recognition of Indigenous Peoples and local communities’ forest rights has played an important role in promoting land sparing or attenuating Jevons paradox.","container-title":"Global Environmental Change","DOI":"10.1016/j.gloenvcha.2015.09.010","ISSN":"0959-3780","journalAbbreviation":"Global Environmental Change","language":"en","page":"316-322","source":"ScienceDirect","title":"Land tenure and agricultural expansion in Latin America: The role of Indigenous Peoples’ and local communities’ forest rights","title-short":"Land tenure and agricultural expansion in Latin America","volume":"35","author":[{"family":"Ceddia","given":"M. Graziano"},{"family":"Gunter","given":"Ulrich"},{"family":"Corriveau-Bourque","given":"Alexandre"}],"issued":{"date-parts":[["2015",11,1]]}}}],"schema":"https://github.com/citation-style-language/schema/raw/master/csl-citation.json"} </w:instrText>
      </w:r>
      <w:r w:rsidRPr="006C7758">
        <w:fldChar w:fldCharType="separate"/>
      </w:r>
      <w:r w:rsidR="00811E4E" w:rsidRPr="00811E4E">
        <w:rPr>
          <w:rFonts w:ascii="Calibri" w:hAnsi="Calibri" w:cs="Calibri"/>
        </w:rPr>
        <w:t>(</w:t>
      </w:r>
      <w:proofErr w:type="spellStart"/>
      <w:r w:rsidR="00811E4E" w:rsidRPr="00811E4E">
        <w:rPr>
          <w:rFonts w:ascii="Calibri" w:hAnsi="Calibri" w:cs="Calibri"/>
        </w:rPr>
        <w:t>Ceddia</w:t>
      </w:r>
      <w:proofErr w:type="spellEnd"/>
      <w:r w:rsidR="00811E4E" w:rsidRPr="00811E4E">
        <w:rPr>
          <w:rFonts w:ascii="Calibri" w:hAnsi="Calibri" w:cs="Calibri"/>
        </w:rPr>
        <w:t xml:space="preserve"> et al. 2015)</w:t>
      </w:r>
      <w:r w:rsidRPr="006C7758">
        <w:fldChar w:fldCharType="end"/>
      </w:r>
      <w:r w:rsidRPr="006C7758">
        <w:t xml:space="preserve">, ecosystem-based adaptation </w:t>
      </w:r>
      <w:r w:rsidRPr="006C7758">
        <w:fldChar w:fldCharType="begin"/>
      </w:r>
      <w:r w:rsidR="00811E4E">
        <w:instrText xml:space="preserve"> ADDIN ZOTERO_ITEM CSL_CITATION {"citationID":"fqc8sra8","properties":{"formattedCitation":"(Estoque et al. 2019)","plainCitation":"(Estoque et al. 2019)","noteIndex":0},"citationItems":[{"id":2193,"uris":["http://zotero.org/users/2170232/items/XLXDWBAC"],"uri":["http://zotero.org/users/2170232/items/XLXDWBAC"],"itemData":{"id":2193,"type":"article-journal","abstract":"While Southeast Asia’s forests play important roles in biodiversity conservation and global carbon (C) balance, the region is also a deforestation hotspot. Here, we consider the five shared socioeconomic pathways (SSPs) to portray a range of plausible futures for the region’s forests, employing a state-of-the-art land change modelling procedure and remotely sensed data. We find that by 2050 under the worst-case scenario, SSP 3 (regional rivalry/a rocky road), the region’s forests would shrink by 5.2 million ha. The region’s aboveground forest carbon stock (AFCS) would decrease by 790 Tg C, 21% of which would be due to old-growth forest loss. Conversely, under the best-case scenario, SSP 1 (sustainability/taking the green road), the region is projected to gain 19.6 million ha of forests and 1651 Tg C of AFCS. The choice of the pathway is thus critical for the future of the region’s forests and their ecosystem functions and services.","container-title":"Nature Communications","DOI":"10.1038/s41467-019-09646-4","ISSN":"2041-1723","issue":"1","language":"en","page":"1829","source":"www.nature.com","title":"The future of Southeast Asia’s forests","volume":"10","author":[{"family":"Estoque","given":"Ronald C."},{"family":"Ooba","given":"Makoto"},{"family":"Avitabile","given":"Valerio"},{"family":"Hijioka","given":"Yasuaki"},{"family":"DasGupta","given":"Rajarshi"},{"family":"Togawa","given":"Takuya"},{"family":"Murayama","given":"Yuji"}],"issued":{"date-parts":[["2019",4,23]]}}}],"schema":"https://github.com/citation-style-language/schema/raw/master/csl-citation.json"} </w:instrText>
      </w:r>
      <w:r w:rsidRPr="006C7758">
        <w:fldChar w:fldCharType="separate"/>
      </w:r>
      <w:r w:rsidR="00811E4E" w:rsidRPr="00811E4E">
        <w:rPr>
          <w:rFonts w:ascii="Calibri" w:hAnsi="Calibri" w:cs="Calibri"/>
        </w:rPr>
        <w:t>(Estoque et al. 2019)</w:t>
      </w:r>
      <w:r w:rsidRPr="006C7758">
        <w:fldChar w:fldCharType="end"/>
      </w:r>
      <w:r w:rsidRPr="006C7758">
        <w:t xml:space="preserve">, local people </w:t>
      </w:r>
      <w:r w:rsidRPr="006C7758">
        <w:fldChar w:fldCharType="begin"/>
      </w:r>
      <w:r w:rsidR="00811E4E">
        <w:instrText xml:space="preserve"> ADDIN ZOTERO_ITEM CSL_CITATION {"citationID":"RcrAL2wZ","properties":{"formattedCitation":"(Poffenberger 2006; Culas 2007; Gaughan et al. 2009; Frewer &amp; Chan 2014)","plainCitation":"(Poffenberger 2006; Culas 2007; Gaughan et al. 2009; Frewer &amp; Chan 2014)","noteIndex":0},"citationItems":[{"id":2123,"uris":["http://zotero.org/users/2170232/items/GFXZ4GUN"],"uri":["http://zotero.org/users/2170232/items/GFXZ4GUN"],"itemData":{"id":2123,"type":"article-journal","abstract":"Institutions for secure property rights and better environmental policies for moving the system towards a sustainable growth path can reduce the height of an environmental Kuznets curve (EKC) relationship between income and deforestation. This study examines the impact of these specific institutional factors on the EKC relationship for deforestation across Latin American, African and Asian countries. The factors related to agricultural production, population, economy and governmental policies of each country are hypothesised to affect deforestation. Results of the Latin American countries show significant evidence of an EKC relationship for deforestation and also relevance of the institutional factors to reduce the rate of deforestation. Improvements in institutions for secure property rights and better environmental policies can thus significantly reduce the rate of deforestation without hindering the level of economic growth. Evidence also suggests that the effect of agricultural production on deforestation could be halted by strengthening institutional factors. There was found to be complementarity between the institutional factors and forest sector polices, and an additive effect between the institutional factors and forest products export promotion policies, which could also eventually reduce the rate of deforestation.","container-title":"Ecological Economics","DOI":"10.1016/j.ecolecon.2006.03.014","ISSN":"0921-8009","issue":"2","journalAbbreviation":"Ecological Economics","language":"en","page":"429-437","source":"ScienceDirect","title":"Deforestation and the environmental Kuznets curve: An institutional perspective","title-short":"Deforestation and the environmental Kuznets curve","volume":"61","author":[{"family":"Culas","given":"Richard J."}],"issued":{"date-parts":[["2007",3,1]]}}},{"id":1667,"uris":["http://zotero.org/users/2170232/items/W5KFBHFU"],"uri":["http://zotero.org/users/2170232/items/W5KFBHFU"],"itemData":{"id":1667,"type":"article-journal","abstract":"GIS-RS techniques offer great potential for providing insights into the spatiality and temporality of the messy realties of deforestation. However, rather than positing that the land use maps produced using these novel technologies can cut through politics, it is argued that the map is merely an artifact of the broader process of land use planning which is constitutive of politics. This article critically reflects on a major land use mapping exercise that the two authors were involved with, in central Cambodia. It argues that GIS analysts need to go beyond merely a concern for ‘the local’, and have their own ‘honest’ teleologies that can navigate the complexities of environmental politics. This article shows how particular categorizations of land use that the analyst creates in accordance with their own desires and the technical limitations of GIS, are often bound up in techniques of government.","container-title":"Human Ecology","DOI":"10.1007/s10745-013-9639-z","ISSN":"0300-7839, 1572-9915","issue":"2","journalAbbreviation":"Hum Ecol","language":"en","page":"267-281","source":"link.springer.com","title":"GIS and the ‘Usual Suspects’-[Mis]understanding Land Use Change in Cambodia","volume":"42","author":[{"family":"Frewer","given":"Tim"},{"family":"Chan","given":"Sopheak"}],"issued":{"date-parts":[["2014",4,1]]}}},{"id":1664,"uris":["http://zotero.org/users/2170232/items/8DCNZD8D"],"uri":["http://zotero.org/users/2170232/items/8DCNZD8D"],"itemData":{"id":1664,"type":"article-journal","abstract":"The Angkor basin of Cambodia, the site of the great Angkor temple complex, has experienced explosive tourism growth since the 1993 onset of national political stability and renewed international investment, which in turn has driven increasing demand for water, wood, and biomass fuel, and rapid and extensive land-use and land-cover change. We use multi-temporal Landsat imagery (1989–2005) to describe the rate and extent of land-cover change throughout the Angkor basin. While 50% of the landscape remained in rice agriculture it is notable that a larger proportion of the area was deforested (23.4%) than experienced forest regrowth (4.9%). Most forest loss occurred between the Angkor temple complex and Phnom Kulen National Park, and was due in part to charcoal production to serve the tourist industry, and also conversion to permanent agriculture. The small area of forest increase was concentrated along the eastern boundary of the main Angkor complex. The interplay among global (tourism, climate), regional (national policies, large-river management), and local (construction and agriculture, energy and water sources to support the tourism industry) factors drives a distinctive but complex pattern of land-use and land-cover change.","container-title":"Applied Geography","DOI":"10.1016/j.apgeog.2008.09.007","ISSN":"0143-6228","issue":"2","journalAbbreviation":"Applied Geography","page":"212-223","source":"ScienceDirect","title":"Tourism, forest conversion, and land transformations in the Angkor basin, Cambodia","volume":"29","author":[{"family":"Gaughan","given":"Andrea E."},{"family":"Binford","given":"Michael W."},{"family":"Southworth","given":"Jane"}],"issued":{"date-parts":[["2009",4,1]]}}},{"id":2737,"uris":["http://zotero.org/users/2170232/items/BT8F3AB3"],"uri":["http://zotero.org/users/2170232/items/BT8F3AB3"],"itemData":{"id":2737,"type":"article-journal","abstract":"This paper documents experiences of community forest management in five Southeast Asian nations. It briefly describes the historical and political context that frames contemporary forest sector changes, examining important shifts occurring in the forest policy sector in Cambodia, Indonesia, the Philippines, Thailand and Vietnam, following the decline of industrial forest management paradigms over the last two decades and the emergence of a new generation of environmentally and socially oriented policies and legislation. The paper explores how these new policies, laws and national programmes are affecting forest-dependent people across the region in an effort to track the transition in forest management on the ground. The paper also examines how community forestry systems are affecting forest cover, biodiversity and rural livelihoods.","container-title":"International Journal of Environment and Sustainable Development","DOI":"10.1504/IJESD.2006.008683","ISSN":"1474-6778","issue":"1","note":"publisher: Inderscience Publishers","page":"57-69","source":"inderscienceonline.com (Atypon)","title":"People in the forest: community forestry experiences from Southeast Asia","title-short":"People in the forest","volume":"5","author":[{"family":"Poffenberger","given":"Mark"}],"issued":{"date-parts":[["2006",1,1]]}}}],"schema":"https://github.com/citation-style-language/schema/raw/master/csl-citation.json"} </w:instrText>
      </w:r>
      <w:r w:rsidRPr="006C7758">
        <w:fldChar w:fldCharType="separate"/>
      </w:r>
      <w:r w:rsidR="00811E4E" w:rsidRPr="00811E4E">
        <w:rPr>
          <w:rFonts w:ascii="Calibri" w:hAnsi="Calibri" w:cs="Calibri"/>
        </w:rPr>
        <w:t>(</w:t>
      </w:r>
      <w:proofErr w:type="spellStart"/>
      <w:r w:rsidR="00811E4E" w:rsidRPr="00811E4E">
        <w:rPr>
          <w:rFonts w:ascii="Calibri" w:hAnsi="Calibri" w:cs="Calibri"/>
        </w:rPr>
        <w:t>Poffenberger</w:t>
      </w:r>
      <w:proofErr w:type="spellEnd"/>
      <w:r w:rsidR="00811E4E" w:rsidRPr="00811E4E">
        <w:rPr>
          <w:rFonts w:ascii="Calibri" w:hAnsi="Calibri" w:cs="Calibri"/>
        </w:rPr>
        <w:t xml:space="preserve"> 2006; </w:t>
      </w:r>
      <w:proofErr w:type="spellStart"/>
      <w:r w:rsidR="00811E4E" w:rsidRPr="00811E4E">
        <w:rPr>
          <w:rFonts w:ascii="Calibri" w:hAnsi="Calibri" w:cs="Calibri"/>
        </w:rPr>
        <w:t>Culas</w:t>
      </w:r>
      <w:proofErr w:type="spellEnd"/>
      <w:r w:rsidR="00811E4E" w:rsidRPr="00811E4E">
        <w:rPr>
          <w:rFonts w:ascii="Calibri" w:hAnsi="Calibri" w:cs="Calibri"/>
        </w:rPr>
        <w:t xml:space="preserve"> 2007; </w:t>
      </w:r>
      <w:proofErr w:type="spellStart"/>
      <w:r w:rsidR="00811E4E" w:rsidRPr="00811E4E">
        <w:rPr>
          <w:rFonts w:ascii="Calibri" w:hAnsi="Calibri" w:cs="Calibri"/>
        </w:rPr>
        <w:t>Gaughan</w:t>
      </w:r>
      <w:proofErr w:type="spellEnd"/>
      <w:r w:rsidR="00811E4E" w:rsidRPr="00811E4E">
        <w:rPr>
          <w:rFonts w:ascii="Calibri" w:hAnsi="Calibri" w:cs="Calibri"/>
        </w:rPr>
        <w:t xml:space="preserve"> et al. 2009; </w:t>
      </w:r>
      <w:proofErr w:type="spellStart"/>
      <w:r w:rsidR="00811E4E" w:rsidRPr="00811E4E">
        <w:rPr>
          <w:rFonts w:ascii="Calibri" w:hAnsi="Calibri" w:cs="Calibri"/>
        </w:rPr>
        <w:t>Frewer</w:t>
      </w:r>
      <w:proofErr w:type="spellEnd"/>
      <w:r w:rsidR="00811E4E" w:rsidRPr="00811E4E">
        <w:rPr>
          <w:rFonts w:ascii="Calibri" w:hAnsi="Calibri" w:cs="Calibri"/>
        </w:rPr>
        <w:t xml:space="preserve"> &amp; Chan 2014)</w:t>
      </w:r>
      <w:r w:rsidRPr="006C7758">
        <w:fldChar w:fldCharType="end"/>
      </w:r>
      <w:r w:rsidRPr="006C7758">
        <w:t xml:space="preserve">, and biodiversity </w:t>
      </w:r>
      <w:r w:rsidRPr="006C7758">
        <w:fldChar w:fldCharType="begin"/>
      </w:r>
      <w:r w:rsidR="00811E4E">
        <w:instrText xml:space="preserve"> ADDIN ZOTERO_ITEM CSL_CITATION {"citationID":"mDx6OkB0","properties":{"formattedCitation":"(Hearn et al. 2018; Chapman et al. 2018)","plainCitation":"(Hearn et al. 2018; Chapman et al. 2018)","noteIndex":0},"citationItems":[{"id":1976,"uris":["http://zotero.org/users/2170232/items/Y9Y4H5KS"],"uri":["http://zotero.org/users/2170232/items/Y9Y4H5KS"],"itemData":{"id":1976,"type":"article-journal","abstract":"Biodiversity conservation strategies increasingly target maintaining evolutionary history and the resilience of ecosystem function, not just species richness (SR). This has led to the emergence of two metrics commonly proposed as tools for decision making: phylogenetic diversity (PD) and functional diversity (FD). Yet, the extent to which they are interchangeable remains poorly understood. We explore shifts in and relationships between FD and PD of bird communities across a disturbance gradient in Borneo, from old-growth tropical forest to oil palm plantation. We show a marked decline in PD, and an increase in phylogenetic mean nearest taxon distance from forest to oil palm, in line with declining SR across the gradient. However, phylogenetic mean pairwise distance is constrained by forest logging more than by conversion to oil palm, taking account of SR. The decline in FD across the gradient is less severe than in PD, with all metrics indicating relatively high trait diversity in oil palm despite low SR, although functional redundancy is much reduced. Accounting for SR, levels of functional over- or under-dispersion of bird communities are strongly coupled to habitat disturbance level rather than to any equivalent phylogenetic metric. Policy implications. We suggest that while phylogenetic diversity (PD) is an improvement on species richness as a proxy for functional diversity (FD), conservation decisions based on phylogenetic diversity alone cannot reliably safeguard maximal functional diversity. Thus, phylogenetic diversity and functional diversity are related but still complementary. Priority setting exercises should use these metrics in combination to identify conservation targets.","container-title":"Journal of Applied Ecology","DOI":"10.1111/1365-2664.13073","ISSN":"1365-2664","issue":"4","language":"en","page":"1604-1614","source":"Wiley Online Library","title":"Contrasting impacts of land-use change on phylogenetic and functional diversity of tropical forest birds","volume":"55","author":[{"family":"Chapman","given":"Philip M."},{"family":"Tobias","given":"Joseph A."},{"family":"Edwards","given":"David P."},{"family":"Davies","given":"Richard G."}],"issued":{"date-parts":[["2018",7,1]]}}},{"id":1842,"uris":["http://zotero.org/users/2170232/items/VQMXAE7B"],"uri":["http://zotero.org/users/2170232/items/VQMXAE7B"],"itemData":{"id":1842,"type":"article-journal","abstract":"The forests of Borneo support some of the highest biodiversity in the world, yet have experienced among the world's highest rates of deforestation. Such rapid forest loss and associated fragmentation reduces the availability of suitable habitat for wildlife and creates dispersion barriers. Understanding the prevalence and impacts of this anthropogenic disturbance, and developing ways in which to mitigate such changes, is thus critical to the conservation of Borneo's wildlife. Here, we applied a path selection function with conditional logistic regression and used it to develop a resistance surface for a population of Sunda clouded leopards (Neofelis diardi) residing within a fragmented and human dominated landscape in Malaysian Borneo. We used cumulative resistant kernel and factorial least-cost path analysis to predict how connectivity may change in response to four future scenarios involving conversion of remaining unproductive forest to palm oil plantations, conversion of unproductive palm oil back to forest, and restoration of a riparian buffer zone along the river, and combination of the two forest restoration scenarios. We showed that Sunda clouded leopard movement is facilitated by forest canopy cover and resisted by non-forest vegetation, particularly recently cleared/planted and underproductive (flooded) plantation areas with low canopy closure. By combining resistant kernel and factorial least-cost path modelling we mapped core areas and the main linkages among them, and identified several key pinch points that may limit regional connectivity of the population. We predict that Sunda clouded leopard connectivity in the region can be greatly enhanced through the protection of privately owned forest patches and the reforestation of underproductive oil palm plantation areas, and creation of a forested buffer zone along the river. Conversely, we show that if the region's unprotected forests were to be converted to plantations then connectivity across the Kinabatangan floodplain would be significantly reduced.","container-title":"Biological Conservation","DOI":"10.1016/j.biocon.2018.04.016","ISSN":"0006-3207","journalAbbreviation":"Biological Conservation","page":"232-240","source":"ScienceDirect","title":"Evaluating scenarios of landscape change for Sunda clouded leopard connectivity in a human dominated landscape","volume":"222","author":[{"family":"Hearn","given":"Andrew J."},{"family":"Cushman","given":"Samuel A."},{"family":"Goossens","given":"Benoit"},{"family":"Macdonald","given":"Ewan"},{"family":"Ross","given":"Joanna"},{"family":"Hunter","given":"Luke T. B."},{"family":"Abram","given":"Nicola K."},{"family":"Macdonald","given":"David W."}],"issued":{"date-parts":[["2018",6,1]]}}}],"schema":"https://github.com/citation-style-language/schema/raw/master/csl-citation.json"} </w:instrText>
      </w:r>
      <w:r w:rsidRPr="006C7758">
        <w:fldChar w:fldCharType="separate"/>
      </w:r>
      <w:r w:rsidR="00811E4E" w:rsidRPr="00811E4E">
        <w:rPr>
          <w:rFonts w:ascii="Calibri" w:hAnsi="Calibri" w:cs="Calibri"/>
        </w:rPr>
        <w:t>(Hearn et al. 2018; Chapman et al. 2018)</w:t>
      </w:r>
      <w:r w:rsidRPr="006C7758">
        <w:fldChar w:fldCharType="end"/>
      </w:r>
      <w:r w:rsidRPr="006C7758">
        <w:t xml:space="preserve">. The drivers of tropical deforestation vary both by location and by scale, ranging from broader drivers such as population pressure and weak institutions </w:t>
      </w:r>
      <w:r w:rsidRPr="006C7758">
        <w:fldChar w:fldCharType="begin"/>
      </w:r>
      <w:r w:rsidR="00811E4E">
        <w:instrText xml:space="preserve"> ADDIN ZOTERO_ITEM CSL_CITATION {"citationID":"EmhxK2qd","properties":{"formattedCitation":"(Geist &amp; Lambin 2002)","plainCitation":"(Geist &amp; Lambin 2002)","noteIndex":0},"citationItems":[{"id":1947,"uris":["http://zotero.org/users/2170232/items/HNTSNFG3"],"uri":["http://zotero.org/users/2170232/items/HNTSNFG3"],"itemData":{"id":1947,"type":"article-journal","abstract":"One of the primary causes of global environmental change is tropical deforestation, but the question of what factors drive deforestation remains largely unanswe","container-title":"BioScience","DOI":"10.1641/0006-3568(2002)052[0143:PCAUDF]2.0.CO;2","ISSN":"0006-3568","issue":"2","journalAbbreviation":"BioScience","language":"en","page":"143-150","source":"academic.oup.com","title":"Proximate Causes and Underlying Driving Forces of Tropical DeforestationTropical forests are disappearing as the result of many pressures, both local and regional, acting in various combinations in different geographical locations","volume":"52","author":[{"family":"Geist","given":"Helmut J."},{"family":"Lambin","given":"Eric F."}],"issued":{"date-parts":[["2002",2,1]]}}}],"schema":"https://github.com/citation-style-language/schema/raw/master/csl-citation.json"} </w:instrText>
      </w:r>
      <w:r w:rsidRPr="006C7758">
        <w:fldChar w:fldCharType="separate"/>
      </w:r>
      <w:r w:rsidR="00811E4E" w:rsidRPr="00811E4E">
        <w:rPr>
          <w:rFonts w:ascii="Calibri" w:hAnsi="Calibri" w:cs="Calibri"/>
        </w:rPr>
        <w:t xml:space="preserve">(Geist &amp; </w:t>
      </w:r>
      <w:proofErr w:type="spellStart"/>
      <w:r w:rsidR="00811E4E" w:rsidRPr="00811E4E">
        <w:rPr>
          <w:rFonts w:ascii="Calibri" w:hAnsi="Calibri" w:cs="Calibri"/>
        </w:rPr>
        <w:t>Lambin</w:t>
      </w:r>
      <w:proofErr w:type="spellEnd"/>
      <w:r w:rsidR="00811E4E" w:rsidRPr="00811E4E">
        <w:rPr>
          <w:rFonts w:ascii="Calibri" w:hAnsi="Calibri" w:cs="Calibri"/>
        </w:rPr>
        <w:t xml:space="preserve"> 2002)</w:t>
      </w:r>
      <w:r w:rsidRPr="006C7758">
        <w:fldChar w:fldCharType="end"/>
      </w:r>
      <w:r w:rsidRPr="006C7758">
        <w:t xml:space="preserve">, to proximate causes at a local level such as the expansion of cash crops, agriculture, and other food production </w:t>
      </w:r>
      <w:r w:rsidRPr="006C7758">
        <w:fldChar w:fldCharType="begin"/>
      </w:r>
      <w:r w:rsidR="00811E4E">
        <w:instrText xml:space="preserve"> ADDIN ZOTERO_ITEM CSL_CITATION {"citationID":"UpA8XHle","properties":{"formattedCitation":"(Wilcove et al. 2013; Stibig et al. 2014; Imai et al. 2018; Zeng et al. 2018; Estoque et al. 2019)","plainCitation":"(Wilcove et al. 2013; Stibig et al. 2014; Imai et al. 2018; Zeng et al. 2018; Estoque et al. 2019)","noteIndex":0},"citationItems":[{"id":2193,"uris":["http://zotero.org/users/2170232/items/XLXDWBAC"],"uri":["http://zotero.org/users/2170232/items/XLXDWBAC"],"itemData":{"id":2193,"type":"article-journal","abstract":"While Southeast Asia’s forests play important roles in biodiversity conservation and global carbon (C) balance, the region is also a deforestation hotspot. Here, we consider the five shared socioeconomic pathways (SSPs) to portray a range of plausible futures for the region’s forests, employing a state-of-the-art land change modelling procedure and remotely sensed data. We find that by 2050 under the worst-case scenario, SSP 3 (regional rivalry/a rocky road), the region’s forests would shrink by 5.2 million ha. The region’s aboveground forest carbon stock (AFCS) would decrease by 790 Tg C, 21% of which would be due to old-growth forest loss. Conversely, under the best-case scenario, SSP 1 (sustainability/taking the green road), the region is projected to gain 19.6 million ha of forests and 1651 Tg C of AFCS. The choice of the pathway is thus critical for the future of the region’s forests and their ecosystem functions and services.","container-title":"Nature Communications","DOI":"10.1038/s41467-019-09646-4","ISSN":"2041-1723","issue":"1","language":"en","page":"1829","source":"www.nature.com","title":"The future of Southeast Asia’s forests","volume":"10","author":[{"family":"Estoque","given":"Ronald C."},{"family":"Ooba","given":"Makoto"},{"family":"Avitabile","given":"Valerio"},{"family":"Hijioka","given":"Yasuaki"},{"family":"DasGupta","given":"Rajarshi"},{"family":"Togawa","given":"Takuya"},{"family":"Murayama","given":"Yuji"}],"issued":{"date-parts":[["2019",4,23]]}}},{"id":2735,"uris":["http://zotero.org/users/2170232/items/NRDB68R8"],"uri":["http://zotero.org/users/2170232/items/NRDB68R8"],"itemData":{"id":2735,"type":"article-journal","abstract":"While many tropical countries are experiencing rapid deforestation, some have experienced forest transition (FT) from net deforestation to net reforestation. Numerous studies have identified causative factors of FT, among which forest scarcity has been considered as a prerequisite for FT. In fact, in SE Asia, the Philippines, Thailand and Viet Nam, which experienced FT since 1990, exhibited a lower remaining forest area (30±8%) than the other five countries (68±6%, Cambodia, Indonesia, Laos, Malaysia, and Myanmar) where forest loss continues. In this study, we examined 1) the factors associated with forest scarcity, 2) the proximate and/or underlying factors that have driven forest area change, and 3) whether causative factors changed across FT phases (from deforestation to net forest gain) during 1980–2010 in the eight SE Asian countries. We used production of wood, food, and export-oriented food commodities as proximate causes and demographic, social, economic and environmental factors, as well as land-use efficiency, and wood and food trade as underlying causes that affect forest area change. Remaining forest area in 1990 was negatively correlated with population density and potential land area of lowland forests, while positively correlated with per capita wood production. This implies that countries rich in accessible and productive forests, and higher population pressures are the ones that have experienced forest scarcity, and eventually FT. Food production and agricultural input were negatively and positively correlated, respectively, with forest area change during 1980–2009. This indicates that more food production drives deforestation, but higher efficiency of agriculture is correlated with forest gain. We also found a U-shaped response of forest area change to social openness, suggesting that forest gain can be achieved in both open and closed countries, but deforestation might be accelerated in countries undergoing societal transition. These results indicate the importance of environmental, agricultural and social variables on forest area dynamics, and have important implications for predicting future tropical forest change.","container-title":"PLOS ONE","DOI":"10.1371/journal.pone.0197391","ISSN":"1932-6203","issue":"5","journalAbbreviation":"PLOS ONE","language":"en","note":"publisher: Public Library of Science","page":"e0197391","source":"PLoS Journals","title":"Factors affecting forest area change in Southeast Asia during 1980-2010","volume":"13","author":[{"family":"Imai","given":"Nobuo"},{"family":"Furukawa","given":"Takuya"},{"family":"Tsujino","given":"Riyou"},{"family":"Kitamura","given":"Shumpei"},{"family":"Yumoto","given":"Takakazu"}],"issued":{"date-parts":[["2018",5,15]]}}},{"id":2733,"uris":["http://zotero.org/users/2170232/items/DZPX3TUY"],"uri":["http://zotero.org/users/2170232/items/DZPX3TUY"],"itemData":{"id":2733,"type":"article-journal","abstract":"&lt;p&gt;&lt;strong class=\"journal-contentHeaderColor\"&gt;Abstract.&lt;/strong&gt; The study assesses the extent and trends of forest cover in Southeast Asia for the periods 1990–2000 and 2000–2010 and provides an overview on the main causes of forest cover change. A systematic sample of 418 sites (10 km × 10 km size) located at the one-degree geographical confluence points and covered with satellite imagery of 30 m resolution is used for the assessment. Techniques of image segmentation and automated classification are combined with visual satellite image interpretation and quality control, involving forestry experts from Southeast Asian countries. The accuracy of our results is assessed through an independent consistency assessment, performed from a subsample of 1572 mapping units and resulting in an overall agreement of &gt;85% for the general differentiation of forest cover versus non-forest cover. The total forest cover of Southeast Asia is estimated at 268 Mha in 1990, dropping to 236 Mha in 2010, with annual change rates of 1.75 Mha (&amp;sim;0.67%) and 1.45 Mha (&amp;sim;0.59%) for the periods 1990–2000 and 2000–2010, respectively. The vast majority of forest cover loss (&amp;sim;2 / 3 for 2000–2010) occurred in insular Southeast Asia. Complementing our quantitative results by indicative information on patterns and on processes of forest change, obtained from the screening of satellite imagery and through expert consultation, respectively, confirms the conversion of forest to cash crops plantations (including oil palm) as the main cause of forest loss in Southeast Asia. Logging and the replacement of natural forests by forest plantations are two further important change processes in the region.&lt;/p&gt;","container-title":"Biogeosciences","DOI":"10.5194/bg-11-247-2014","ISSN":"1726-4170","issue":"2","language":"English","note":"publisher: Copernicus GmbH","page":"247-258","source":"bg.copernicus.org","title":"Change in tropical forest cover of Southeast Asia from 1990 to 2010","volume":"11","author":[{"family":"Stibig","given":"H.-J."},{"family":"Achard","given":"F."},{"family":"Carboni","given":"S."},{"family":"Raši","given":"R."},{"family":"Miettinen","given":"J."}],"issued":{"date-parts":[["2014",1,22]]}}},{"id":2195,"uris":["http://zotero.org/users/2170232/items/M5QJLZLP"],"uri":["http://zotero.org/users/2170232/items/M5QJLZLP"],"itemData":{"id":2195,"type":"article-journal","abstract":"In 2004, Navjot Sodhi and colleagues warned that logging and agricultural conversion of Southeast Asia's forests were leading to a biodiversity disaster. We evaluate this prediction against subsequent research and conclude that most of the fauna of the region can persist in logged forests. Conversely, conversion of primary or logged forests to plantation crops, such as oil palm, causes tremendous biodiversity loss. This loss is exacerbated by increased fire frequency. Therefore, we conclude that preventing agricultural conversion of logged forests is essential to conserving the biodiversity of this region. Our analysis also suggests that, because Southeast Asian forests are tightly tied to global commodity markets, conservation payments commensurate with combined returns from logging and subsequent agricultural production may be required to secure long-term forest protection.","container-title":"Trends in Ecology &amp; Evolution","DOI":"10.1016/j.tree.2013.04.005","ISSN":"0169-5347","issue":"9","journalAbbreviation":"Trends in Ecology &amp; Evolution","language":"en","page":"531-540","source":"ScienceDirect","title":"Navjot's nightmare revisited: logging, agriculture, and biodiversity in Southeast Asia","title-short":"Navjot's nightmare revisited","volume":"28","author":[{"family":"Wilcove","given":"David S."},{"family":"Giam","given":"Xingli"},{"family":"Edwards","given":"David P."},{"family":"Fisher","given":"Brendan"},{"family":"Koh","given":"Lian Pin"}],"issued":{"date-parts":[["2013",9,1]]}}},{"id":1978,"uris":["http://zotero.org/users/2170232/items/3I4YRHR4"],"uri":["http://zotero.org/users/2170232/items/3I4YRHR4"],"itemData":{"id":1978,"type":"article-journal","abstract":"Cultivated areas have expanded at the expense of forests, including primary and protected forests, in Southeast Asian highlands, according to an analysis of satellite imagery of the region.","container-title":"Nature Geoscience","DOI":"10.1038/s41561-018-0166-9","ISSN":"1752-0908","language":"en","page":"1","source":"www.nature.com","title":"Highland cropland expansion and forest loss in Southeast Asia in the twenty-first century","author":[{"family":"Zeng","given":"Zhenzhong"},{"family":"Estes","given":"Lyndon"},{"family":"Ziegler","given":"Alan D."},{"family":"Chen","given":"Anping"},{"family":"Searchinger","given":"Timothy"},{"family":"Hua","given":"Fangyuan"},{"family":"Guan","given":"Kaiyu"},{"family":"Jintrawet","given":"Attachai"},{"family":"Wood","given":"Eric F."}],"issued":{"date-parts":[["2018",7,2]]}}}],"schema":"https://github.com/citation-style-language/schema/raw/master/csl-citation.json"} </w:instrText>
      </w:r>
      <w:r w:rsidRPr="006C7758">
        <w:fldChar w:fldCharType="separate"/>
      </w:r>
      <w:r w:rsidR="00811E4E" w:rsidRPr="00811E4E">
        <w:rPr>
          <w:rFonts w:ascii="Calibri" w:hAnsi="Calibri" w:cs="Calibri"/>
        </w:rPr>
        <w:t>(</w:t>
      </w:r>
      <w:proofErr w:type="spellStart"/>
      <w:r w:rsidR="00811E4E" w:rsidRPr="00811E4E">
        <w:rPr>
          <w:rFonts w:ascii="Calibri" w:hAnsi="Calibri" w:cs="Calibri"/>
        </w:rPr>
        <w:t>Wilcove</w:t>
      </w:r>
      <w:proofErr w:type="spellEnd"/>
      <w:r w:rsidR="00811E4E" w:rsidRPr="00811E4E">
        <w:rPr>
          <w:rFonts w:ascii="Calibri" w:hAnsi="Calibri" w:cs="Calibri"/>
        </w:rPr>
        <w:t xml:space="preserve"> et al. 2013; </w:t>
      </w:r>
      <w:proofErr w:type="spellStart"/>
      <w:r w:rsidR="00811E4E" w:rsidRPr="00811E4E">
        <w:rPr>
          <w:rFonts w:ascii="Calibri" w:hAnsi="Calibri" w:cs="Calibri"/>
        </w:rPr>
        <w:t>Stibig</w:t>
      </w:r>
      <w:proofErr w:type="spellEnd"/>
      <w:r w:rsidR="00811E4E" w:rsidRPr="00811E4E">
        <w:rPr>
          <w:rFonts w:ascii="Calibri" w:hAnsi="Calibri" w:cs="Calibri"/>
        </w:rPr>
        <w:t xml:space="preserve"> et al. 2014; Imai et al. 2018; Zeng et al. 2018; Estoque et al. 2019)</w:t>
      </w:r>
      <w:r w:rsidRPr="006C7758">
        <w:fldChar w:fldCharType="end"/>
      </w:r>
      <w:r w:rsidRPr="006C7758">
        <w:t xml:space="preserve">, the associated development of roads and infrastructure that facilitate such expansion </w:t>
      </w:r>
      <w:r w:rsidRPr="006C7758">
        <w:fldChar w:fldCharType="begin"/>
      </w:r>
      <w:r w:rsidR="00811E4E">
        <w:instrText xml:space="preserve"> ADDIN ZOTERO_ITEM CSL_CITATION {"citationID":"rKcBzjEI","properties":{"formattedCitation":"(Hughes 2018)","plainCitation":"(Hughes 2018)","noteIndex":0},"citationItems":[{"id":2335,"uris":["http://zotero.org/users/2170232/items/J2ZS8K3F"],"uri":["http://zotero.org/users/2170232/items/J2ZS8K3F"],"itemData":{"id":2335,"type":"article-journal","abstract":"The Indo-Malaysian region harbours some of the highest diversity globally, yet it is also has the highest rates of deforestation. Furthermore some countries have shown up-to a 10 times increase in the area deforested annually between 2001 and 2014. Large-scale forest clearance is preceded by the growth of road networks which provide a stark warning for the region's future as many of the roads established for clearance or infrastructure are illegal and unmapped. In some regions almost 100% of roads were previously unmapped on the global roads map, yet 99.9% of deforestation occurs within 2.5 km of these roads. In Borneo the majority of plantations are on an industrial-scale averaging over 10 km2 in size, whereas most of the region typically has plantations under 1 km2 integrated into a landscape mosaic, though the preliminary infrastructure for industrial plantations are being developed in parts of the region. Within the coming decade most of the region may lose almost all unprotected forests. As some countries have only 2% of their land-area protected this condemns many of the regions endemic species to extinction. Urgent measures are needed to protect a much larger proportion of remaining forest, as this offers the only means to protect many of the regions endemic species.","container-title":"Biological Conservation","DOI":"10.1016/j.biocon.2018.04.029","ISSN":"0006-3207","journalAbbreviation":"Biological Conservation","page":"129-137","source":"ScienceDirect","title":"Have Indo-Malaysian forests reached the end of the road?","volume":"223","author":[{"family":"Hughes","given":"Alice C."}],"issued":{"date-parts":[["2018"]]}}}],"schema":"https://github.com/citation-style-language/schema/raw/master/csl-citation.json"} </w:instrText>
      </w:r>
      <w:r w:rsidRPr="006C7758">
        <w:fldChar w:fldCharType="separate"/>
      </w:r>
      <w:r w:rsidR="00811E4E" w:rsidRPr="00811E4E">
        <w:rPr>
          <w:rFonts w:ascii="Calibri" w:hAnsi="Calibri" w:cs="Calibri"/>
        </w:rPr>
        <w:t>(Hughes 2018)</w:t>
      </w:r>
      <w:r w:rsidRPr="006C7758">
        <w:fldChar w:fldCharType="end"/>
      </w:r>
      <w:r w:rsidRPr="006C7758">
        <w:t xml:space="preserve">, and civil unrest and war </w:t>
      </w:r>
      <w:r w:rsidRPr="006C7758">
        <w:fldChar w:fldCharType="begin"/>
      </w:r>
      <w:r w:rsidR="00811E4E">
        <w:instrText xml:space="preserve"> ADDIN ZOTERO_ITEM CSL_CITATION {"citationID":"YkGNnzyW","properties":{"formattedCitation":"(Kaimowitz &amp; Faun\\uc0\\u233{} 2003; Price 2020)","plainCitation":"(Kaimowitz &amp; Fauné 2003; Price 2020)","noteIndex":0},"citationItems":[{"id":2743,"uris":["http://zotero.org/users/2170232/items/TGT4FUZQ"],"uri":["http://zotero.org/users/2170232/items/TGT4FUZQ"],"itemData":{"id":2743,"type":"article-journal","abstract":"In the 1980s, Nicaragua's Sandinista government faced armed mestizo and indigenous insurgencies in much of the nation's central and eastern regions. After the Sandinistas lost the 1990 elections, the in-coming government signed peace agreements with the insurgents and facilitated their return to civilian life. With the war over, the Nicaraguan army greatly reduced its troop strength, leaving tens of thousands of people unemployed. Within a few years, however, many former insurgents and soldiers took up arms again for multiple and complex reasons. This paper examines how three groups that rearmed influenced forest conservation in the buffer zone of Nicaragua's Bosawas Biosphere Reserve between 1991 and 1999. The three groups were the mestizo Northern Front 3-80 (FN 3-80) and the Andrés Castro United Forces (FUAC), made up of former ‘Nicaraguan Resistance’ and Sandinista soldiers respectively, and the Miskito YATAMA movement. The presence of these armed groups impeded the government from taking coercive action to remove farmers from the reserve's nucleus. It also limited the advance of cattle ranching. At times, the groups favored logging, at times they did not. The armed conflicts have tended to keep out prudent foreign investors and encourage the presence of smaller companies willing to take greater risks.","container-title":"Journal of Sustainable Forestry","DOI":"10.1300/J091v16n03_02","ISSN":"1054-9811","issue":"3-4","note":"publisher: Taylor &amp; Francis\n_eprint: https://doi.org/10.1300/J091v16n03_02","page":"21-46","source":"Taylor and Francis+NEJM","title":"Contras and Comandantes","volume":"16","author":[{"family":"Kaimowitz","given":"David"},{"family":"Fauné","given":"Angelica"}],"issued":{"date-parts":[["2003",3,1]]}}},{"id":2741,"uris":["http://zotero.org/users/2170232/items/7R5ICILE"],"uri":["http://zotero.org/users/2170232/items/7R5ICILE"],"itemData":{"id":2741,"type":"book","abstract":"Explore the conservation implications of recent armed conflicts in the tropical forest regions of Asia, Africa, and Latin America!  From the lowland rainforests of the Colombian Amazon to the rugged habitat of Rwanda's mountain gorillas, civil, ethnic, and international wars have had severe impacts on tropical forests and the communities they sustain. The reemergence of war and the persistence of its impacts have led many conservationists to reassess their efforts and adapt their strategies to a new set of responsibilities and urgent challenges. War and Tropical Forests: Conservation in Areas of Armed Conflict explores these challenges and the lessons learned by conservationists working in conflict zones around the world. It combines case studies and comparative analyses by leading experts in ecological research, environmental policy, and conservation field programs to provide insight into the environmental dimensions of recent social, political, and humanitarian crises. War and Tropical Forests reviews lessons learned from conflict zones around the world and explores:  the potential of conservation to reduce the frequency, duration, and impact of war  preparation of conservation programs and local communities for crises  strategies for maintaining conservation capacity during times of conflict  the underlying political and economic factors that fuel war  legal mechanisms for addressing wartime damage to tropical forests  building partnerships amidst civil strife and political upheaval  This essential book also examines:  the Indonesian military's role in illegal logging and deforestation  violent conflict and gorilla poaching in the Democratic Republic of Congo  armed movements and forest conservation in Nicaragua's largest protected area  and much more! War and Tropical Forests also addresses the role of militaries in the inequitable control and illicit use of forest resources, the environmental impact of refugees, the growing social and environmental costs of efforts to eradicate drug crops, and the impact of conflict on protected area management in the habitat of Africa's endangered great apes.  War and Tropical Forests is an essential resource for conservation practitioners and policymakers, as well as anyone involved with human rights, conflict resolution, rural development, international law, or foreign relations.","ISBN":"978-1-00-015681-2","language":"en","note":"Google-Books-ID: hxb8DwAAQBAJ","number-of-pages":"224","publisher":"CRC Press","source":"Google Books","title":"War and Tropical Forests: Conservation in Areas of Armed Conflict","title-short":"War and Tropical Forests","author":[{"family":"Price","given":"Steven"}],"issued":{"date-parts":[["2020",9,10]]}}}],"schema":"https://github.com/citation-style-language/schema/raw/master/csl-citation.json"} </w:instrText>
      </w:r>
      <w:r w:rsidRPr="006C7758">
        <w:fldChar w:fldCharType="separate"/>
      </w:r>
      <w:r w:rsidR="00811E4E" w:rsidRPr="00811E4E">
        <w:rPr>
          <w:rFonts w:ascii="Calibri" w:hAnsi="Calibri" w:cs="Calibri"/>
          <w:szCs w:val="24"/>
        </w:rPr>
        <w:t>(</w:t>
      </w:r>
      <w:proofErr w:type="spellStart"/>
      <w:r w:rsidR="00811E4E" w:rsidRPr="00811E4E">
        <w:rPr>
          <w:rFonts w:ascii="Calibri" w:hAnsi="Calibri" w:cs="Calibri"/>
          <w:szCs w:val="24"/>
        </w:rPr>
        <w:t>Kaimowitz</w:t>
      </w:r>
      <w:proofErr w:type="spellEnd"/>
      <w:r w:rsidR="00811E4E" w:rsidRPr="00811E4E">
        <w:rPr>
          <w:rFonts w:ascii="Calibri" w:hAnsi="Calibri" w:cs="Calibri"/>
          <w:szCs w:val="24"/>
        </w:rPr>
        <w:t xml:space="preserve"> &amp; </w:t>
      </w:r>
      <w:proofErr w:type="spellStart"/>
      <w:r w:rsidR="00811E4E" w:rsidRPr="00811E4E">
        <w:rPr>
          <w:rFonts w:ascii="Calibri" w:hAnsi="Calibri" w:cs="Calibri"/>
          <w:szCs w:val="24"/>
        </w:rPr>
        <w:t>Fauné</w:t>
      </w:r>
      <w:proofErr w:type="spellEnd"/>
      <w:r w:rsidR="00811E4E" w:rsidRPr="00811E4E">
        <w:rPr>
          <w:rFonts w:ascii="Calibri" w:hAnsi="Calibri" w:cs="Calibri"/>
          <w:szCs w:val="24"/>
        </w:rPr>
        <w:t xml:space="preserve"> 2003; Price 2020)</w:t>
      </w:r>
      <w:r w:rsidRPr="006C7758">
        <w:fldChar w:fldCharType="end"/>
      </w:r>
      <w:r w:rsidRPr="006C7758">
        <w:t xml:space="preserve">. </w:t>
      </w:r>
    </w:p>
    <w:p w14:paraId="7C95C6AD" w14:textId="4D9B0C0A" w:rsidR="006C7758" w:rsidRPr="006C7758" w:rsidRDefault="006C7758">
      <w:r w:rsidRPr="006C7758">
        <w:t xml:space="preserve"> </w:t>
      </w:r>
    </w:p>
    <w:p w14:paraId="6C0023C7" w14:textId="185C8A50" w:rsidR="00FD012C" w:rsidRDefault="005620D2">
      <w:r>
        <w:lastRenderedPageBreak/>
        <w:t>Forest transitions – link to para above. Explanation of older theories plus newer papers. Case studies. To be able to identify which pathway a country is on, or how close to a transition they are, and what needs to be done to get there, we need to break down some of the complexity and understand how economics and agriculture are related to forest loss.</w:t>
      </w:r>
    </w:p>
    <w:p w14:paraId="3132DDC7" w14:textId="0BFAB40F" w:rsidR="005620D2" w:rsidRDefault="005620D2">
      <w:r>
        <w:t>Some other studies that have modelled relationships between macroeconomic, agriculture, and forest loss.</w:t>
      </w:r>
      <w:r w:rsidR="00141381">
        <w:t xml:space="preserve"> Introduce ELCs and their effect on forests – from the wider region. Background to ELCs in Cambodia. Key to understand relationships between macroeconomics and </w:t>
      </w:r>
      <w:proofErr w:type="spellStart"/>
      <w:r w:rsidR="00141381">
        <w:t>agro</w:t>
      </w:r>
      <w:proofErr w:type="spellEnd"/>
      <w:r w:rsidR="00141381">
        <w:t>-industry in Cambodia.</w:t>
      </w:r>
    </w:p>
    <w:p w14:paraId="2BDA47DE" w14:textId="0A53BE6E" w:rsidR="00141381" w:rsidRDefault="00141381">
      <w:r>
        <w:t>In this study…</w:t>
      </w:r>
    </w:p>
    <w:p w14:paraId="5339438C" w14:textId="77777777" w:rsidR="00FD012C" w:rsidRDefault="00FD012C"/>
    <w:p w14:paraId="685089B3" w14:textId="5C696AF6" w:rsidR="000A46B5" w:rsidRPr="007C7AA3" w:rsidRDefault="0064115C">
      <w:r>
        <w:t xml:space="preserve">Forest transitions and pathways </w:t>
      </w:r>
      <w:r w:rsidR="002238D4">
        <w:t>– the theory is useful but has limitations</w:t>
      </w:r>
    </w:p>
    <w:p w14:paraId="71A80A7D" w14:textId="67A26DCA" w:rsidR="000A46B5" w:rsidRDefault="0093383C">
      <w:r w:rsidRPr="0093383C">
        <w:t>Mather 2007 – China, India and Vietnam have all undergone forest transitions and these have been led largely by the governments</w:t>
      </w:r>
    </w:p>
    <w:p w14:paraId="5D5ACD80" w14:textId="34EE5DBE" w:rsidR="002238D4" w:rsidRPr="0093383C" w:rsidRDefault="002238D4">
      <w:proofErr w:type="spellStart"/>
      <w:r>
        <w:t>Youn</w:t>
      </w:r>
      <w:proofErr w:type="spellEnd"/>
      <w:r>
        <w:t xml:space="preserve"> et al 2017 – forest transitions in 9 Asian countries</w:t>
      </w:r>
    </w:p>
    <w:p w14:paraId="6A1BCBAE" w14:textId="6B27CA88" w:rsidR="000A46B5" w:rsidRPr="00C16DA9" w:rsidRDefault="00C16DA9">
      <w:r w:rsidRPr="00C16DA9">
        <w:t>Grogan et al 2019 – commodity prices driving LUC</w:t>
      </w:r>
    </w:p>
    <w:p w14:paraId="0EAC9FDD" w14:textId="0F7DA386" w:rsidR="000A46B5" w:rsidRDefault="000A46B5">
      <w:pPr>
        <w:rPr>
          <w:b/>
          <w:bCs/>
        </w:rPr>
      </w:pPr>
    </w:p>
    <w:p w14:paraId="61F71508" w14:textId="5EEC4A29" w:rsidR="000A46B5" w:rsidRDefault="000A46B5">
      <w:pPr>
        <w:rPr>
          <w:b/>
          <w:bCs/>
        </w:rPr>
      </w:pPr>
      <w:r>
        <w:rPr>
          <w:b/>
          <w:bCs/>
        </w:rPr>
        <w:t>Methods</w:t>
      </w:r>
    </w:p>
    <w:p w14:paraId="1059DA8F" w14:textId="77777777" w:rsidR="000A46B5" w:rsidRPr="000A46B5" w:rsidRDefault="000A46B5" w:rsidP="000A46B5">
      <w:pPr>
        <w:rPr>
          <w:b/>
          <w:bCs/>
          <w:i/>
          <w:iCs/>
        </w:rPr>
      </w:pPr>
      <w:r w:rsidRPr="000A46B5">
        <w:rPr>
          <w:b/>
          <w:bCs/>
          <w:i/>
          <w:iCs/>
        </w:rPr>
        <w:t>Study area</w:t>
      </w:r>
    </w:p>
    <w:p w14:paraId="62225273" w14:textId="1D8FA156" w:rsidR="000A46B5" w:rsidRPr="000A46B5" w:rsidRDefault="000A46B5" w:rsidP="000A46B5">
      <w:r w:rsidRPr="000A46B5">
        <w:rPr>
          <w:noProof/>
        </w:rPr>
        <w:drawing>
          <wp:anchor distT="0" distB="0" distL="114300" distR="114300" simplePos="0" relativeHeight="251659264" behindDoc="1" locked="0" layoutInCell="1" allowOverlap="1" wp14:anchorId="2DEFBACD" wp14:editId="60DE1C84">
            <wp:simplePos x="0" y="0"/>
            <wp:positionH relativeFrom="margin">
              <wp:align>left</wp:align>
            </wp:positionH>
            <wp:positionV relativeFrom="paragraph">
              <wp:posOffset>1332230</wp:posOffset>
            </wp:positionV>
            <wp:extent cx="4381500" cy="4381500"/>
            <wp:effectExtent l="0" t="0" r="0" b="0"/>
            <wp:wrapNone/>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381500" cy="438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A46B5">
        <w:t>This study investigated macroeconomic predictors of forest loss in Cambodia at the national scale between 1993 – 2015</w:t>
      </w:r>
      <w:r w:rsidR="005252BE">
        <w:t xml:space="preserve">. </w:t>
      </w:r>
      <w:r w:rsidRPr="000A46B5">
        <w:t>Cambodia is in mainland SEA and is bordered by Laos (NE), Thailand (NW), Vietnam (E), and the Gulf of Thailand (SW) (Figure 1). The country has a surface area of 176,520 km</w:t>
      </w:r>
      <w:r w:rsidRPr="000A46B5">
        <w:rPr>
          <w:vertAlign w:val="superscript"/>
        </w:rPr>
        <w:t>2</w:t>
      </w:r>
      <w:r w:rsidRPr="000A46B5">
        <w:t xml:space="preserve"> (UNCTAD, 2020) and is located at latitudes 10-14° north of the equator and thus has a tropical monsoon climate (McSweeney et al. 2010).</w:t>
      </w:r>
    </w:p>
    <w:p w14:paraId="59C1EFF3" w14:textId="77777777" w:rsidR="000A46B5" w:rsidRPr="000A46B5" w:rsidRDefault="000A46B5" w:rsidP="000A46B5"/>
    <w:p w14:paraId="001F25E2" w14:textId="77777777" w:rsidR="000A46B5" w:rsidRPr="000A46B5" w:rsidRDefault="000A46B5" w:rsidP="000A46B5">
      <w:pPr>
        <w:rPr>
          <w:b/>
          <w:bCs/>
          <w:i/>
          <w:iCs/>
        </w:rPr>
      </w:pPr>
    </w:p>
    <w:p w14:paraId="45FCF218" w14:textId="77777777" w:rsidR="000A46B5" w:rsidRPr="000A46B5" w:rsidRDefault="000A46B5" w:rsidP="000A46B5">
      <w:pPr>
        <w:rPr>
          <w:b/>
          <w:bCs/>
          <w:i/>
          <w:iCs/>
        </w:rPr>
      </w:pPr>
    </w:p>
    <w:p w14:paraId="13E055E5" w14:textId="77777777" w:rsidR="000A46B5" w:rsidRPr="000A46B5" w:rsidRDefault="000A46B5" w:rsidP="000A46B5">
      <w:pPr>
        <w:rPr>
          <w:b/>
          <w:bCs/>
          <w:i/>
          <w:iCs/>
        </w:rPr>
      </w:pPr>
    </w:p>
    <w:p w14:paraId="204BE585" w14:textId="77777777" w:rsidR="000A46B5" w:rsidRPr="000A46B5" w:rsidRDefault="000A46B5" w:rsidP="000A46B5">
      <w:pPr>
        <w:rPr>
          <w:b/>
          <w:bCs/>
          <w:i/>
          <w:iCs/>
        </w:rPr>
      </w:pPr>
    </w:p>
    <w:p w14:paraId="1AB0E30E" w14:textId="77777777" w:rsidR="000A46B5" w:rsidRPr="000A46B5" w:rsidRDefault="000A46B5" w:rsidP="000A46B5">
      <w:pPr>
        <w:rPr>
          <w:b/>
          <w:bCs/>
          <w:i/>
          <w:iCs/>
        </w:rPr>
      </w:pPr>
    </w:p>
    <w:p w14:paraId="0F034B5C" w14:textId="77777777" w:rsidR="000A46B5" w:rsidRPr="000A46B5" w:rsidRDefault="000A46B5" w:rsidP="000A46B5">
      <w:pPr>
        <w:rPr>
          <w:b/>
          <w:bCs/>
          <w:i/>
          <w:iCs/>
        </w:rPr>
      </w:pPr>
    </w:p>
    <w:p w14:paraId="0C6EAF8A" w14:textId="77777777" w:rsidR="000A46B5" w:rsidRPr="000A46B5" w:rsidRDefault="000A46B5" w:rsidP="000A46B5">
      <w:pPr>
        <w:rPr>
          <w:b/>
          <w:bCs/>
          <w:i/>
          <w:iCs/>
        </w:rPr>
      </w:pPr>
    </w:p>
    <w:p w14:paraId="0D50ED92" w14:textId="77777777" w:rsidR="000A46B5" w:rsidRPr="000A46B5" w:rsidRDefault="000A46B5" w:rsidP="000A46B5">
      <w:pPr>
        <w:rPr>
          <w:b/>
          <w:bCs/>
          <w:i/>
          <w:iCs/>
        </w:rPr>
      </w:pPr>
    </w:p>
    <w:p w14:paraId="74B6A27F" w14:textId="77777777" w:rsidR="000A46B5" w:rsidRPr="000A46B5" w:rsidRDefault="000A46B5" w:rsidP="000A46B5">
      <w:pPr>
        <w:rPr>
          <w:b/>
          <w:bCs/>
          <w:i/>
          <w:iCs/>
        </w:rPr>
      </w:pPr>
    </w:p>
    <w:p w14:paraId="1D84E5A3" w14:textId="77777777" w:rsidR="000A46B5" w:rsidRPr="000A46B5" w:rsidRDefault="000A46B5" w:rsidP="000A46B5">
      <w:pPr>
        <w:rPr>
          <w:b/>
          <w:bCs/>
          <w:i/>
          <w:iCs/>
        </w:rPr>
      </w:pPr>
    </w:p>
    <w:p w14:paraId="0E6A6FAA" w14:textId="77777777" w:rsidR="000A46B5" w:rsidRPr="000A46B5" w:rsidRDefault="000A46B5" w:rsidP="000A46B5">
      <w:pPr>
        <w:rPr>
          <w:b/>
          <w:bCs/>
          <w:i/>
          <w:iCs/>
        </w:rPr>
      </w:pPr>
    </w:p>
    <w:p w14:paraId="244A913F" w14:textId="77777777" w:rsidR="000A46B5" w:rsidRPr="000A46B5" w:rsidRDefault="000A46B5" w:rsidP="000A46B5">
      <w:pPr>
        <w:rPr>
          <w:b/>
          <w:bCs/>
          <w:i/>
          <w:iCs/>
        </w:rPr>
      </w:pPr>
    </w:p>
    <w:p w14:paraId="5BB2D21C" w14:textId="77777777" w:rsidR="000A46B5" w:rsidRPr="000A46B5" w:rsidRDefault="000A46B5" w:rsidP="000A46B5">
      <w:pPr>
        <w:rPr>
          <w:b/>
          <w:bCs/>
        </w:rPr>
      </w:pPr>
    </w:p>
    <w:p w14:paraId="2000D882" w14:textId="77777777" w:rsidR="005252BE" w:rsidRDefault="005252BE" w:rsidP="000A46B5">
      <w:pPr>
        <w:rPr>
          <w:b/>
          <w:bCs/>
        </w:rPr>
      </w:pPr>
    </w:p>
    <w:p w14:paraId="76336D29" w14:textId="5B7EAE45" w:rsidR="000A46B5" w:rsidRPr="000A46B5" w:rsidRDefault="000A46B5" w:rsidP="000A46B5">
      <w:pPr>
        <w:rPr>
          <w:b/>
          <w:bCs/>
          <w:i/>
          <w:iCs/>
          <w:sz w:val="20"/>
          <w:szCs w:val="20"/>
        </w:rPr>
      </w:pPr>
      <w:r w:rsidRPr="000A46B5">
        <w:rPr>
          <w:b/>
          <w:bCs/>
          <w:sz w:val="20"/>
          <w:szCs w:val="20"/>
        </w:rPr>
        <w:t xml:space="preserve">Figure 1. Map of Southeast Asia with Cambodia highlighted in red. </w:t>
      </w:r>
    </w:p>
    <w:p w14:paraId="508AA3CA" w14:textId="77777777" w:rsidR="000A46B5" w:rsidRPr="000A46B5" w:rsidRDefault="000A46B5" w:rsidP="000A46B5">
      <w:pPr>
        <w:rPr>
          <w:b/>
          <w:bCs/>
          <w:i/>
          <w:iCs/>
        </w:rPr>
      </w:pPr>
      <w:r w:rsidRPr="000A46B5">
        <w:rPr>
          <w:b/>
          <w:bCs/>
          <w:i/>
          <w:iCs/>
        </w:rPr>
        <w:t>Data sources</w:t>
      </w:r>
    </w:p>
    <w:p w14:paraId="6EA63835" w14:textId="4FFE6008" w:rsidR="000A46B5" w:rsidRPr="000A46B5" w:rsidRDefault="000A46B5" w:rsidP="000A46B5">
      <w:r w:rsidRPr="000A46B5">
        <w:t>National macroeconomic variables were acquired from publicly available sources (Table 1) for the period 1993 – 2015.</w:t>
      </w:r>
      <w:r>
        <w:t xml:space="preserve"> </w:t>
      </w:r>
      <w:r w:rsidRPr="000A46B5">
        <w:t xml:space="preserve">Data on economic land concessions, protected areas, and elevation (digital elevation model), and shapefiles for the country, provinces, and communes were provided by the </w:t>
      </w:r>
      <w:r w:rsidR="001A6F37">
        <w:t xml:space="preserve">Royal Government of Cambodia (via the </w:t>
      </w:r>
      <w:r w:rsidRPr="000A46B5">
        <w:t>Wildlife Conservation Society</w:t>
      </w:r>
      <w:r w:rsidR="001A6F37">
        <w:t>)</w:t>
      </w:r>
      <w:r w:rsidRPr="000A46B5">
        <w:t>. Forest cover layers were taken from the publicly available European Space Agency Climate Change Initiative (ESACCI) satellite data for the years 1993 – 2015.</w:t>
      </w:r>
    </w:p>
    <w:p w14:paraId="6907946E" w14:textId="788DB002" w:rsidR="000A46B5" w:rsidRPr="000A46B5" w:rsidRDefault="000A46B5" w:rsidP="000A46B5">
      <w:pPr>
        <w:rPr>
          <w:b/>
          <w:bCs/>
          <w:i/>
          <w:iCs/>
        </w:rPr>
      </w:pPr>
      <w:r w:rsidRPr="000A46B5">
        <w:rPr>
          <w:b/>
          <w:bCs/>
          <w:i/>
          <w:iCs/>
        </w:rPr>
        <w:t>Variable selection</w:t>
      </w:r>
    </w:p>
    <w:p w14:paraId="3487211B" w14:textId="41734C74" w:rsidR="000A46B5" w:rsidRPr="000A46B5" w:rsidRDefault="000A46B5" w:rsidP="000A46B5">
      <w:r w:rsidRPr="000A46B5">
        <w:t xml:space="preserve">The response variables were 1) change in forest cover (forest loss) from time </w:t>
      </w:r>
      <w:r w:rsidRPr="000A46B5">
        <w:rPr>
          <w:i/>
          <w:iCs/>
        </w:rPr>
        <w:t>t</w:t>
      </w:r>
      <w:r w:rsidRPr="000A46B5">
        <w:t xml:space="preserve"> to time </w:t>
      </w:r>
      <w:r w:rsidRPr="000A46B5">
        <w:rPr>
          <w:i/>
          <w:iCs/>
        </w:rPr>
        <w:t>t</w:t>
      </w:r>
      <w:r w:rsidRPr="000A46B5">
        <w:rPr>
          <w:i/>
          <w:iCs/>
          <w:vertAlign w:val="subscript"/>
        </w:rPr>
        <w:t>+1</w:t>
      </w:r>
      <w:r w:rsidRPr="000A46B5">
        <w:t xml:space="preserve"> and 2) the number of new economic land concession (ELC) allocations in year </w:t>
      </w:r>
      <w:r w:rsidRPr="000A46B5">
        <w:rPr>
          <w:i/>
          <w:iCs/>
        </w:rPr>
        <w:t>t</w:t>
      </w:r>
      <w:r w:rsidRPr="000A46B5">
        <w:t>.</w:t>
      </w:r>
      <w:r>
        <w:t xml:space="preserve"> </w:t>
      </w:r>
      <w:commentRangeStart w:id="0"/>
      <w:r w:rsidRPr="000A46B5">
        <w:t>Macroeconomic</w:t>
      </w:r>
      <w:r>
        <w:t xml:space="preserve"> </w:t>
      </w:r>
      <w:r w:rsidRPr="000A46B5">
        <w:t xml:space="preserve">and control variables were selected based on a combination of previous studies, data availability, and the authors’ knowledge of Cambodia. </w:t>
      </w:r>
      <w:commentRangeEnd w:id="0"/>
      <w:r w:rsidR="00667CED">
        <w:rPr>
          <w:rStyle w:val="CommentReference"/>
        </w:rPr>
        <w:commentReference w:id="0"/>
      </w:r>
      <w:r w:rsidRPr="000A46B5">
        <w:t xml:space="preserve">Macroeconomic variables were selected to create three sets of predictors, each targeting a different driver: economic development (n=8), commodity prices (external market forces, n=8), and producer prices (internal market forces, n=5) </w:t>
      </w:r>
      <w:r w:rsidRPr="000A46B5">
        <w:fldChar w:fldCharType="begin"/>
      </w:r>
      <w:r w:rsidRPr="000A46B5">
        <w:instrText xml:space="preserve"> ADDIN ZOTERO_ITEM CSL_CITATION {"citationID":"Jh7awMDy","properties":{"formattedCitation":"(Nelson et al. 2006; Ewers 2006; Gong et al. 2013; Kuang et al. 2016; Fan &amp; Ding 2016; Bonilla-Bedoya et al. 2018)","plainCitation":"(Nelson et al. 2006; Ewers 2006; Gong et al. 2013; Kuang et al. 2016; Fan &amp; Ding 2016; Bonilla-Bedoya et al. 2018)","dontUpdate":true,"noteIndex":0},"citationItems":[{"id":165,"uris":["http://zotero.org/users/2170232/items/9J63RXYK"],"uri":["http://zotero.org/users/2170232/items/9J63RXYK"],"itemData":{"id":165,"type":"article-journal","abstract":"This paper provides an overview of what the Millennium Ecosystem Assessment (MA) call \"indirect and direct drivers\" of change in ecosystem services at a global level. The MA definition of a driver is any natural or human-induced factor that directly or indirectly causes a change in an ecosystem. A direct driver unequivocally influences ecosystem processes. An indirect driver operates more diffusely by altering one or more direct drivers. Global driving forces are categorized as demographic, economic, sociopolitical, cultural and religious, scientific and technological, and physical and biological. Drivers in all categories other than physical and biological are considered indirect. Important direct drivers include changes in climate, plant nutrient use, land conversion, and diseases and invasive species. This paper does not  discuss natural drivers such as climate variability, extreme weather events, or volcanic eruptions.","container-title":"Ecology and Society","ISSN":"1708-3087","language":"en","source":"pure.iiasa.ac.at","title":"Anthropogenic drivers of ecosystem change: An overview","title-short":"Anthropogenic drivers of ecosystem change","URL":"http://www.ecologyandsociety.org/vol11/iss2/art29/","volume":"11","author":[{"family":"Nelson","given":"G. C."},{"family":"Dobermann","given":"A."},{"family":"Nakicenovic","given":"N."},{"family":"O'Neill","given":"B. C."}],"accessed":{"date-parts":[["2019",3,1]]},"issued":{"date-parts":[["2006"]]}}},{"id":2120,"uris":["http://zotero.org/users/2170232/items/SQR23FC7"],"uri":["http://zotero.org/users/2170232/items/SQR23FC7"],"itemData":{"id":2120,"type":"article-journal","abstract":"Recent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id":1613,"uris":["http://zotero.org/users/2170232/items/EWIWA67A"],"uri":["http://zotero.org/users/2170232/items/EWIWA67A"],"itemData":{"id":1613,"type":"article-journal","abstract":"The past two decades saw rapid and massive urbanization and industrialization in China. Despite much research has been reportedly done at local and regional scales, little has been reported on the trajectories, patterns, and drivers of these two intertwining processes at the national level. This is mainly due to the fact that until recently, high resolution spatial data of land use and land cover change were not available at national level. The research reported in this paper aimed to fill this knowledge gap. Employing the China Land Use/Cover Dataset (CLUD), a national land use/cover change database our research team developed over the past decade, we analyzed the two intertwining processes at a 5 year interval from 1990 to 2010 to identify their trajectories, spatiotemporal patterns, and driving forces. Among out key findings are that (1) the nation's urban and industrial land areas increased from 4.85×104km2 in 1990 to 9.08×104km2 in 2010; (2) compared to those in the 1990s, the expansion rates of urban land and industrial land in the 2000s were respectively 2.15 and 5.79 times higher; (3) the expansion rates varied significantly across regions, revealing a distinctive spatial pattern with coastal regions being the fastest and the northeastern the slowest; (4) national development strategies and regional land-use policies had prominent impacts on land expansions; while (5) socioeconomic factors along with local and regional land-use policies explained the regional variations.","container-title":"Landscape and Urban Planning","DOI":"10.1016/j.landurbplan.2015.10.001","ISSN":"0169-2046","journalAbbreviation":"Landscape and Urban Planning","page":"21-33","source":"ScienceDirect","title":"The rapid and massive urban and industrial land expansions in China between 1990 and 2010: A CLUD-based analysis of their trajectories, patterns, and drivers","title-short":"The rapid and massive urban and industrial land expansions in China between 1990 and 2010","volume":"145","author":[{"family":"Kuang","given":"Wenhui"},{"family":"Liu","given":"Jiyuan"},{"family":"Dong","given":"Jinwei"},{"family":"Chi","given":"Wenfeng"},{"family":"Zhang","given":"Chi"}],"issued":{"date-parts":[["2016",1,1]]}}},{"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Pr="000A46B5">
        <w:fldChar w:fldCharType="separate"/>
      </w:r>
      <w:r w:rsidRPr="000A46B5">
        <w:t>(Table S1, Nelson et al. 2006; Ewers 2006; Gong et al. 2013; Kuang et al. 2016; Fan &amp; Ding 2016; Bonilla-Bedoya et al. 2018)</w:t>
      </w:r>
      <w:r w:rsidRPr="000A46B5">
        <w:fldChar w:fldCharType="end"/>
      </w:r>
      <w:r w:rsidRPr="000A46B5">
        <w:t xml:space="preserve">. Each predictor was hypothesised to be a driver of forest loss (Table S2). Human population density was included as a control variable for the economic set and total forest remaining was included as control variable across all sets, as both were expected to influence forest loss. Both per capita Gross Domestic Product (GDP) and amount of forest remaining were included to reflect the economic development path and the forest scarcity path respectively </w:t>
      </w:r>
      <w:r w:rsidRPr="000A46B5">
        <w:fldChar w:fldCharType="begin"/>
      </w:r>
      <w:r w:rsidR="007739D7">
        <w:instrText xml:space="preserve"> ADDIN ZOTERO_ITEM CSL_CITATION {"citationID":"7L9iv0wG","properties":{"formattedCitation":"(Rudel et al. 2005; Lambin &amp; Meyfroidt 2010)","plainCitation":"(Rudel et al. 2005; Lambin &amp; Meyfroidt 2010)","noteIndex":0},"citationItems":[{"id":2121,"uris":["http://zotero.org/users/2170232/items/QDZVC72B"],"uri":["http://zotero.org/users/2170232/items/QDZVC72B"],"itemData":{"id":2121,"type":"article-journal","abstract":"Places experience forest transitions when declines in forest cover cease and recoveries in forest cover begin. Forest transitions have occurred in two, sometimes overlapping circumstances. In some places economic development has created enough non-farm jobs to pull farmers off of the land, thereby inducing the spontaneous regeneration of forests in old fields. In other places a scarcity of forest products has prompted governments and landowners to plant trees in some fields. The transitions do little to conserve biodiversity, but they do sequester carbon and conserve soil, so governments should place a high priority on promoting them.","container-title":"Global Environmental Change","DOI":"10.1016/j.gloenvcha.2004.11.001","ISSN":"0959-3780","issue":"1","journalAbbreviation":"Global Environmental Change","language":"en","page":"23-31","source":"ScienceDirect","title":"Forest transitions: towards a global understanding of land use change","title-short":"Forest transitions","volume":"15","author":[{"family":"Rudel","given":"Thomas K."},{"family":"Coomes","given":"Oliver T."},{"family":"Moran","given":"Emilio"},{"family":"Achard","given":"Frederic"},{"family":"Angelsen","given":"Arild"},{"family":"Xu","given":"Jianchu"},{"family":"Lambin","given":"Eric"}],"issued":{"date-parts":[["2005",4,1]]}}},{"id":1672,"uris":["http://zotero.org/users/2170232/items/4AESYRD7"],"uri":["http://zotero.org/users/2170232/items/4AESYRD7"],"itemData":{"id":1672,"type":"article-journal","abstract":"The concept of land use transition highlights that land use change is non-linear and is associated with other societal and biophysical system changes. A transition in land use is not a fixed pattern, nor is it deterministic. Land use transitions can be caused by negative socio-ecological feedbacks that arise from a depletion of key resources or from socio-economic change and innovation that take place rather independently from the ecological system. Here, we explore whether the sources of land use transitions are mostly endogenous socio-ecological forces or exogenous socio-economic factors. We first review a few generic pathways of forest transition as identified in national case studies, and evaluate the varying ecological quality of expanding forests associated with these pathways. We then discuss possible explanatory frameworks of land use transitions. We use the case of the recent forest transition in Vietnam as an illustration. Socio-ecological feedbacks seem to better explain a slowing down of deforestation and stabilization of forest cover, while exogenous socio-economic factors better account for reforestation. We conclude by discussing the prospects of accelerating land use transitions in tropical forest countries.","collection-title":"Forest transitions","container-title":"Land Use Policy","DOI":"10.1016/j.landusepol.2009.09.003","ISSN":"0264-8377","issue":"2","journalAbbreviation":"Land Use Policy","page":"108-118","source":"ScienceDirect","title":"Land use transitions: Socio-ecological feedback versus socio-economic change","title-short":"Land use transitions","volume":"27","author":[{"family":"Lambin","given":"Eric F."},{"family":"Meyfroidt","given":"Patrick"}],"issued":{"date-parts":[["2010",4,1]]}}}],"schema":"https://github.com/citation-style-language/schema/raw/master/csl-citation.json"} </w:instrText>
      </w:r>
      <w:r w:rsidRPr="000A46B5">
        <w:fldChar w:fldCharType="separate"/>
      </w:r>
      <w:r w:rsidR="007739D7" w:rsidRPr="007739D7">
        <w:rPr>
          <w:rFonts w:ascii="Calibri" w:hAnsi="Calibri" w:cs="Calibri"/>
        </w:rPr>
        <w:t>(Rudel et al. 2005; Lambin &amp; Meyfroidt 2010)</w:t>
      </w:r>
      <w:r w:rsidRPr="000A46B5">
        <w:fldChar w:fldCharType="end"/>
      </w:r>
      <w:r w:rsidRPr="000A46B5">
        <w:t>. After pre-analysis checks for errors and correlation, the resulting variable set contained 20 variables (Table 1).</w:t>
      </w:r>
    </w:p>
    <w:p w14:paraId="7B3CC724" w14:textId="77777777" w:rsidR="000A46B5" w:rsidRPr="001E05DC" w:rsidRDefault="000A46B5" w:rsidP="000A46B5">
      <w:pPr>
        <w:rPr>
          <w:b/>
          <w:bCs/>
          <w:i/>
          <w:iCs/>
        </w:rPr>
      </w:pPr>
      <w:r w:rsidRPr="001E05DC">
        <w:rPr>
          <w:b/>
          <w:bCs/>
          <w:i/>
          <w:iCs/>
        </w:rPr>
        <w:t>Data processing</w:t>
      </w:r>
    </w:p>
    <w:p w14:paraId="6A7C6D7B" w14:textId="461B18D8" w:rsidR="007D6A50" w:rsidRPr="007739D7" w:rsidRDefault="000A46B5" w:rsidP="000A46B5">
      <w:r w:rsidRPr="001E05DC">
        <w:t>The forest cover</w:t>
      </w:r>
      <w:r w:rsidR="005252BE">
        <w:t xml:space="preserve"> response</w:t>
      </w:r>
      <w:r w:rsidRPr="001E05DC">
        <w:t xml:space="preserve"> variable was extracted from the ESACCI product by totalling the number of pixels (1 Pixel = 0.09km</w:t>
      </w:r>
      <w:r w:rsidRPr="001E05DC">
        <w:rPr>
          <w:vertAlign w:val="superscript"/>
        </w:rPr>
        <w:t>2</w:t>
      </w:r>
      <w:r w:rsidRPr="001E05DC">
        <w:t xml:space="preserve">) in each year classified as bands 50, 60, 61, 62, 70, 71, 72, 80, 81, 82, 90, and 100 (Table S4). Forest cover data processing was done in QGIS </w:t>
      </w:r>
      <w:r w:rsidRPr="001E05DC">
        <w:fldChar w:fldCharType="begin"/>
      </w:r>
      <w:r w:rsidRPr="001E05DC">
        <w:instrText xml:space="preserve"> ADDIN ZOTERO_ITEM CSL_CITATION {"citationID":"t8OXUywT","properties":{"formattedCitation":"({\\i{}QGIS Geographic Information System} 2020)","plainCitation":"(QGIS Geographic Information System 2020)","dontUpdate":true,"noteIndex":0},"citationItems":[{"id":2069,"uris":["http://zotero.org/users/2170232/items/YVJCTSHP"],"uri":["http://zotero.org/users/2170232/items/YVJCTSHP"],"itemData":{"id":2069,"type":"book","publisher":"Open Source Geospatial Foundation Program","title":"QGIS Geographic Information System","URL":"http://qgis.osgeo.org","version":"3.16","issued":{"date-parts":[["2020"]]}}}],"schema":"https://github.com/citation-style-language/schema/raw/master/csl-citation.json"} </w:instrText>
      </w:r>
      <w:r w:rsidRPr="001E05DC">
        <w:fldChar w:fldCharType="separate"/>
      </w:r>
      <w:r w:rsidRPr="001E05DC">
        <w:t>(QGIS Geographic Information System v3.16)</w:t>
      </w:r>
      <w:r w:rsidRPr="001E05DC">
        <w:fldChar w:fldCharType="end"/>
      </w:r>
      <w:r w:rsidRPr="001E05DC">
        <w:t xml:space="preserve">. </w:t>
      </w:r>
      <w:r w:rsidR="005252BE">
        <w:t>The ELC response variable was created by summing the number of new ELC contracts that were dated in each year of the study period, resulting in a count of new ELCs per year. P</w:t>
      </w:r>
      <w:r w:rsidRPr="001E05DC">
        <w:t>redictor variables were checked for collinearity, and if two variables in the same set had a correlation coefficient of &gt;0.6 then generally one was removed (Supporting Information).</w:t>
      </w:r>
      <w:r w:rsidR="005252BE">
        <w:t xml:space="preserve"> </w:t>
      </w:r>
      <w:r w:rsidRPr="001E05DC">
        <w:t xml:space="preserve">Forest cover was converted to change in forest cover using </w:t>
      </w:r>
      <w:r w:rsidRPr="001E05DC">
        <w:rPr>
          <w:i/>
          <w:iCs/>
        </w:rPr>
        <w:t>forest cover</w:t>
      </w:r>
      <w:r w:rsidRPr="001E05DC">
        <w:rPr>
          <w:i/>
          <w:iCs/>
          <w:vertAlign w:val="subscript"/>
        </w:rPr>
        <w:t>t+1</w:t>
      </w:r>
      <w:r w:rsidRPr="001E05DC">
        <w:rPr>
          <w:i/>
          <w:iCs/>
        </w:rPr>
        <w:t xml:space="preserve"> − forest cover</w:t>
      </w:r>
      <w:r w:rsidRPr="001E05DC">
        <w:rPr>
          <w:i/>
          <w:iCs/>
          <w:vertAlign w:val="subscript"/>
        </w:rPr>
        <w:t>t</w:t>
      </w:r>
      <w:r w:rsidRPr="001E05DC">
        <w:t xml:space="preserve">, where </w:t>
      </w:r>
      <w:r w:rsidRPr="001E05DC">
        <w:rPr>
          <w:i/>
          <w:iCs/>
        </w:rPr>
        <w:t>t</w:t>
      </w:r>
      <w:r w:rsidRPr="001E05DC">
        <w:t xml:space="preserve"> represents year </w:t>
      </w:r>
      <w:r w:rsidRPr="001E05DC">
        <w:rPr>
          <w:i/>
          <w:iCs/>
        </w:rPr>
        <w:t>t.</w:t>
      </w:r>
      <w:r w:rsidRPr="001E05DC">
        <w:t xml:space="preserve"> There were no periods of forest gain during the study period, and so the response can be considered as rate of forest loss. All predictors were converted from raw values to change in values using </w:t>
      </w:r>
      <w:r w:rsidRPr="001E05DC">
        <w:rPr>
          <w:i/>
          <w:iCs/>
        </w:rPr>
        <w:t>X</w:t>
      </w:r>
      <w:r w:rsidRPr="001E05DC">
        <w:rPr>
          <w:i/>
          <w:iCs/>
          <w:vertAlign w:val="subscript"/>
        </w:rPr>
        <w:t>t+1</w:t>
      </w:r>
      <w:r w:rsidRPr="001E05DC">
        <w:rPr>
          <w:i/>
          <w:iCs/>
        </w:rPr>
        <w:t xml:space="preserve"> – </w:t>
      </w:r>
      <w:proofErr w:type="spellStart"/>
      <w:r w:rsidRPr="001E05DC">
        <w:rPr>
          <w:i/>
          <w:iCs/>
        </w:rPr>
        <w:t>X</w:t>
      </w:r>
      <w:r w:rsidRPr="001E05DC">
        <w:rPr>
          <w:i/>
          <w:iCs/>
          <w:vertAlign w:val="subscript"/>
        </w:rPr>
        <w:t>t</w:t>
      </w:r>
      <w:proofErr w:type="spellEnd"/>
      <w:r w:rsidRPr="001E05DC">
        <w:rPr>
          <w:i/>
          <w:iCs/>
        </w:rPr>
        <w:t xml:space="preserve">, </w:t>
      </w:r>
      <w:r w:rsidRPr="001E05DC">
        <w:t xml:space="preserve">where </w:t>
      </w:r>
      <w:r w:rsidRPr="001E05DC">
        <w:rPr>
          <w:i/>
          <w:iCs/>
        </w:rPr>
        <w:t>t</w:t>
      </w:r>
      <w:r w:rsidRPr="001E05DC">
        <w:t xml:space="preserve"> represents year </w:t>
      </w:r>
      <w:r w:rsidRPr="001E05DC">
        <w:rPr>
          <w:i/>
          <w:iCs/>
        </w:rPr>
        <w:t>t</w:t>
      </w:r>
      <w:r w:rsidRPr="001E05DC">
        <w:t xml:space="preserve"> </w:t>
      </w:r>
      <w:r w:rsidRPr="001E05DC">
        <w:fldChar w:fldCharType="begin"/>
      </w:r>
      <w:r w:rsidR="007739D7">
        <w:instrText xml:space="preserve"> ADDIN ZOTERO_ITEM CSL_CITATION {"citationID":"CczzV0iT","properties":{"formattedCitation":"(Barrett et al. 2006)","plainCitation":"(Barrett et al. 2006)","noteIndex":0},"citationItems":[{"id":2145,"uris":["http://zotero.org/users/2170232/items/5YDBP8SP"],"uri":["http://zotero.org/users/2170232/items/5YDBP8SP"],"itemData":{"id":2145,"type":"article-journal","abstract":"Abstract: We argue that two problems weaken the claims of those who link corruption and the exploitation of natural resources. The first is conceptual and the second is methodological. Studies that use national-level indicators of corruption fail to note that corruption comes in many forms, at multiple levels, that may affect resource use quite differently: negatively, positively, or not at all. Without a clear causal model of the mechanism by which corruption affects resources, one should treat with caution any estimated relationship between corruption and the state of natural resources. Simple, atheoretical models linking corruption measures and natural resource use typically do not account for other important control variables pivotal to the relationship between humans and natural resources. By way of illustration of these two general concerns, we used statistical methods to demonstrate that the findings of a recent, well-known study that posits a link between corruption and decreases in forests and elephants are not robust to simple conceptual and methodological refinements. In particular, once we controlled for a few plausible anthropogenic and biophysical conditioning factors, estimated the effects in changes rather than levels so as not to confound cross-sectional and longitudinal variation, and incorporated additional observations from the same data sources, corruption levels no longer had any explanatory power.","container-title":"Conservation Biology","DOI":"10.1111/j.1523-1739.2006.00521.x","ISSN":"1523-1739","issue":"5","language":"en","page":"1358-1366","source":"Wiley Online Library","title":"The Complex Links between Governance and Biodiversity","volume":"20","author":[{"family":"Barrett","given":"Christopher B."},{"family":"Gibson","given":"Clark C."},{"family":"Hoffman","given":"Barak"},{"family":"McCUBBINS","given":"Mathew D."}],"issued":{"date-parts":[["2006"]]}}}],"schema":"https://github.com/citation-style-language/schema/raw/master/csl-citation.json"} </w:instrText>
      </w:r>
      <w:r w:rsidRPr="001E05DC">
        <w:fldChar w:fldCharType="separate"/>
      </w:r>
      <w:r w:rsidR="007739D7" w:rsidRPr="007739D7">
        <w:rPr>
          <w:rFonts w:ascii="Calibri" w:hAnsi="Calibri" w:cs="Calibri"/>
        </w:rPr>
        <w:t>(Barrett et al. 2006)</w:t>
      </w:r>
      <w:r w:rsidRPr="001E05DC">
        <w:fldChar w:fldCharType="end"/>
      </w:r>
      <w:r w:rsidRPr="001E05DC">
        <w:t xml:space="preserve">. The variable </w:t>
      </w:r>
      <w:r w:rsidRPr="001E05DC">
        <w:rPr>
          <w:i/>
          <w:iCs/>
        </w:rPr>
        <w:t>forest remaining</w:t>
      </w:r>
      <w:r w:rsidRPr="001E05DC">
        <w:t xml:space="preserve"> was left as raw values (km</w:t>
      </w:r>
      <w:r w:rsidRPr="001E05DC">
        <w:rPr>
          <w:vertAlign w:val="superscript"/>
        </w:rPr>
        <w:t>2</w:t>
      </w:r>
      <w:r w:rsidRPr="001E05DC">
        <w:t xml:space="preserve">). Cambodia’s first general election and subsequent adoption of a free market economy occurred in 1993, resulting in unreliable GDP-related values for 1993 </w:t>
      </w:r>
      <w:r w:rsidRPr="001E05DC">
        <w:fldChar w:fldCharType="begin"/>
      </w:r>
      <w:r w:rsidR="007739D7">
        <w:instrText xml:space="preserve"> ADDIN ZOTERO_ITEM CSL_CITATION {"citationID":"885LiH9b","properties":{"formattedCitation":"(Chhair &amp; Ung 2013)","plainCitation":"(Chhair &amp; Ung 2013)","noteIndex":0},"citationItems":[{"id":2286,"uris":["http://zotero.org/users/2170232/items/2XHBTHBR"],"uri":["http://zotero.org/users/2170232/items/2XHBTHBR"],"itemData":{"id":2286,"type":"report","abstract":"The industrialization which started in 1953 had been completely disrupted by the chronic civil war and closed-door policy of successive communism/socialism regimes. Since 1993 Cambodia has embraced a market economy heavily dependent on foreign capital and foreign markets. As a result, the economy has experienced high economic growth rate yet with low linkage to domestic economy. The government’s Rice Export Policy introduced in 2010 to\ndiversify its economy, maximize its value added and job creation was highly evaluated to bring those benefits under the environment of weak governance. Whether similar kind of such a policy for other sectors is successful remains to be seen","collection-title":"WIDER","genre":"Working Paper","number":"No.7","publisher":"World Institue for Development Economics Research","title":"Economic history of industrialization in Cambodia","author":[{"family":"Chhair","given":"Sokty"},{"family":"Ung","given":"Luyna"}],"issued":{"date-parts":[["2013"]]}}}],"schema":"https://github.com/citation-style-language/schema/raw/master/csl-citation.json"} </w:instrText>
      </w:r>
      <w:r w:rsidRPr="001E05DC">
        <w:fldChar w:fldCharType="separate"/>
      </w:r>
      <w:r w:rsidR="007739D7" w:rsidRPr="007739D7">
        <w:rPr>
          <w:rFonts w:ascii="Calibri" w:hAnsi="Calibri" w:cs="Calibri"/>
        </w:rPr>
        <w:t>(Chhair &amp; Ung 2013)</w:t>
      </w:r>
      <w:r w:rsidRPr="001E05DC">
        <w:fldChar w:fldCharType="end"/>
      </w:r>
      <w:r w:rsidRPr="001E05DC">
        <w:t xml:space="preserve"> and subsequent change values in 1994, and so these</w:t>
      </w:r>
      <w:r w:rsidR="00C831FB">
        <w:t xml:space="preserve"> years</w:t>
      </w:r>
      <w:r w:rsidRPr="001E05DC">
        <w:t xml:space="preserve"> were removed. </w:t>
      </w:r>
      <w:r w:rsidR="007D6A50">
        <w:t xml:space="preserve">Predictor variables were not centred or scaled prior to analysis because in this case the value of the intercept, in other words the value of the response </w:t>
      </w:r>
      <w:r w:rsidR="007D6A50">
        <w:rPr>
          <w:i/>
          <w:iCs/>
        </w:rPr>
        <w:t>y</w:t>
      </w:r>
      <w:r w:rsidR="007D6A50">
        <w:t xml:space="preserve"> when the value of a given predictor </w:t>
      </w:r>
      <w:r w:rsidR="007D6A50">
        <w:rPr>
          <w:i/>
          <w:iCs/>
        </w:rPr>
        <w:t>x</w:t>
      </w:r>
      <w:r w:rsidR="007D6A50">
        <w:t xml:space="preserve"> is 0 (i.e., there is no change in the </w:t>
      </w:r>
      <w:r w:rsidR="007D6A50">
        <w:lastRenderedPageBreak/>
        <w:t>predictor from</w:t>
      </w:r>
      <w:r w:rsidR="007739D7">
        <w:t xml:space="preserve"> time</w:t>
      </w:r>
      <w:r w:rsidR="007D6A50">
        <w:t xml:space="preserve"> </w:t>
      </w:r>
      <w:r w:rsidR="007D6A50">
        <w:rPr>
          <w:i/>
          <w:iCs/>
        </w:rPr>
        <w:t>t</w:t>
      </w:r>
      <w:r w:rsidR="007D6A50" w:rsidRPr="007739D7">
        <w:rPr>
          <w:i/>
          <w:iCs/>
          <w:vertAlign w:val="subscript"/>
        </w:rPr>
        <w:t>-1</w:t>
      </w:r>
      <w:r w:rsidR="007D6A50">
        <w:t xml:space="preserve"> to</w:t>
      </w:r>
      <w:r w:rsidR="007739D7">
        <w:t xml:space="preserve"> time</w:t>
      </w:r>
      <w:r w:rsidR="007D6A50">
        <w:t xml:space="preserve"> </w:t>
      </w:r>
      <w:r w:rsidR="007739D7">
        <w:rPr>
          <w:i/>
          <w:iCs/>
        </w:rPr>
        <w:t>t</w:t>
      </w:r>
      <w:r w:rsidR="007D6A50">
        <w:t>) is</w:t>
      </w:r>
      <w:r w:rsidR="007739D7">
        <w:t xml:space="preserve"> more meaningful than the value of </w:t>
      </w:r>
      <w:r w:rsidR="007739D7">
        <w:rPr>
          <w:i/>
          <w:iCs/>
        </w:rPr>
        <w:t>y</w:t>
      </w:r>
      <w:r w:rsidR="007739D7">
        <w:t xml:space="preserve"> when the value of </w:t>
      </w:r>
      <w:r w:rsidR="007739D7">
        <w:rPr>
          <w:i/>
          <w:iCs/>
        </w:rPr>
        <w:t xml:space="preserve">x </w:t>
      </w:r>
      <w:r w:rsidR="007739D7">
        <w:t xml:space="preserve">is at its mean. </w:t>
      </w:r>
    </w:p>
    <w:p w14:paraId="6CFE929A" w14:textId="77777777" w:rsidR="009F455B" w:rsidRDefault="009F455B" w:rsidP="000A46B5">
      <w:pPr>
        <w:rPr>
          <w:b/>
          <w:bCs/>
          <w:i/>
          <w:iCs/>
        </w:rPr>
      </w:pPr>
    </w:p>
    <w:p w14:paraId="465A6358" w14:textId="77777777" w:rsidR="009F455B" w:rsidRDefault="009F455B" w:rsidP="000A46B5">
      <w:pPr>
        <w:rPr>
          <w:b/>
          <w:bCs/>
          <w:i/>
          <w:iCs/>
        </w:rPr>
      </w:pPr>
    </w:p>
    <w:p w14:paraId="261CD5D7" w14:textId="77777777" w:rsidR="009F455B" w:rsidRDefault="009F455B" w:rsidP="000A46B5">
      <w:pPr>
        <w:rPr>
          <w:b/>
          <w:bCs/>
          <w:i/>
          <w:iCs/>
        </w:rPr>
      </w:pPr>
    </w:p>
    <w:p w14:paraId="46F87944" w14:textId="77777777" w:rsidR="009F455B" w:rsidRDefault="009F455B" w:rsidP="000A46B5">
      <w:pPr>
        <w:rPr>
          <w:b/>
          <w:bCs/>
          <w:i/>
          <w:iCs/>
        </w:rPr>
      </w:pPr>
    </w:p>
    <w:p w14:paraId="4ED2CFE4" w14:textId="77777777" w:rsidR="009F455B" w:rsidRDefault="009F455B" w:rsidP="000A46B5">
      <w:pPr>
        <w:rPr>
          <w:b/>
          <w:bCs/>
          <w:i/>
          <w:iCs/>
        </w:rPr>
      </w:pPr>
    </w:p>
    <w:p w14:paraId="707786C5" w14:textId="77777777" w:rsidR="009F455B" w:rsidRDefault="009F455B" w:rsidP="000A46B5">
      <w:pPr>
        <w:rPr>
          <w:b/>
          <w:bCs/>
          <w:i/>
          <w:iCs/>
        </w:rPr>
      </w:pPr>
    </w:p>
    <w:p w14:paraId="26A47CEC" w14:textId="77777777" w:rsidR="009F455B" w:rsidRDefault="009F455B" w:rsidP="000A46B5">
      <w:pPr>
        <w:rPr>
          <w:b/>
          <w:bCs/>
          <w:i/>
          <w:iCs/>
        </w:rPr>
        <w:sectPr w:rsidR="009F455B">
          <w:pgSz w:w="11906" w:h="16838"/>
          <w:pgMar w:top="1440" w:right="1440" w:bottom="1440" w:left="1440" w:header="708" w:footer="708" w:gutter="0"/>
          <w:cols w:space="708"/>
          <w:docGrid w:linePitch="360"/>
        </w:sectPr>
      </w:pPr>
    </w:p>
    <w:p w14:paraId="6D09E34D" w14:textId="77777777" w:rsidR="009F455B" w:rsidRPr="001E05DC" w:rsidRDefault="009F455B" w:rsidP="009F455B">
      <w:pPr>
        <w:rPr>
          <w:b/>
          <w:bCs/>
        </w:rPr>
      </w:pPr>
      <w:r w:rsidRPr="001E05DC">
        <w:rPr>
          <w:b/>
          <w:bCs/>
        </w:rPr>
        <w:lastRenderedPageBreak/>
        <w:t xml:space="preserve">Table 1. Variables selected for the macroeconomic analysis. Variables range from 1993 – 2015. </w:t>
      </w:r>
    </w:p>
    <w:tbl>
      <w:tblPr>
        <w:tblW w:w="13836" w:type="dxa"/>
        <w:tblLook w:val="04A0" w:firstRow="1" w:lastRow="0" w:firstColumn="1" w:lastColumn="0" w:noHBand="0" w:noVBand="1"/>
      </w:tblPr>
      <w:tblGrid>
        <w:gridCol w:w="3440"/>
        <w:gridCol w:w="1400"/>
        <w:gridCol w:w="1196"/>
        <w:gridCol w:w="1477"/>
        <w:gridCol w:w="6323"/>
      </w:tblGrid>
      <w:tr w:rsidR="009F455B" w:rsidRPr="001E05DC" w14:paraId="3DED92BA" w14:textId="77777777" w:rsidTr="00AB26EE">
        <w:trPr>
          <w:trHeight w:val="288"/>
        </w:trPr>
        <w:tc>
          <w:tcPr>
            <w:tcW w:w="3440" w:type="dxa"/>
            <w:tcBorders>
              <w:top w:val="single" w:sz="12" w:space="0" w:color="auto"/>
              <w:left w:val="nil"/>
              <w:bottom w:val="single" w:sz="12" w:space="0" w:color="auto"/>
              <w:right w:val="nil"/>
            </w:tcBorders>
            <w:shd w:val="clear" w:color="auto" w:fill="auto"/>
            <w:noWrap/>
            <w:vAlign w:val="bottom"/>
            <w:hideMark/>
          </w:tcPr>
          <w:p w14:paraId="2F61EAFF" w14:textId="77777777" w:rsidR="009F455B" w:rsidRPr="001E05DC" w:rsidRDefault="009F455B" w:rsidP="00AB26EE">
            <w:pPr>
              <w:rPr>
                <w:b/>
                <w:bCs/>
              </w:rPr>
            </w:pPr>
            <w:r w:rsidRPr="001E05DC">
              <w:rPr>
                <w:b/>
                <w:bCs/>
              </w:rPr>
              <w:t>Predictor variable</w:t>
            </w:r>
          </w:p>
        </w:tc>
        <w:tc>
          <w:tcPr>
            <w:tcW w:w="1400" w:type="dxa"/>
            <w:tcBorders>
              <w:top w:val="single" w:sz="12" w:space="0" w:color="auto"/>
              <w:left w:val="nil"/>
              <w:bottom w:val="single" w:sz="12" w:space="0" w:color="auto"/>
              <w:right w:val="nil"/>
            </w:tcBorders>
            <w:shd w:val="clear" w:color="auto" w:fill="auto"/>
            <w:noWrap/>
            <w:vAlign w:val="bottom"/>
            <w:hideMark/>
          </w:tcPr>
          <w:p w14:paraId="5A811360" w14:textId="77777777" w:rsidR="009F455B" w:rsidRPr="001E05DC" w:rsidRDefault="009F455B" w:rsidP="00AB26EE">
            <w:pPr>
              <w:rPr>
                <w:b/>
                <w:bCs/>
              </w:rPr>
            </w:pPr>
            <w:r w:rsidRPr="001E05DC">
              <w:rPr>
                <w:b/>
                <w:bCs/>
              </w:rPr>
              <w:t>Units</w:t>
            </w:r>
          </w:p>
        </w:tc>
        <w:tc>
          <w:tcPr>
            <w:tcW w:w="1196" w:type="dxa"/>
            <w:tcBorders>
              <w:top w:val="single" w:sz="12" w:space="0" w:color="auto"/>
              <w:left w:val="nil"/>
              <w:bottom w:val="single" w:sz="12" w:space="0" w:color="auto"/>
              <w:right w:val="nil"/>
            </w:tcBorders>
            <w:shd w:val="clear" w:color="auto" w:fill="auto"/>
            <w:noWrap/>
            <w:vAlign w:val="bottom"/>
            <w:hideMark/>
          </w:tcPr>
          <w:p w14:paraId="24D12271" w14:textId="77777777" w:rsidR="009F455B" w:rsidRPr="001E05DC" w:rsidRDefault="009F455B" w:rsidP="00AB26EE">
            <w:pPr>
              <w:rPr>
                <w:b/>
                <w:bCs/>
              </w:rPr>
            </w:pPr>
            <w:r w:rsidRPr="001E05DC">
              <w:rPr>
                <w:b/>
                <w:bCs/>
              </w:rPr>
              <w:t>Resolution</w:t>
            </w:r>
          </w:p>
        </w:tc>
        <w:tc>
          <w:tcPr>
            <w:tcW w:w="1477" w:type="dxa"/>
            <w:tcBorders>
              <w:top w:val="single" w:sz="12" w:space="0" w:color="auto"/>
              <w:left w:val="nil"/>
              <w:bottom w:val="single" w:sz="12" w:space="0" w:color="auto"/>
              <w:right w:val="nil"/>
            </w:tcBorders>
            <w:shd w:val="clear" w:color="auto" w:fill="auto"/>
            <w:noWrap/>
            <w:vAlign w:val="bottom"/>
            <w:hideMark/>
          </w:tcPr>
          <w:p w14:paraId="0623175B" w14:textId="77777777" w:rsidR="009F455B" w:rsidRPr="001E05DC" w:rsidRDefault="009F455B" w:rsidP="00AB26EE">
            <w:pPr>
              <w:rPr>
                <w:b/>
                <w:bCs/>
              </w:rPr>
            </w:pPr>
            <w:r w:rsidRPr="001E05DC">
              <w:rPr>
                <w:b/>
                <w:bCs/>
              </w:rPr>
              <w:t>Source</w:t>
            </w:r>
          </w:p>
        </w:tc>
        <w:tc>
          <w:tcPr>
            <w:tcW w:w="6323" w:type="dxa"/>
            <w:tcBorders>
              <w:top w:val="single" w:sz="12" w:space="0" w:color="auto"/>
              <w:left w:val="nil"/>
              <w:bottom w:val="single" w:sz="12" w:space="0" w:color="auto"/>
              <w:right w:val="nil"/>
            </w:tcBorders>
            <w:shd w:val="clear" w:color="auto" w:fill="auto"/>
            <w:noWrap/>
            <w:vAlign w:val="bottom"/>
            <w:hideMark/>
          </w:tcPr>
          <w:p w14:paraId="0B43AA6B" w14:textId="77777777" w:rsidR="009F455B" w:rsidRPr="001E05DC" w:rsidRDefault="009F455B" w:rsidP="00AB26EE">
            <w:pPr>
              <w:rPr>
                <w:b/>
                <w:bCs/>
              </w:rPr>
            </w:pPr>
            <w:r w:rsidRPr="001E05DC">
              <w:rPr>
                <w:b/>
                <w:bCs/>
              </w:rPr>
              <w:t>Details</w:t>
            </w:r>
          </w:p>
        </w:tc>
      </w:tr>
      <w:tr w:rsidR="009F455B" w:rsidRPr="001E05DC" w14:paraId="04F5D8F4" w14:textId="77777777" w:rsidTr="00AB26EE">
        <w:trPr>
          <w:trHeight w:val="288"/>
        </w:trPr>
        <w:tc>
          <w:tcPr>
            <w:tcW w:w="3440" w:type="dxa"/>
            <w:tcBorders>
              <w:top w:val="single" w:sz="12" w:space="0" w:color="auto"/>
              <w:left w:val="nil"/>
              <w:bottom w:val="nil"/>
              <w:right w:val="nil"/>
            </w:tcBorders>
            <w:shd w:val="clear" w:color="auto" w:fill="auto"/>
            <w:noWrap/>
            <w:hideMark/>
          </w:tcPr>
          <w:p w14:paraId="5E22CAD3" w14:textId="77777777" w:rsidR="009F455B" w:rsidRPr="001E05DC" w:rsidRDefault="009F455B" w:rsidP="00AB26EE">
            <w:pPr>
              <w:rPr>
                <w:i/>
                <w:iCs/>
              </w:rPr>
            </w:pPr>
            <w:r w:rsidRPr="001E05DC">
              <w:rPr>
                <w:i/>
                <w:iCs/>
              </w:rPr>
              <w:t>Economy</w:t>
            </w:r>
          </w:p>
        </w:tc>
        <w:tc>
          <w:tcPr>
            <w:tcW w:w="1400" w:type="dxa"/>
            <w:tcBorders>
              <w:top w:val="single" w:sz="12" w:space="0" w:color="auto"/>
              <w:left w:val="nil"/>
              <w:bottom w:val="nil"/>
              <w:right w:val="nil"/>
            </w:tcBorders>
            <w:shd w:val="clear" w:color="auto" w:fill="auto"/>
            <w:noWrap/>
            <w:hideMark/>
          </w:tcPr>
          <w:p w14:paraId="77CBF803" w14:textId="77777777" w:rsidR="009F455B" w:rsidRPr="001E05DC" w:rsidRDefault="009F455B" w:rsidP="00AB26EE">
            <w:pPr>
              <w:rPr>
                <w:i/>
                <w:iCs/>
              </w:rPr>
            </w:pPr>
          </w:p>
        </w:tc>
        <w:tc>
          <w:tcPr>
            <w:tcW w:w="1196" w:type="dxa"/>
            <w:tcBorders>
              <w:top w:val="single" w:sz="12" w:space="0" w:color="auto"/>
              <w:left w:val="nil"/>
              <w:bottom w:val="nil"/>
              <w:right w:val="nil"/>
            </w:tcBorders>
            <w:shd w:val="clear" w:color="auto" w:fill="auto"/>
            <w:noWrap/>
            <w:hideMark/>
          </w:tcPr>
          <w:p w14:paraId="66F6727D" w14:textId="77777777" w:rsidR="009F455B" w:rsidRPr="001E05DC" w:rsidRDefault="009F455B" w:rsidP="00AB26EE"/>
        </w:tc>
        <w:tc>
          <w:tcPr>
            <w:tcW w:w="1477" w:type="dxa"/>
            <w:tcBorders>
              <w:top w:val="single" w:sz="12" w:space="0" w:color="auto"/>
              <w:left w:val="nil"/>
              <w:bottom w:val="nil"/>
              <w:right w:val="nil"/>
            </w:tcBorders>
            <w:shd w:val="clear" w:color="auto" w:fill="auto"/>
            <w:noWrap/>
            <w:hideMark/>
          </w:tcPr>
          <w:p w14:paraId="179318BA" w14:textId="77777777" w:rsidR="009F455B" w:rsidRPr="001E05DC" w:rsidRDefault="009F455B" w:rsidP="00AB26EE"/>
        </w:tc>
        <w:tc>
          <w:tcPr>
            <w:tcW w:w="6323" w:type="dxa"/>
            <w:tcBorders>
              <w:top w:val="single" w:sz="12" w:space="0" w:color="auto"/>
              <w:left w:val="nil"/>
              <w:bottom w:val="nil"/>
              <w:right w:val="nil"/>
            </w:tcBorders>
            <w:shd w:val="clear" w:color="auto" w:fill="auto"/>
            <w:noWrap/>
            <w:hideMark/>
          </w:tcPr>
          <w:p w14:paraId="01285FF5" w14:textId="77777777" w:rsidR="009F455B" w:rsidRPr="001E05DC" w:rsidRDefault="009F455B" w:rsidP="00AB26EE"/>
        </w:tc>
      </w:tr>
      <w:tr w:rsidR="009F455B" w:rsidRPr="001E05DC" w14:paraId="738B6DAD" w14:textId="77777777" w:rsidTr="00AB26EE">
        <w:trPr>
          <w:trHeight w:val="288"/>
        </w:trPr>
        <w:tc>
          <w:tcPr>
            <w:tcW w:w="3440" w:type="dxa"/>
            <w:tcBorders>
              <w:top w:val="nil"/>
              <w:left w:val="nil"/>
              <w:bottom w:val="nil"/>
              <w:right w:val="nil"/>
            </w:tcBorders>
            <w:shd w:val="clear" w:color="auto" w:fill="auto"/>
            <w:noWrap/>
            <w:hideMark/>
          </w:tcPr>
          <w:p w14:paraId="6690BCCA" w14:textId="77777777" w:rsidR="009F455B" w:rsidRPr="001E05DC" w:rsidRDefault="009F455B" w:rsidP="00AB26EE">
            <w:r w:rsidRPr="001E05DC">
              <w:t xml:space="preserve">GDP per capita </w:t>
            </w:r>
          </w:p>
        </w:tc>
        <w:tc>
          <w:tcPr>
            <w:tcW w:w="1400" w:type="dxa"/>
            <w:tcBorders>
              <w:top w:val="nil"/>
              <w:left w:val="nil"/>
              <w:bottom w:val="nil"/>
              <w:right w:val="nil"/>
            </w:tcBorders>
            <w:shd w:val="clear" w:color="auto" w:fill="auto"/>
            <w:noWrap/>
            <w:hideMark/>
          </w:tcPr>
          <w:p w14:paraId="59A786E7" w14:textId="77777777" w:rsidR="009F455B" w:rsidRPr="001E05DC" w:rsidRDefault="009F455B" w:rsidP="00AB26EE">
            <w:r w:rsidRPr="001E05DC">
              <w:t>Billions USD</w:t>
            </w:r>
          </w:p>
        </w:tc>
        <w:tc>
          <w:tcPr>
            <w:tcW w:w="1196" w:type="dxa"/>
            <w:tcBorders>
              <w:top w:val="nil"/>
              <w:left w:val="nil"/>
              <w:bottom w:val="nil"/>
              <w:right w:val="nil"/>
            </w:tcBorders>
            <w:shd w:val="clear" w:color="auto" w:fill="auto"/>
            <w:noWrap/>
            <w:hideMark/>
          </w:tcPr>
          <w:p w14:paraId="0AEF2DA1"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14B62792" w14:textId="77777777" w:rsidR="009F455B" w:rsidRPr="001E05DC" w:rsidRDefault="009F455B" w:rsidP="00AB26EE">
            <w:r w:rsidRPr="001E05DC">
              <w:t>World Bank</w:t>
            </w:r>
          </w:p>
        </w:tc>
        <w:tc>
          <w:tcPr>
            <w:tcW w:w="6323" w:type="dxa"/>
            <w:tcBorders>
              <w:top w:val="nil"/>
              <w:left w:val="nil"/>
              <w:bottom w:val="nil"/>
              <w:right w:val="nil"/>
            </w:tcBorders>
            <w:shd w:val="clear" w:color="auto" w:fill="auto"/>
            <w:noWrap/>
            <w:hideMark/>
          </w:tcPr>
          <w:p w14:paraId="2B18DAB7" w14:textId="77777777" w:rsidR="009F455B" w:rsidRPr="001E05DC" w:rsidRDefault="009F455B" w:rsidP="00AB26EE">
            <w:r w:rsidRPr="001E05DC">
              <w:t>Constant 2010 rates</w:t>
            </w:r>
          </w:p>
        </w:tc>
      </w:tr>
      <w:tr w:rsidR="009F455B" w:rsidRPr="001E05DC" w14:paraId="5B4BD252" w14:textId="77777777" w:rsidTr="00AB26EE">
        <w:trPr>
          <w:trHeight w:val="288"/>
        </w:trPr>
        <w:tc>
          <w:tcPr>
            <w:tcW w:w="3440" w:type="dxa"/>
            <w:tcBorders>
              <w:top w:val="nil"/>
              <w:left w:val="nil"/>
              <w:bottom w:val="nil"/>
              <w:right w:val="nil"/>
            </w:tcBorders>
            <w:shd w:val="clear" w:color="auto" w:fill="auto"/>
            <w:noWrap/>
          </w:tcPr>
          <w:p w14:paraId="46FB85D3" w14:textId="77777777" w:rsidR="009F455B" w:rsidRPr="001E05DC" w:rsidRDefault="009F455B" w:rsidP="00AB26EE">
            <w:r w:rsidRPr="001E05DC">
              <w:t>GDP growth</w:t>
            </w:r>
          </w:p>
        </w:tc>
        <w:tc>
          <w:tcPr>
            <w:tcW w:w="1400" w:type="dxa"/>
            <w:tcBorders>
              <w:top w:val="nil"/>
              <w:left w:val="nil"/>
              <w:bottom w:val="nil"/>
              <w:right w:val="nil"/>
            </w:tcBorders>
            <w:shd w:val="clear" w:color="auto" w:fill="auto"/>
            <w:noWrap/>
          </w:tcPr>
          <w:p w14:paraId="3A49D2C8" w14:textId="77777777" w:rsidR="009F455B" w:rsidRPr="001E05DC" w:rsidRDefault="009F455B" w:rsidP="00AB26EE">
            <w:r w:rsidRPr="001E05DC">
              <w:t>%</w:t>
            </w:r>
          </w:p>
        </w:tc>
        <w:tc>
          <w:tcPr>
            <w:tcW w:w="1196" w:type="dxa"/>
            <w:tcBorders>
              <w:top w:val="nil"/>
              <w:left w:val="nil"/>
              <w:bottom w:val="nil"/>
              <w:right w:val="nil"/>
            </w:tcBorders>
            <w:shd w:val="clear" w:color="auto" w:fill="auto"/>
            <w:noWrap/>
          </w:tcPr>
          <w:p w14:paraId="3D282869"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tcPr>
          <w:p w14:paraId="48A3113F" w14:textId="77777777" w:rsidR="009F455B" w:rsidRPr="001E05DC" w:rsidRDefault="009F455B" w:rsidP="00AB26EE">
            <w:r w:rsidRPr="001E05DC">
              <w:t>World Bank</w:t>
            </w:r>
          </w:p>
        </w:tc>
        <w:tc>
          <w:tcPr>
            <w:tcW w:w="6323" w:type="dxa"/>
            <w:tcBorders>
              <w:top w:val="nil"/>
              <w:left w:val="nil"/>
              <w:bottom w:val="nil"/>
              <w:right w:val="nil"/>
            </w:tcBorders>
            <w:shd w:val="clear" w:color="auto" w:fill="auto"/>
            <w:noWrap/>
          </w:tcPr>
          <w:p w14:paraId="32D97435" w14:textId="77777777" w:rsidR="009F455B" w:rsidRPr="001E05DC" w:rsidRDefault="009F455B" w:rsidP="00AB26EE">
            <w:r w:rsidRPr="001E05DC">
              <w:t>Annual percentage growth rate of GDP at market prices based on constant local currency</w:t>
            </w:r>
          </w:p>
        </w:tc>
      </w:tr>
      <w:tr w:rsidR="009F455B" w:rsidRPr="001E05DC" w14:paraId="00D8A66F" w14:textId="77777777" w:rsidTr="00AB26EE">
        <w:trPr>
          <w:trHeight w:val="288"/>
        </w:trPr>
        <w:tc>
          <w:tcPr>
            <w:tcW w:w="3440" w:type="dxa"/>
            <w:tcBorders>
              <w:top w:val="nil"/>
              <w:left w:val="nil"/>
              <w:bottom w:val="nil"/>
              <w:right w:val="nil"/>
            </w:tcBorders>
            <w:shd w:val="clear" w:color="auto" w:fill="auto"/>
            <w:noWrap/>
            <w:hideMark/>
          </w:tcPr>
          <w:p w14:paraId="06D06F0E" w14:textId="77777777" w:rsidR="009F455B" w:rsidRPr="001E05DC" w:rsidRDefault="009F455B" w:rsidP="00AB26EE">
            <w:r w:rsidRPr="001E05DC">
              <w:t>Foreign Direct Investment</w:t>
            </w:r>
          </w:p>
        </w:tc>
        <w:tc>
          <w:tcPr>
            <w:tcW w:w="1400" w:type="dxa"/>
            <w:tcBorders>
              <w:top w:val="nil"/>
              <w:left w:val="nil"/>
              <w:bottom w:val="nil"/>
              <w:right w:val="nil"/>
            </w:tcBorders>
            <w:shd w:val="clear" w:color="auto" w:fill="auto"/>
            <w:noWrap/>
            <w:hideMark/>
          </w:tcPr>
          <w:p w14:paraId="054128B5" w14:textId="77777777" w:rsidR="009F455B" w:rsidRPr="001E05DC" w:rsidRDefault="009F455B" w:rsidP="00AB26EE">
            <w:r w:rsidRPr="001E05DC">
              <w:t>Millions USD</w:t>
            </w:r>
          </w:p>
        </w:tc>
        <w:tc>
          <w:tcPr>
            <w:tcW w:w="1196" w:type="dxa"/>
            <w:tcBorders>
              <w:top w:val="nil"/>
              <w:left w:val="nil"/>
              <w:bottom w:val="nil"/>
              <w:right w:val="nil"/>
            </w:tcBorders>
            <w:shd w:val="clear" w:color="auto" w:fill="auto"/>
            <w:noWrap/>
            <w:hideMark/>
          </w:tcPr>
          <w:p w14:paraId="2FC35935"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74421B98" w14:textId="77777777" w:rsidR="009F455B" w:rsidRPr="001E05DC" w:rsidRDefault="009F455B" w:rsidP="00AB26EE">
            <w:r w:rsidRPr="001E05DC">
              <w:t>UNCTAD</w:t>
            </w:r>
          </w:p>
        </w:tc>
        <w:tc>
          <w:tcPr>
            <w:tcW w:w="6323" w:type="dxa"/>
            <w:tcBorders>
              <w:top w:val="nil"/>
              <w:left w:val="nil"/>
              <w:bottom w:val="nil"/>
              <w:right w:val="nil"/>
            </w:tcBorders>
            <w:shd w:val="clear" w:color="auto" w:fill="auto"/>
            <w:noWrap/>
            <w:hideMark/>
          </w:tcPr>
          <w:p w14:paraId="27299227" w14:textId="77777777" w:rsidR="009F455B" w:rsidRPr="001E05DC" w:rsidRDefault="009F455B" w:rsidP="00AB26EE">
            <w:r w:rsidRPr="001E05DC">
              <w:t>Inward and outward flows and stock</w:t>
            </w:r>
          </w:p>
        </w:tc>
      </w:tr>
      <w:tr w:rsidR="009F455B" w:rsidRPr="001E05DC" w14:paraId="2A8FBA23" w14:textId="77777777" w:rsidTr="00AB26EE">
        <w:trPr>
          <w:trHeight w:val="288"/>
        </w:trPr>
        <w:tc>
          <w:tcPr>
            <w:tcW w:w="3440" w:type="dxa"/>
            <w:tcBorders>
              <w:top w:val="nil"/>
              <w:left w:val="nil"/>
              <w:bottom w:val="nil"/>
              <w:right w:val="nil"/>
            </w:tcBorders>
            <w:shd w:val="clear" w:color="auto" w:fill="auto"/>
            <w:noWrap/>
            <w:hideMark/>
          </w:tcPr>
          <w:p w14:paraId="12758FA6" w14:textId="77777777" w:rsidR="009F455B" w:rsidRPr="001E05DC" w:rsidRDefault="009F455B" w:rsidP="00AB26EE">
            <w:r w:rsidRPr="001E05DC">
              <w:t>Agricultural sector proportion of GDP</w:t>
            </w:r>
          </w:p>
        </w:tc>
        <w:tc>
          <w:tcPr>
            <w:tcW w:w="1400" w:type="dxa"/>
            <w:tcBorders>
              <w:top w:val="nil"/>
              <w:left w:val="nil"/>
              <w:bottom w:val="nil"/>
              <w:right w:val="nil"/>
            </w:tcBorders>
            <w:shd w:val="clear" w:color="auto" w:fill="auto"/>
            <w:noWrap/>
            <w:hideMark/>
          </w:tcPr>
          <w:p w14:paraId="431483EF" w14:textId="77777777" w:rsidR="009F455B" w:rsidRPr="001E05DC" w:rsidRDefault="009F455B" w:rsidP="00AB26EE">
            <w:r w:rsidRPr="001E05DC">
              <w:t>%</w:t>
            </w:r>
          </w:p>
        </w:tc>
        <w:tc>
          <w:tcPr>
            <w:tcW w:w="1196" w:type="dxa"/>
            <w:tcBorders>
              <w:top w:val="nil"/>
              <w:left w:val="nil"/>
              <w:bottom w:val="nil"/>
              <w:right w:val="nil"/>
            </w:tcBorders>
            <w:shd w:val="clear" w:color="auto" w:fill="auto"/>
            <w:noWrap/>
            <w:hideMark/>
          </w:tcPr>
          <w:p w14:paraId="051648BF"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42F18C2C" w14:textId="77777777" w:rsidR="009F455B" w:rsidRPr="001E05DC" w:rsidRDefault="009F455B" w:rsidP="00AB26EE">
            <w:r w:rsidRPr="001E05DC">
              <w:t>CNIS</w:t>
            </w:r>
          </w:p>
        </w:tc>
        <w:tc>
          <w:tcPr>
            <w:tcW w:w="6323" w:type="dxa"/>
            <w:tcBorders>
              <w:top w:val="nil"/>
              <w:left w:val="nil"/>
              <w:bottom w:val="nil"/>
              <w:right w:val="nil"/>
            </w:tcBorders>
            <w:shd w:val="clear" w:color="auto" w:fill="auto"/>
            <w:noWrap/>
            <w:hideMark/>
          </w:tcPr>
          <w:p w14:paraId="479B4415" w14:textId="77777777" w:rsidR="009F455B" w:rsidRPr="001E05DC" w:rsidRDefault="009F455B" w:rsidP="00AB26EE">
            <w:r w:rsidRPr="001E05DC">
              <w:t>Proportion of national GDP</w:t>
            </w:r>
          </w:p>
        </w:tc>
      </w:tr>
      <w:tr w:rsidR="009F455B" w:rsidRPr="001E05DC" w14:paraId="2B82469A" w14:textId="77777777" w:rsidTr="00AB26EE">
        <w:trPr>
          <w:trHeight w:val="864"/>
        </w:trPr>
        <w:tc>
          <w:tcPr>
            <w:tcW w:w="3440" w:type="dxa"/>
            <w:tcBorders>
              <w:top w:val="nil"/>
              <w:left w:val="nil"/>
              <w:bottom w:val="nil"/>
              <w:right w:val="nil"/>
            </w:tcBorders>
            <w:shd w:val="clear" w:color="auto" w:fill="auto"/>
            <w:noWrap/>
            <w:hideMark/>
          </w:tcPr>
          <w:p w14:paraId="66E4A8C1" w14:textId="77777777" w:rsidR="009F455B" w:rsidRPr="001E05DC" w:rsidRDefault="009F455B" w:rsidP="00AB26EE">
            <w:r w:rsidRPr="001E05DC">
              <w:t>Development flows to agriculture</w:t>
            </w:r>
          </w:p>
        </w:tc>
        <w:tc>
          <w:tcPr>
            <w:tcW w:w="1400" w:type="dxa"/>
            <w:tcBorders>
              <w:top w:val="nil"/>
              <w:left w:val="nil"/>
              <w:bottom w:val="nil"/>
              <w:right w:val="nil"/>
            </w:tcBorders>
            <w:shd w:val="clear" w:color="auto" w:fill="auto"/>
            <w:noWrap/>
            <w:hideMark/>
          </w:tcPr>
          <w:p w14:paraId="6D2ADE5C" w14:textId="77777777" w:rsidR="009F455B" w:rsidRPr="001E05DC" w:rsidRDefault="009F455B" w:rsidP="00AB26EE">
            <w:r w:rsidRPr="001E05DC">
              <w:t>Millions USD</w:t>
            </w:r>
          </w:p>
        </w:tc>
        <w:tc>
          <w:tcPr>
            <w:tcW w:w="1196" w:type="dxa"/>
            <w:tcBorders>
              <w:top w:val="nil"/>
              <w:left w:val="nil"/>
              <w:bottom w:val="nil"/>
              <w:right w:val="nil"/>
            </w:tcBorders>
            <w:shd w:val="clear" w:color="auto" w:fill="auto"/>
            <w:noWrap/>
            <w:hideMark/>
          </w:tcPr>
          <w:p w14:paraId="20A15EFE"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69C5FB94"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6B515DA4" w14:textId="77777777" w:rsidR="009F455B" w:rsidRPr="001E05DC" w:rsidRDefault="009F455B" w:rsidP="00AB26EE">
            <w:r w:rsidRPr="001E05DC">
              <w:t>Donor development investment flows, other official flows, and private donor flows at constant 2016 prices to all agriculture and forestry sub-sectors</w:t>
            </w:r>
          </w:p>
        </w:tc>
      </w:tr>
      <w:tr w:rsidR="009F455B" w:rsidRPr="001E05DC" w14:paraId="6340ACF6" w14:textId="77777777" w:rsidTr="00AB26EE">
        <w:trPr>
          <w:trHeight w:val="670"/>
        </w:trPr>
        <w:tc>
          <w:tcPr>
            <w:tcW w:w="3440" w:type="dxa"/>
            <w:tcBorders>
              <w:top w:val="nil"/>
              <w:left w:val="nil"/>
              <w:bottom w:val="nil"/>
              <w:right w:val="nil"/>
            </w:tcBorders>
            <w:shd w:val="clear" w:color="auto" w:fill="auto"/>
            <w:noWrap/>
            <w:hideMark/>
          </w:tcPr>
          <w:p w14:paraId="3FDB5CAF" w14:textId="77777777" w:rsidR="009F455B" w:rsidRPr="001E05DC" w:rsidRDefault="009F455B" w:rsidP="00AB26EE">
            <w:r w:rsidRPr="001E05DC">
              <w:t>Development flows to environment</w:t>
            </w:r>
          </w:p>
        </w:tc>
        <w:tc>
          <w:tcPr>
            <w:tcW w:w="1400" w:type="dxa"/>
            <w:tcBorders>
              <w:top w:val="nil"/>
              <w:left w:val="nil"/>
              <w:bottom w:val="nil"/>
              <w:right w:val="nil"/>
            </w:tcBorders>
            <w:shd w:val="clear" w:color="auto" w:fill="auto"/>
            <w:noWrap/>
            <w:hideMark/>
          </w:tcPr>
          <w:p w14:paraId="5D7F7E23" w14:textId="77777777" w:rsidR="009F455B" w:rsidRPr="001E05DC" w:rsidRDefault="009F455B" w:rsidP="00AB26EE">
            <w:r w:rsidRPr="001E05DC">
              <w:t>Millions USD</w:t>
            </w:r>
          </w:p>
        </w:tc>
        <w:tc>
          <w:tcPr>
            <w:tcW w:w="1196" w:type="dxa"/>
            <w:tcBorders>
              <w:top w:val="nil"/>
              <w:left w:val="nil"/>
              <w:bottom w:val="nil"/>
              <w:right w:val="nil"/>
            </w:tcBorders>
            <w:shd w:val="clear" w:color="auto" w:fill="auto"/>
            <w:noWrap/>
            <w:hideMark/>
          </w:tcPr>
          <w:p w14:paraId="7F16F960"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2F69D0F6"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0982353A" w14:textId="77777777" w:rsidR="009F455B" w:rsidRPr="001E05DC" w:rsidRDefault="009F455B" w:rsidP="00AB26EE">
            <w:r w:rsidRPr="001E05DC">
              <w:t>Donor development investment flows, other official flows, and private donor flows at constant 2016 prices to general environment protection</w:t>
            </w:r>
          </w:p>
        </w:tc>
      </w:tr>
      <w:tr w:rsidR="009F455B" w:rsidRPr="001E05DC" w14:paraId="0E674236" w14:textId="77777777" w:rsidTr="00AB26EE">
        <w:trPr>
          <w:trHeight w:val="288"/>
        </w:trPr>
        <w:tc>
          <w:tcPr>
            <w:tcW w:w="3440" w:type="dxa"/>
            <w:tcBorders>
              <w:top w:val="single" w:sz="8" w:space="0" w:color="auto"/>
              <w:left w:val="nil"/>
              <w:bottom w:val="nil"/>
              <w:right w:val="nil"/>
            </w:tcBorders>
            <w:shd w:val="clear" w:color="auto" w:fill="auto"/>
            <w:noWrap/>
            <w:hideMark/>
          </w:tcPr>
          <w:p w14:paraId="433850BA" w14:textId="77777777" w:rsidR="009F455B" w:rsidRPr="001E05DC" w:rsidRDefault="009F455B" w:rsidP="00AB26EE">
            <w:pPr>
              <w:rPr>
                <w:i/>
                <w:iCs/>
              </w:rPr>
            </w:pPr>
            <w:r w:rsidRPr="001E05DC">
              <w:rPr>
                <w:i/>
                <w:iCs/>
              </w:rPr>
              <w:t>Commodity prices</w:t>
            </w:r>
          </w:p>
        </w:tc>
        <w:tc>
          <w:tcPr>
            <w:tcW w:w="1400" w:type="dxa"/>
            <w:tcBorders>
              <w:top w:val="single" w:sz="8" w:space="0" w:color="auto"/>
              <w:left w:val="nil"/>
              <w:bottom w:val="nil"/>
              <w:right w:val="nil"/>
            </w:tcBorders>
            <w:shd w:val="clear" w:color="auto" w:fill="auto"/>
            <w:noWrap/>
            <w:hideMark/>
          </w:tcPr>
          <w:p w14:paraId="627DD6F8" w14:textId="77777777" w:rsidR="009F455B" w:rsidRPr="001E05DC" w:rsidRDefault="009F455B" w:rsidP="00AB26EE">
            <w:pPr>
              <w:rPr>
                <w:i/>
                <w:iCs/>
              </w:rPr>
            </w:pPr>
          </w:p>
        </w:tc>
        <w:tc>
          <w:tcPr>
            <w:tcW w:w="1196" w:type="dxa"/>
            <w:tcBorders>
              <w:top w:val="single" w:sz="8" w:space="0" w:color="auto"/>
              <w:left w:val="nil"/>
              <w:bottom w:val="nil"/>
              <w:right w:val="nil"/>
            </w:tcBorders>
            <w:shd w:val="clear" w:color="auto" w:fill="auto"/>
            <w:noWrap/>
            <w:hideMark/>
          </w:tcPr>
          <w:p w14:paraId="10ACDB69" w14:textId="77777777" w:rsidR="009F455B" w:rsidRPr="001E05DC" w:rsidRDefault="009F455B" w:rsidP="00AB26EE"/>
        </w:tc>
        <w:tc>
          <w:tcPr>
            <w:tcW w:w="1477" w:type="dxa"/>
            <w:tcBorders>
              <w:top w:val="single" w:sz="8" w:space="0" w:color="auto"/>
              <w:left w:val="nil"/>
              <w:bottom w:val="nil"/>
              <w:right w:val="nil"/>
            </w:tcBorders>
            <w:shd w:val="clear" w:color="auto" w:fill="auto"/>
            <w:noWrap/>
            <w:hideMark/>
          </w:tcPr>
          <w:p w14:paraId="526A1386" w14:textId="77777777" w:rsidR="009F455B" w:rsidRPr="001E05DC" w:rsidRDefault="009F455B" w:rsidP="00AB26EE"/>
        </w:tc>
        <w:tc>
          <w:tcPr>
            <w:tcW w:w="6323" w:type="dxa"/>
            <w:tcBorders>
              <w:top w:val="single" w:sz="8" w:space="0" w:color="auto"/>
              <w:left w:val="nil"/>
              <w:bottom w:val="nil"/>
              <w:right w:val="nil"/>
            </w:tcBorders>
            <w:shd w:val="clear" w:color="auto" w:fill="auto"/>
            <w:noWrap/>
            <w:hideMark/>
          </w:tcPr>
          <w:p w14:paraId="4A7BE75A" w14:textId="77777777" w:rsidR="009F455B" w:rsidRPr="001E05DC" w:rsidRDefault="009F455B" w:rsidP="00AB26EE"/>
        </w:tc>
      </w:tr>
      <w:tr w:rsidR="009F455B" w:rsidRPr="001E05DC" w14:paraId="050F8018" w14:textId="77777777" w:rsidTr="00AB26EE">
        <w:trPr>
          <w:trHeight w:val="576"/>
        </w:trPr>
        <w:tc>
          <w:tcPr>
            <w:tcW w:w="3440" w:type="dxa"/>
            <w:tcBorders>
              <w:top w:val="nil"/>
              <w:left w:val="nil"/>
              <w:bottom w:val="nil"/>
              <w:right w:val="nil"/>
            </w:tcBorders>
            <w:shd w:val="clear" w:color="auto" w:fill="auto"/>
            <w:noWrap/>
            <w:hideMark/>
          </w:tcPr>
          <w:p w14:paraId="2A63D547" w14:textId="77777777" w:rsidR="009F455B" w:rsidRPr="001E05DC" w:rsidRDefault="009F455B" w:rsidP="00AB26EE">
            <w:r w:rsidRPr="001E05DC">
              <w:t xml:space="preserve">Crop Production </w:t>
            </w:r>
          </w:p>
        </w:tc>
        <w:tc>
          <w:tcPr>
            <w:tcW w:w="1400" w:type="dxa"/>
            <w:tcBorders>
              <w:top w:val="nil"/>
              <w:left w:val="nil"/>
              <w:bottom w:val="nil"/>
              <w:right w:val="nil"/>
            </w:tcBorders>
            <w:shd w:val="clear" w:color="auto" w:fill="auto"/>
            <w:noWrap/>
            <w:hideMark/>
          </w:tcPr>
          <w:p w14:paraId="52F9DF75" w14:textId="77777777" w:rsidR="009F455B" w:rsidRPr="001E05DC" w:rsidRDefault="009F455B" w:rsidP="00AB26EE">
            <w:r w:rsidRPr="001E05DC">
              <w:t>Index</w:t>
            </w:r>
          </w:p>
        </w:tc>
        <w:tc>
          <w:tcPr>
            <w:tcW w:w="1196" w:type="dxa"/>
            <w:tcBorders>
              <w:top w:val="nil"/>
              <w:left w:val="nil"/>
              <w:bottom w:val="nil"/>
              <w:right w:val="nil"/>
            </w:tcBorders>
            <w:shd w:val="clear" w:color="auto" w:fill="auto"/>
            <w:noWrap/>
            <w:hideMark/>
          </w:tcPr>
          <w:p w14:paraId="56FE5D1A"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774680DD"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66CA96FE" w14:textId="77777777" w:rsidR="009F455B" w:rsidRPr="001E05DC" w:rsidRDefault="009F455B" w:rsidP="00AB26EE">
            <w:r w:rsidRPr="001E05DC">
              <w:t>Relative level of the aggregate volume of agricultural production for each year in comparison with the base period 2004-2006</w:t>
            </w:r>
          </w:p>
        </w:tc>
      </w:tr>
      <w:tr w:rsidR="009F455B" w:rsidRPr="001E05DC" w14:paraId="3BECF481" w14:textId="77777777" w:rsidTr="00AB26EE">
        <w:trPr>
          <w:trHeight w:val="576"/>
        </w:trPr>
        <w:tc>
          <w:tcPr>
            <w:tcW w:w="3440" w:type="dxa"/>
            <w:tcBorders>
              <w:top w:val="nil"/>
              <w:left w:val="nil"/>
              <w:bottom w:val="nil"/>
              <w:right w:val="nil"/>
            </w:tcBorders>
            <w:shd w:val="clear" w:color="auto" w:fill="auto"/>
            <w:noWrap/>
            <w:hideMark/>
          </w:tcPr>
          <w:p w14:paraId="3EB1C8D3" w14:textId="77777777" w:rsidR="009F455B" w:rsidRPr="001E05DC" w:rsidRDefault="009F455B" w:rsidP="00AB26EE">
            <w:r w:rsidRPr="001E05DC">
              <w:t xml:space="preserve">Non-food agricultural production </w:t>
            </w:r>
          </w:p>
        </w:tc>
        <w:tc>
          <w:tcPr>
            <w:tcW w:w="1400" w:type="dxa"/>
            <w:tcBorders>
              <w:top w:val="nil"/>
              <w:left w:val="nil"/>
              <w:bottom w:val="nil"/>
              <w:right w:val="nil"/>
            </w:tcBorders>
            <w:shd w:val="clear" w:color="auto" w:fill="auto"/>
            <w:noWrap/>
            <w:hideMark/>
          </w:tcPr>
          <w:p w14:paraId="457211A8" w14:textId="77777777" w:rsidR="009F455B" w:rsidRPr="001E05DC" w:rsidRDefault="009F455B" w:rsidP="00AB26EE">
            <w:r w:rsidRPr="001E05DC">
              <w:t>Index</w:t>
            </w:r>
          </w:p>
        </w:tc>
        <w:tc>
          <w:tcPr>
            <w:tcW w:w="1196" w:type="dxa"/>
            <w:tcBorders>
              <w:top w:val="nil"/>
              <w:left w:val="nil"/>
              <w:bottom w:val="nil"/>
              <w:right w:val="nil"/>
            </w:tcBorders>
            <w:shd w:val="clear" w:color="auto" w:fill="auto"/>
            <w:noWrap/>
            <w:hideMark/>
          </w:tcPr>
          <w:p w14:paraId="441C2D0D"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07F92F75"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7D9E45E9" w14:textId="77777777" w:rsidR="009F455B" w:rsidRPr="001E05DC" w:rsidRDefault="009F455B" w:rsidP="00AB26EE">
            <w:r w:rsidRPr="001E05DC">
              <w:t>Relative level of the aggregate volume of non-food agricultural production for each year in comparison with the base period 2004-2006</w:t>
            </w:r>
          </w:p>
        </w:tc>
      </w:tr>
      <w:tr w:rsidR="009F455B" w:rsidRPr="001E05DC" w14:paraId="00C9A436" w14:textId="77777777" w:rsidTr="00AB26EE">
        <w:trPr>
          <w:trHeight w:val="942"/>
        </w:trPr>
        <w:tc>
          <w:tcPr>
            <w:tcW w:w="3440" w:type="dxa"/>
            <w:tcBorders>
              <w:top w:val="nil"/>
              <w:left w:val="nil"/>
              <w:bottom w:val="nil"/>
              <w:right w:val="nil"/>
            </w:tcBorders>
            <w:shd w:val="clear" w:color="auto" w:fill="auto"/>
            <w:noWrap/>
            <w:hideMark/>
          </w:tcPr>
          <w:p w14:paraId="0C6CD242" w14:textId="77777777" w:rsidR="009F455B" w:rsidRPr="001E05DC" w:rsidRDefault="009F455B" w:rsidP="00AB26EE">
            <w:r w:rsidRPr="001E05DC">
              <w:lastRenderedPageBreak/>
              <w:t>Forestry production</w:t>
            </w:r>
          </w:p>
        </w:tc>
        <w:tc>
          <w:tcPr>
            <w:tcW w:w="1400" w:type="dxa"/>
            <w:tcBorders>
              <w:top w:val="nil"/>
              <w:left w:val="nil"/>
              <w:bottom w:val="nil"/>
              <w:right w:val="nil"/>
            </w:tcBorders>
            <w:shd w:val="clear" w:color="auto" w:fill="auto"/>
            <w:noWrap/>
            <w:hideMark/>
          </w:tcPr>
          <w:p w14:paraId="45CAD5D7" w14:textId="77777777" w:rsidR="009F455B" w:rsidRPr="001E05DC" w:rsidRDefault="009F455B" w:rsidP="00AB26EE">
            <w:r w:rsidRPr="001E05DC">
              <w:t>m3</w:t>
            </w:r>
          </w:p>
        </w:tc>
        <w:tc>
          <w:tcPr>
            <w:tcW w:w="1196" w:type="dxa"/>
            <w:tcBorders>
              <w:top w:val="nil"/>
              <w:left w:val="nil"/>
              <w:bottom w:val="nil"/>
              <w:right w:val="nil"/>
            </w:tcBorders>
            <w:shd w:val="clear" w:color="auto" w:fill="auto"/>
            <w:noWrap/>
            <w:hideMark/>
          </w:tcPr>
          <w:p w14:paraId="117A64DC"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1F7C17E7"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76ADB36F" w14:textId="77777777" w:rsidR="009F455B" w:rsidRPr="001E05DC" w:rsidRDefault="009F455B" w:rsidP="00AB26EE">
            <w:r w:rsidRPr="001E05DC">
              <w:t xml:space="preserve">Total production values for industrial roundwood, non-coniferous tropical wood, other industrial roundwood, sawlogs and veneer logs (coniferous and non-coniferous), and </w:t>
            </w:r>
            <w:proofErr w:type="spellStart"/>
            <w:r w:rsidRPr="001E05DC">
              <w:t>sawnwood</w:t>
            </w:r>
            <w:proofErr w:type="spellEnd"/>
            <w:r w:rsidRPr="001E05DC">
              <w:t xml:space="preserve"> (coniferous and non-coniferous</w:t>
            </w:r>
          </w:p>
        </w:tc>
      </w:tr>
      <w:tr w:rsidR="009F455B" w:rsidRPr="001E05DC" w14:paraId="163FEA7D" w14:textId="77777777" w:rsidTr="00AB26EE">
        <w:trPr>
          <w:trHeight w:val="288"/>
        </w:trPr>
        <w:tc>
          <w:tcPr>
            <w:tcW w:w="3440" w:type="dxa"/>
            <w:tcBorders>
              <w:top w:val="nil"/>
              <w:left w:val="nil"/>
              <w:bottom w:val="nil"/>
              <w:right w:val="nil"/>
            </w:tcBorders>
            <w:shd w:val="clear" w:color="auto" w:fill="auto"/>
            <w:noWrap/>
            <w:hideMark/>
          </w:tcPr>
          <w:p w14:paraId="52AD5AE5" w14:textId="77777777" w:rsidR="009F455B" w:rsidRPr="001E05DC" w:rsidRDefault="009F455B" w:rsidP="00AB26EE">
            <w:r w:rsidRPr="001E05DC">
              <w:t>Price of rice</w:t>
            </w:r>
          </w:p>
        </w:tc>
        <w:tc>
          <w:tcPr>
            <w:tcW w:w="1400" w:type="dxa"/>
            <w:tcBorders>
              <w:top w:val="nil"/>
              <w:left w:val="nil"/>
              <w:bottom w:val="nil"/>
              <w:right w:val="nil"/>
            </w:tcBorders>
            <w:shd w:val="clear" w:color="auto" w:fill="auto"/>
            <w:noWrap/>
            <w:hideMark/>
          </w:tcPr>
          <w:p w14:paraId="5F84F4A2"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0AA9D04F" w14:textId="77777777" w:rsidR="009F455B" w:rsidRPr="001E05DC" w:rsidRDefault="009F455B" w:rsidP="00AB26EE">
            <w:r w:rsidRPr="001E05DC">
              <w:t>Global</w:t>
            </w:r>
          </w:p>
        </w:tc>
        <w:tc>
          <w:tcPr>
            <w:tcW w:w="1477" w:type="dxa"/>
            <w:tcBorders>
              <w:top w:val="nil"/>
              <w:left w:val="nil"/>
              <w:bottom w:val="nil"/>
              <w:right w:val="nil"/>
            </w:tcBorders>
            <w:shd w:val="clear" w:color="auto" w:fill="auto"/>
            <w:noWrap/>
            <w:hideMark/>
          </w:tcPr>
          <w:p w14:paraId="2FA917EE" w14:textId="77777777" w:rsidR="009F455B" w:rsidRPr="001E05DC" w:rsidRDefault="009F455B" w:rsidP="00AB26EE">
            <w:r w:rsidRPr="001E05DC">
              <w:t>World Bank</w:t>
            </w:r>
          </w:p>
        </w:tc>
        <w:tc>
          <w:tcPr>
            <w:tcW w:w="6323" w:type="dxa"/>
            <w:tcBorders>
              <w:top w:val="nil"/>
              <w:left w:val="nil"/>
              <w:bottom w:val="nil"/>
              <w:right w:val="nil"/>
            </w:tcBorders>
            <w:shd w:val="clear" w:color="auto" w:fill="auto"/>
            <w:hideMark/>
          </w:tcPr>
          <w:p w14:paraId="0507C5E7" w14:textId="77777777" w:rsidR="009F455B" w:rsidRPr="001E05DC" w:rsidRDefault="009F455B" w:rsidP="00AB26EE">
            <w:r w:rsidRPr="001E05DC">
              <w:t>Median annual global market price of rice</w:t>
            </w:r>
          </w:p>
        </w:tc>
      </w:tr>
      <w:tr w:rsidR="009F455B" w:rsidRPr="001E05DC" w14:paraId="473C44CA" w14:textId="77777777" w:rsidTr="00AB26EE">
        <w:trPr>
          <w:trHeight w:val="288"/>
        </w:trPr>
        <w:tc>
          <w:tcPr>
            <w:tcW w:w="3440" w:type="dxa"/>
            <w:tcBorders>
              <w:top w:val="nil"/>
              <w:left w:val="nil"/>
              <w:bottom w:val="nil"/>
              <w:right w:val="nil"/>
            </w:tcBorders>
            <w:shd w:val="clear" w:color="auto" w:fill="auto"/>
            <w:noWrap/>
            <w:hideMark/>
          </w:tcPr>
          <w:p w14:paraId="2D138066" w14:textId="77777777" w:rsidR="009F455B" w:rsidRPr="001E05DC" w:rsidRDefault="009F455B" w:rsidP="00AB26EE">
            <w:r w:rsidRPr="001E05DC">
              <w:t>Price of corn</w:t>
            </w:r>
          </w:p>
        </w:tc>
        <w:tc>
          <w:tcPr>
            <w:tcW w:w="1400" w:type="dxa"/>
            <w:tcBorders>
              <w:top w:val="nil"/>
              <w:left w:val="nil"/>
              <w:bottom w:val="nil"/>
              <w:right w:val="nil"/>
            </w:tcBorders>
            <w:shd w:val="clear" w:color="auto" w:fill="auto"/>
            <w:noWrap/>
            <w:hideMark/>
          </w:tcPr>
          <w:p w14:paraId="60318B5D"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67BC6578" w14:textId="77777777" w:rsidR="009F455B" w:rsidRPr="001E05DC" w:rsidRDefault="009F455B" w:rsidP="00AB26EE">
            <w:r w:rsidRPr="001E05DC">
              <w:t>Global</w:t>
            </w:r>
          </w:p>
        </w:tc>
        <w:tc>
          <w:tcPr>
            <w:tcW w:w="1477" w:type="dxa"/>
            <w:tcBorders>
              <w:top w:val="nil"/>
              <w:left w:val="nil"/>
              <w:bottom w:val="nil"/>
              <w:right w:val="nil"/>
            </w:tcBorders>
            <w:shd w:val="clear" w:color="auto" w:fill="auto"/>
            <w:noWrap/>
            <w:hideMark/>
          </w:tcPr>
          <w:p w14:paraId="418DA202" w14:textId="77777777" w:rsidR="009F455B" w:rsidRPr="001E05DC" w:rsidRDefault="009F455B" w:rsidP="00AB26EE">
            <w:r w:rsidRPr="001E05DC">
              <w:t>World Bank</w:t>
            </w:r>
          </w:p>
        </w:tc>
        <w:tc>
          <w:tcPr>
            <w:tcW w:w="6323" w:type="dxa"/>
            <w:tcBorders>
              <w:top w:val="nil"/>
              <w:left w:val="nil"/>
              <w:bottom w:val="nil"/>
              <w:right w:val="nil"/>
            </w:tcBorders>
            <w:shd w:val="clear" w:color="auto" w:fill="auto"/>
            <w:hideMark/>
          </w:tcPr>
          <w:p w14:paraId="718CF267" w14:textId="77777777" w:rsidR="009F455B" w:rsidRPr="001E05DC" w:rsidRDefault="009F455B" w:rsidP="00AB26EE">
            <w:r w:rsidRPr="001E05DC">
              <w:t>Annual global market price of corn</w:t>
            </w:r>
          </w:p>
        </w:tc>
      </w:tr>
      <w:tr w:rsidR="009F455B" w:rsidRPr="001E05DC" w14:paraId="0D0190BE" w14:textId="77777777" w:rsidTr="00AB26EE">
        <w:trPr>
          <w:trHeight w:val="288"/>
        </w:trPr>
        <w:tc>
          <w:tcPr>
            <w:tcW w:w="3440" w:type="dxa"/>
            <w:tcBorders>
              <w:top w:val="nil"/>
              <w:left w:val="nil"/>
              <w:bottom w:val="nil"/>
              <w:right w:val="nil"/>
            </w:tcBorders>
            <w:shd w:val="clear" w:color="auto" w:fill="auto"/>
            <w:noWrap/>
            <w:hideMark/>
          </w:tcPr>
          <w:p w14:paraId="6E27DE75" w14:textId="77777777" w:rsidR="009F455B" w:rsidRPr="001E05DC" w:rsidRDefault="009F455B" w:rsidP="00AB26EE">
            <w:r w:rsidRPr="001E05DC">
              <w:t>Price of rubber</w:t>
            </w:r>
          </w:p>
        </w:tc>
        <w:tc>
          <w:tcPr>
            <w:tcW w:w="1400" w:type="dxa"/>
            <w:tcBorders>
              <w:top w:val="nil"/>
              <w:left w:val="nil"/>
              <w:bottom w:val="nil"/>
              <w:right w:val="nil"/>
            </w:tcBorders>
            <w:shd w:val="clear" w:color="auto" w:fill="auto"/>
            <w:noWrap/>
            <w:hideMark/>
          </w:tcPr>
          <w:p w14:paraId="0A8E2FFC"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0BD3853B" w14:textId="77777777" w:rsidR="009F455B" w:rsidRPr="001E05DC" w:rsidRDefault="009F455B" w:rsidP="00AB26EE">
            <w:r w:rsidRPr="001E05DC">
              <w:t>Regional</w:t>
            </w:r>
          </w:p>
        </w:tc>
        <w:tc>
          <w:tcPr>
            <w:tcW w:w="1477" w:type="dxa"/>
            <w:tcBorders>
              <w:top w:val="nil"/>
              <w:left w:val="nil"/>
              <w:bottom w:val="nil"/>
              <w:right w:val="nil"/>
            </w:tcBorders>
            <w:shd w:val="clear" w:color="auto" w:fill="auto"/>
            <w:noWrap/>
            <w:hideMark/>
          </w:tcPr>
          <w:p w14:paraId="4CAAE221" w14:textId="77777777" w:rsidR="009F455B" w:rsidRPr="001E05DC" w:rsidRDefault="009F455B" w:rsidP="00AB26EE">
            <w:r w:rsidRPr="001E05DC">
              <w:t>RASCE</w:t>
            </w:r>
          </w:p>
        </w:tc>
        <w:tc>
          <w:tcPr>
            <w:tcW w:w="6323" w:type="dxa"/>
            <w:tcBorders>
              <w:top w:val="nil"/>
              <w:left w:val="nil"/>
              <w:bottom w:val="nil"/>
              <w:right w:val="nil"/>
            </w:tcBorders>
            <w:shd w:val="clear" w:color="auto" w:fill="auto"/>
            <w:hideMark/>
          </w:tcPr>
          <w:p w14:paraId="52B1E095" w14:textId="77777777" w:rsidR="009F455B" w:rsidRPr="001E05DC" w:rsidRDefault="009F455B" w:rsidP="00AB26EE">
            <w:r w:rsidRPr="001E05DC">
              <w:t>Monthly regional market value of rubber on the Singapore Exchange</w:t>
            </w:r>
          </w:p>
        </w:tc>
      </w:tr>
      <w:tr w:rsidR="009F455B" w:rsidRPr="001E05DC" w14:paraId="602B2B2D" w14:textId="77777777" w:rsidTr="00AB26EE">
        <w:trPr>
          <w:trHeight w:val="288"/>
        </w:trPr>
        <w:tc>
          <w:tcPr>
            <w:tcW w:w="3440" w:type="dxa"/>
            <w:tcBorders>
              <w:top w:val="nil"/>
              <w:left w:val="nil"/>
              <w:bottom w:val="single" w:sz="8" w:space="0" w:color="auto"/>
              <w:right w:val="nil"/>
            </w:tcBorders>
            <w:shd w:val="clear" w:color="auto" w:fill="auto"/>
            <w:noWrap/>
            <w:hideMark/>
          </w:tcPr>
          <w:p w14:paraId="101A8FFC" w14:textId="77777777" w:rsidR="009F455B" w:rsidRPr="001E05DC" w:rsidRDefault="009F455B" w:rsidP="00AB26EE">
            <w:r w:rsidRPr="001E05DC">
              <w:t>Price of sugar</w:t>
            </w:r>
          </w:p>
        </w:tc>
        <w:tc>
          <w:tcPr>
            <w:tcW w:w="1400" w:type="dxa"/>
            <w:tcBorders>
              <w:top w:val="nil"/>
              <w:left w:val="nil"/>
              <w:bottom w:val="single" w:sz="8" w:space="0" w:color="auto"/>
              <w:right w:val="nil"/>
            </w:tcBorders>
            <w:shd w:val="clear" w:color="auto" w:fill="auto"/>
            <w:noWrap/>
            <w:hideMark/>
          </w:tcPr>
          <w:p w14:paraId="66126A8C" w14:textId="77777777" w:rsidR="009F455B" w:rsidRPr="001E05DC" w:rsidRDefault="009F455B" w:rsidP="00AB26EE">
            <w:r w:rsidRPr="001E05DC">
              <w:t>USD/ton</w:t>
            </w:r>
          </w:p>
        </w:tc>
        <w:tc>
          <w:tcPr>
            <w:tcW w:w="1196" w:type="dxa"/>
            <w:tcBorders>
              <w:top w:val="nil"/>
              <w:left w:val="nil"/>
              <w:bottom w:val="single" w:sz="8" w:space="0" w:color="auto"/>
              <w:right w:val="nil"/>
            </w:tcBorders>
            <w:shd w:val="clear" w:color="auto" w:fill="auto"/>
            <w:noWrap/>
            <w:hideMark/>
          </w:tcPr>
          <w:p w14:paraId="6B8E58F2" w14:textId="77777777" w:rsidR="009F455B" w:rsidRPr="001E05DC" w:rsidRDefault="009F455B" w:rsidP="00AB26EE">
            <w:r w:rsidRPr="001E05DC">
              <w:t>Global</w:t>
            </w:r>
          </w:p>
        </w:tc>
        <w:tc>
          <w:tcPr>
            <w:tcW w:w="1477" w:type="dxa"/>
            <w:tcBorders>
              <w:top w:val="nil"/>
              <w:left w:val="nil"/>
              <w:bottom w:val="single" w:sz="8" w:space="0" w:color="auto"/>
              <w:right w:val="nil"/>
            </w:tcBorders>
            <w:shd w:val="clear" w:color="auto" w:fill="auto"/>
            <w:noWrap/>
            <w:hideMark/>
          </w:tcPr>
          <w:p w14:paraId="4EF71ED2" w14:textId="77777777" w:rsidR="009F455B" w:rsidRPr="001E05DC" w:rsidRDefault="009F455B" w:rsidP="00AB26EE">
            <w:r w:rsidRPr="001E05DC">
              <w:t>World Bank</w:t>
            </w:r>
          </w:p>
        </w:tc>
        <w:tc>
          <w:tcPr>
            <w:tcW w:w="6323" w:type="dxa"/>
            <w:tcBorders>
              <w:top w:val="nil"/>
              <w:left w:val="nil"/>
              <w:bottom w:val="single" w:sz="8" w:space="0" w:color="auto"/>
              <w:right w:val="nil"/>
            </w:tcBorders>
            <w:shd w:val="clear" w:color="auto" w:fill="auto"/>
            <w:hideMark/>
          </w:tcPr>
          <w:p w14:paraId="79662F22" w14:textId="77777777" w:rsidR="009F455B" w:rsidRPr="001E05DC" w:rsidRDefault="009F455B" w:rsidP="00AB26EE">
            <w:r w:rsidRPr="001E05DC">
              <w:t>Annual global market price of sugar</w:t>
            </w:r>
          </w:p>
        </w:tc>
      </w:tr>
      <w:tr w:rsidR="009F455B" w:rsidRPr="001E05DC" w14:paraId="1C310EA3" w14:textId="77777777" w:rsidTr="00AB26EE">
        <w:trPr>
          <w:trHeight w:val="288"/>
        </w:trPr>
        <w:tc>
          <w:tcPr>
            <w:tcW w:w="3440" w:type="dxa"/>
            <w:tcBorders>
              <w:top w:val="single" w:sz="8" w:space="0" w:color="auto"/>
              <w:left w:val="nil"/>
              <w:bottom w:val="nil"/>
              <w:right w:val="nil"/>
            </w:tcBorders>
            <w:shd w:val="clear" w:color="auto" w:fill="auto"/>
            <w:noWrap/>
            <w:hideMark/>
          </w:tcPr>
          <w:p w14:paraId="7324590D" w14:textId="77777777" w:rsidR="009F455B" w:rsidRPr="001E05DC" w:rsidRDefault="009F455B" w:rsidP="00AB26EE">
            <w:pPr>
              <w:rPr>
                <w:i/>
                <w:iCs/>
              </w:rPr>
            </w:pPr>
            <w:r w:rsidRPr="001E05DC">
              <w:rPr>
                <w:i/>
                <w:iCs/>
              </w:rPr>
              <w:t>Producer prices</w:t>
            </w:r>
          </w:p>
        </w:tc>
        <w:tc>
          <w:tcPr>
            <w:tcW w:w="1400" w:type="dxa"/>
            <w:tcBorders>
              <w:top w:val="single" w:sz="8" w:space="0" w:color="auto"/>
              <w:left w:val="nil"/>
              <w:bottom w:val="nil"/>
              <w:right w:val="nil"/>
            </w:tcBorders>
            <w:shd w:val="clear" w:color="auto" w:fill="auto"/>
            <w:noWrap/>
            <w:hideMark/>
          </w:tcPr>
          <w:p w14:paraId="547943A7" w14:textId="77777777" w:rsidR="009F455B" w:rsidRPr="001E05DC" w:rsidRDefault="009F455B" w:rsidP="00AB26EE">
            <w:pPr>
              <w:rPr>
                <w:i/>
                <w:iCs/>
              </w:rPr>
            </w:pPr>
          </w:p>
        </w:tc>
        <w:tc>
          <w:tcPr>
            <w:tcW w:w="1196" w:type="dxa"/>
            <w:tcBorders>
              <w:top w:val="single" w:sz="8" w:space="0" w:color="auto"/>
              <w:left w:val="nil"/>
              <w:bottom w:val="nil"/>
              <w:right w:val="nil"/>
            </w:tcBorders>
            <w:shd w:val="clear" w:color="auto" w:fill="auto"/>
            <w:noWrap/>
            <w:hideMark/>
          </w:tcPr>
          <w:p w14:paraId="4B25484A" w14:textId="77777777" w:rsidR="009F455B" w:rsidRPr="001E05DC" w:rsidRDefault="009F455B" w:rsidP="00AB26EE"/>
        </w:tc>
        <w:tc>
          <w:tcPr>
            <w:tcW w:w="1477" w:type="dxa"/>
            <w:tcBorders>
              <w:top w:val="single" w:sz="8" w:space="0" w:color="auto"/>
              <w:left w:val="nil"/>
              <w:bottom w:val="nil"/>
              <w:right w:val="nil"/>
            </w:tcBorders>
            <w:shd w:val="clear" w:color="auto" w:fill="auto"/>
            <w:noWrap/>
            <w:hideMark/>
          </w:tcPr>
          <w:p w14:paraId="70532AED" w14:textId="77777777" w:rsidR="009F455B" w:rsidRPr="001E05DC" w:rsidRDefault="009F455B" w:rsidP="00AB26EE"/>
        </w:tc>
        <w:tc>
          <w:tcPr>
            <w:tcW w:w="6323" w:type="dxa"/>
            <w:tcBorders>
              <w:top w:val="single" w:sz="8" w:space="0" w:color="auto"/>
              <w:left w:val="nil"/>
              <w:bottom w:val="nil"/>
              <w:right w:val="nil"/>
            </w:tcBorders>
            <w:shd w:val="clear" w:color="auto" w:fill="auto"/>
            <w:noWrap/>
            <w:hideMark/>
          </w:tcPr>
          <w:p w14:paraId="41A2C374" w14:textId="77777777" w:rsidR="009F455B" w:rsidRPr="001E05DC" w:rsidRDefault="009F455B" w:rsidP="00AB26EE"/>
        </w:tc>
      </w:tr>
      <w:tr w:rsidR="009F455B" w:rsidRPr="001E05DC" w14:paraId="49BD49CC" w14:textId="77777777" w:rsidTr="00AB26EE">
        <w:trPr>
          <w:trHeight w:val="288"/>
        </w:trPr>
        <w:tc>
          <w:tcPr>
            <w:tcW w:w="3440" w:type="dxa"/>
            <w:tcBorders>
              <w:top w:val="nil"/>
              <w:left w:val="nil"/>
              <w:bottom w:val="nil"/>
              <w:right w:val="nil"/>
            </w:tcBorders>
            <w:shd w:val="clear" w:color="auto" w:fill="auto"/>
            <w:noWrap/>
            <w:hideMark/>
          </w:tcPr>
          <w:p w14:paraId="210B405C" w14:textId="77777777" w:rsidR="009F455B" w:rsidRPr="001E05DC" w:rsidRDefault="009F455B" w:rsidP="00AB26EE">
            <w:r w:rsidRPr="001E05DC">
              <w:t>Producer price of Rice</w:t>
            </w:r>
          </w:p>
        </w:tc>
        <w:tc>
          <w:tcPr>
            <w:tcW w:w="1400" w:type="dxa"/>
            <w:tcBorders>
              <w:top w:val="nil"/>
              <w:left w:val="nil"/>
              <w:bottom w:val="nil"/>
              <w:right w:val="nil"/>
            </w:tcBorders>
            <w:shd w:val="clear" w:color="auto" w:fill="auto"/>
            <w:noWrap/>
            <w:hideMark/>
          </w:tcPr>
          <w:p w14:paraId="47B0C54A"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638D86BD"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4776FF37"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3B29B2CE" w14:textId="77777777" w:rsidR="009F455B" w:rsidRPr="001E05DC" w:rsidRDefault="009F455B" w:rsidP="00AB26EE">
            <w:r w:rsidRPr="001E05DC">
              <w:t>Farmgate prices for Cambodian producers</w:t>
            </w:r>
          </w:p>
        </w:tc>
      </w:tr>
      <w:tr w:rsidR="009F455B" w:rsidRPr="001E05DC" w14:paraId="43C25810" w14:textId="77777777" w:rsidTr="00AB26EE">
        <w:trPr>
          <w:trHeight w:val="288"/>
        </w:trPr>
        <w:tc>
          <w:tcPr>
            <w:tcW w:w="3440" w:type="dxa"/>
            <w:tcBorders>
              <w:top w:val="nil"/>
              <w:left w:val="nil"/>
              <w:right w:val="nil"/>
            </w:tcBorders>
            <w:shd w:val="clear" w:color="auto" w:fill="auto"/>
            <w:noWrap/>
            <w:hideMark/>
          </w:tcPr>
          <w:p w14:paraId="7DC50374" w14:textId="77777777" w:rsidR="009F455B" w:rsidRPr="001E05DC" w:rsidRDefault="009F455B" w:rsidP="00AB26EE">
            <w:r w:rsidRPr="001E05DC">
              <w:t>Producer price of rubber</w:t>
            </w:r>
          </w:p>
        </w:tc>
        <w:tc>
          <w:tcPr>
            <w:tcW w:w="1400" w:type="dxa"/>
            <w:tcBorders>
              <w:top w:val="nil"/>
              <w:left w:val="nil"/>
              <w:right w:val="nil"/>
            </w:tcBorders>
            <w:shd w:val="clear" w:color="auto" w:fill="auto"/>
            <w:noWrap/>
            <w:hideMark/>
          </w:tcPr>
          <w:p w14:paraId="0A226C02" w14:textId="77777777" w:rsidR="009F455B" w:rsidRPr="001E05DC" w:rsidRDefault="009F455B" w:rsidP="00AB26EE">
            <w:r w:rsidRPr="001E05DC">
              <w:t>USD/ton</w:t>
            </w:r>
          </w:p>
        </w:tc>
        <w:tc>
          <w:tcPr>
            <w:tcW w:w="1196" w:type="dxa"/>
            <w:tcBorders>
              <w:top w:val="nil"/>
              <w:left w:val="nil"/>
              <w:right w:val="nil"/>
            </w:tcBorders>
            <w:shd w:val="clear" w:color="auto" w:fill="auto"/>
            <w:noWrap/>
            <w:hideMark/>
          </w:tcPr>
          <w:p w14:paraId="65964DBC" w14:textId="77777777" w:rsidR="009F455B" w:rsidRPr="001E05DC" w:rsidRDefault="009F455B" w:rsidP="00AB26EE">
            <w:r w:rsidRPr="001E05DC">
              <w:t>National</w:t>
            </w:r>
          </w:p>
        </w:tc>
        <w:tc>
          <w:tcPr>
            <w:tcW w:w="1477" w:type="dxa"/>
            <w:tcBorders>
              <w:top w:val="nil"/>
              <w:left w:val="nil"/>
              <w:right w:val="nil"/>
            </w:tcBorders>
            <w:shd w:val="clear" w:color="auto" w:fill="auto"/>
            <w:noWrap/>
            <w:hideMark/>
          </w:tcPr>
          <w:p w14:paraId="52310A4D" w14:textId="77777777" w:rsidR="009F455B" w:rsidRPr="001E05DC" w:rsidRDefault="009F455B" w:rsidP="00AB26EE">
            <w:r w:rsidRPr="001E05DC">
              <w:t>FAO</w:t>
            </w:r>
          </w:p>
        </w:tc>
        <w:tc>
          <w:tcPr>
            <w:tcW w:w="6323" w:type="dxa"/>
            <w:tcBorders>
              <w:top w:val="nil"/>
              <w:left w:val="nil"/>
              <w:right w:val="nil"/>
            </w:tcBorders>
            <w:shd w:val="clear" w:color="auto" w:fill="auto"/>
            <w:hideMark/>
          </w:tcPr>
          <w:p w14:paraId="3E65001E" w14:textId="77777777" w:rsidR="009F455B" w:rsidRPr="001E05DC" w:rsidRDefault="009F455B" w:rsidP="00AB26EE">
            <w:r w:rsidRPr="001E05DC">
              <w:t>Farmgate prices for Cambodian producers</w:t>
            </w:r>
          </w:p>
        </w:tc>
      </w:tr>
      <w:tr w:rsidR="009F455B" w:rsidRPr="001E05DC" w14:paraId="145D8151" w14:textId="77777777" w:rsidTr="00AB26EE">
        <w:trPr>
          <w:trHeight w:val="288"/>
        </w:trPr>
        <w:tc>
          <w:tcPr>
            <w:tcW w:w="3440" w:type="dxa"/>
            <w:tcBorders>
              <w:top w:val="nil"/>
              <w:left w:val="nil"/>
              <w:bottom w:val="nil"/>
              <w:right w:val="nil"/>
            </w:tcBorders>
            <w:shd w:val="clear" w:color="auto" w:fill="auto"/>
            <w:noWrap/>
            <w:hideMark/>
          </w:tcPr>
          <w:p w14:paraId="11B93D80" w14:textId="77777777" w:rsidR="009F455B" w:rsidRPr="001E05DC" w:rsidRDefault="009F455B" w:rsidP="00AB26EE">
            <w:r w:rsidRPr="001E05DC">
              <w:t>Producer price of cassava</w:t>
            </w:r>
          </w:p>
        </w:tc>
        <w:tc>
          <w:tcPr>
            <w:tcW w:w="1400" w:type="dxa"/>
            <w:tcBorders>
              <w:top w:val="nil"/>
              <w:left w:val="nil"/>
              <w:bottom w:val="nil"/>
              <w:right w:val="nil"/>
            </w:tcBorders>
            <w:shd w:val="clear" w:color="auto" w:fill="auto"/>
            <w:noWrap/>
            <w:hideMark/>
          </w:tcPr>
          <w:p w14:paraId="0A790942"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6064CD77"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162B39AE"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13508DD3" w14:textId="77777777" w:rsidR="009F455B" w:rsidRPr="001E05DC" w:rsidRDefault="009F455B" w:rsidP="00AB26EE">
            <w:r w:rsidRPr="001E05DC">
              <w:t>Farmgate prices for Cambodian producers</w:t>
            </w:r>
          </w:p>
        </w:tc>
      </w:tr>
      <w:tr w:rsidR="009F455B" w:rsidRPr="001E05DC" w14:paraId="42871A3C" w14:textId="77777777" w:rsidTr="00AB26EE">
        <w:trPr>
          <w:trHeight w:val="288"/>
        </w:trPr>
        <w:tc>
          <w:tcPr>
            <w:tcW w:w="3440" w:type="dxa"/>
            <w:tcBorders>
              <w:left w:val="nil"/>
              <w:bottom w:val="nil"/>
              <w:right w:val="nil"/>
            </w:tcBorders>
            <w:shd w:val="clear" w:color="auto" w:fill="auto"/>
            <w:noWrap/>
            <w:hideMark/>
          </w:tcPr>
          <w:p w14:paraId="6236B39A" w14:textId="77777777" w:rsidR="009F455B" w:rsidRPr="001E05DC" w:rsidRDefault="009F455B" w:rsidP="00AB26EE">
            <w:r w:rsidRPr="001E05DC">
              <w:t>Producer price of corn</w:t>
            </w:r>
          </w:p>
        </w:tc>
        <w:tc>
          <w:tcPr>
            <w:tcW w:w="1400" w:type="dxa"/>
            <w:tcBorders>
              <w:left w:val="nil"/>
              <w:bottom w:val="nil"/>
              <w:right w:val="nil"/>
            </w:tcBorders>
            <w:shd w:val="clear" w:color="auto" w:fill="auto"/>
            <w:noWrap/>
            <w:hideMark/>
          </w:tcPr>
          <w:p w14:paraId="6794F71B" w14:textId="77777777" w:rsidR="009F455B" w:rsidRPr="001E05DC" w:rsidRDefault="009F455B" w:rsidP="00AB26EE">
            <w:r w:rsidRPr="001E05DC">
              <w:t>USD/ton</w:t>
            </w:r>
          </w:p>
        </w:tc>
        <w:tc>
          <w:tcPr>
            <w:tcW w:w="1196" w:type="dxa"/>
            <w:tcBorders>
              <w:left w:val="nil"/>
              <w:bottom w:val="nil"/>
              <w:right w:val="nil"/>
            </w:tcBorders>
            <w:shd w:val="clear" w:color="auto" w:fill="auto"/>
            <w:noWrap/>
            <w:hideMark/>
          </w:tcPr>
          <w:p w14:paraId="58D8B0AE" w14:textId="77777777" w:rsidR="009F455B" w:rsidRPr="001E05DC" w:rsidRDefault="009F455B" w:rsidP="00AB26EE">
            <w:r w:rsidRPr="001E05DC">
              <w:t>National</w:t>
            </w:r>
          </w:p>
        </w:tc>
        <w:tc>
          <w:tcPr>
            <w:tcW w:w="1477" w:type="dxa"/>
            <w:tcBorders>
              <w:left w:val="nil"/>
              <w:bottom w:val="nil"/>
              <w:right w:val="nil"/>
            </w:tcBorders>
            <w:shd w:val="clear" w:color="auto" w:fill="auto"/>
            <w:noWrap/>
            <w:hideMark/>
          </w:tcPr>
          <w:p w14:paraId="0BFEF64E" w14:textId="77777777" w:rsidR="009F455B" w:rsidRPr="001E05DC" w:rsidRDefault="009F455B" w:rsidP="00AB26EE">
            <w:r w:rsidRPr="001E05DC">
              <w:t>FAO</w:t>
            </w:r>
          </w:p>
        </w:tc>
        <w:tc>
          <w:tcPr>
            <w:tcW w:w="6323" w:type="dxa"/>
            <w:tcBorders>
              <w:left w:val="nil"/>
              <w:bottom w:val="nil"/>
              <w:right w:val="nil"/>
            </w:tcBorders>
            <w:shd w:val="clear" w:color="auto" w:fill="auto"/>
            <w:hideMark/>
          </w:tcPr>
          <w:p w14:paraId="4F3BC1D0" w14:textId="77777777" w:rsidR="009F455B" w:rsidRPr="001E05DC" w:rsidRDefault="009F455B" w:rsidP="00AB26EE">
            <w:r w:rsidRPr="001E05DC">
              <w:t>Farmgate prices for Cambodian producers</w:t>
            </w:r>
          </w:p>
        </w:tc>
      </w:tr>
      <w:tr w:rsidR="009F455B" w:rsidRPr="001E05DC" w14:paraId="02AC0337" w14:textId="77777777" w:rsidTr="00AB26EE">
        <w:trPr>
          <w:trHeight w:val="288"/>
        </w:trPr>
        <w:tc>
          <w:tcPr>
            <w:tcW w:w="3440" w:type="dxa"/>
            <w:tcBorders>
              <w:top w:val="nil"/>
              <w:left w:val="nil"/>
              <w:bottom w:val="single" w:sz="4" w:space="0" w:color="auto"/>
              <w:right w:val="nil"/>
            </w:tcBorders>
            <w:shd w:val="clear" w:color="auto" w:fill="auto"/>
            <w:noWrap/>
            <w:hideMark/>
          </w:tcPr>
          <w:p w14:paraId="5406492F" w14:textId="77777777" w:rsidR="009F455B" w:rsidRPr="001E05DC" w:rsidRDefault="009F455B" w:rsidP="00AB26EE">
            <w:r w:rsidRPr="001E05DC">
              <w:t>Producer price of sugar</w:t>
            </w:r>
          </w:p>
        </w:tc>
        <w:tc>
          <w:tcPr>
            <w:tcW w:w="1400" w:type="dxa"/>
            <w:tcBorders>
              <w:top w:val="nil"/>
              <w:left w:val="nil"/>
              <w:bottom w:val="single" w:sz="4" w:space="0" w:color="auto"/>
              <w:right w:val="nil"/>
            </w:tcBorders>
            <w:shd w:val="clear" w:color="auto" w:fill="auto"/>
            <w:noWrap/>
            <w:hideMark/>
          </w:tcPr>
          <w:p w14:paraId="103284AA" w14:textId="77777777" w:rsidR="009F455B" w:rsidRPr="001E05DC" w:rsidRDefault="009F455B" w:rsidP="00AB26EE">
            <w:r w:rsidRPr="001E05DC">
              <w:t>USD/ton</w:t>
            </w:r>
          </w:p>
        </w:tc>
        <w:tc>
          <w:tcPr>
            <w:tcW w:w="1196" w:type="dxa"/>
            <w:tcBorders>
              <w:top w:val="nil"/>
              <w:left w:val="nil"/>
              <w:bottom w:val="single" w:sz="4" w:space="0" w:color="auto"/>
              <w:right w:val="nil"/>
            </w:tcBorders>
            <w:shd w:val="clear" w:color="auto" w:fill="auto"/>
            <w:noWrap/>
            <w:hideMark/>
          </w:tcPr>
          <w:p w14:paraId="7D183982" w14:textId="77777777" w:rsidR="009F455B" w:rsidRPr="001E05DC" w:rsidRDefault="009F455B" w:rsidP="00AB26EE">
            <w:r w:rsidRPr="001E05DC">
              <w:t>National</w:t>
            </w:r>
          </w:p>
        </w:tc>
        <w:tc>
          <w:tcPr>
            <w:tcW w:w="1477" w:type="dxa"/>
            <w:tcBorders>
              <w:top w:val="nil"/>
              <w:left w:val="nil"/>
              <w:bottom w:val="single" w:sz="4" w:space="0" w:color="auto"/>
              <w:right w:val="nil"/>
            </w:tcBorders>
            <w:shd w:val="clear" w:color="auto" w:fill="auto"/>
            <w:noWrap/>
            <w:hideMark/>
          </w:tcPr>
          <w:p w14:paraId="25632292" w14:textId="77777777" w:rsidR="009F455B" w:rsidRPr="001E05DC" w:rsidRDefault="009F455B" w:rsidP="00AB26EE">
            <w:r w:rsidRPr="001E05DC">
              <w:t>FAO</w:t>
            </w:r>
          </w:p>
        </w:tc>
        <w:tc>
          <w:tcPr>
            <w:tcW w:w="6323" w:type="dxa"/>
            <w:tcBorders>
              <w:top w:val="nil"/>
              <w:left w:val="nil"/>
              <w:bottom w:val="single" w:sz="4" w:space="0" w:color="auto"/>
              <w:right w:val="nil"/>
            </w:tcBorders>
            <w:shd w:val="clear" w:color="auto" w:fill="auto"/>
            <w:hideMark/>
          </w:tcPr>
          <w:p w14:paraId="6731F5B5" w14:textId="77777777" w:rsidR="009F455B" w:rsidRPr="001E05DC" w:rsidRDefault="009F455B" w:rsidP="00AB26EE">
            <w:r w:rsidRPr="001E05DC">
              <w:t>Farmgate prices for Cambodian producers</w:t>
            </w:r>
          </w:p>
        </w:tc>
      </w:tr>
      <w:tr w:rsidR="009F455B" w:rsidRPr="001E05DC" w14:paraId="3A08811A" w14:textId="77777777" w:rsidTr="00AB26EE">
        <w:trPr>
          <w:trHeight w:val="288"/>
        </w:trPr>
        <w:tc>
          <w:tcPr>
            <w:tcW w:w="3440" w:type="dxa"/>
            <w:tcBorders>
              <w:top w:val="single" w:sz="4" w:space="0" w:color="auto"/>
              <w:left w:val="nil"/>
              <w:right w:val="nil"/>
            </w:tcBorders>
            <w:shd w:val="clear" w:color="auto" w:fill="auto"/>
            <w:noWrap/>
          </w:tcPr>
          <w:p w14:paraId="1C03FC05" w14:textId="77777777" w:rsidR="009F455B" w:rsidRPr="001E05DC" w:rsidRDefault="009F455B" w:rsidP="00AB26EE">
            <w:pPr>
              <w:rPr>
                <w:i/>
                <w:iCs/>
              </w:rPr>
            </w:pPr>
            <w:r w:rsidRPr="001E05DC">
              <w:rPr>
                <w:i/>
                <w:iCs/>
              </w:rPr>
              <w:t>Control</w:t>
            </w:r>
          </w:p>
        </w:tc>
        <w:tc>
          <w:tcPr>
            <w:tcW w:w="1400" w:type="dxa"/>
            <w:tcBorders>
              <w:top w:val="single" w:sz="4" w:space="0" w:color="auto"/>
              <w:left w:val="nil"/>
              <w:right w:val="nil"/>
            </w:tcBorders>
            <w:shd w:val="clear" w:color="auto" w:fill="auto"/>
            <w:noWrap/>
          </w:tcPr>
          <w:p w14:paraId="5FE817A5" w14:textId="77777777" w:rsidR="009F455B" w:rsidRPr="001E05DC" w:rsidRDefault="009F455B" w:rsidP="00AB26EE"/>
        </w:tc>
        <w:tc>
          <w:tcPr>
            <w:tcW w:w="1196" w:type="dxa"/>
            <w:tcBorders>
              <w:top w:val="single" w:sz="4" w:space="0" w:color="auto"/>
              <w:left w:val="nil"/>
              <w:right w:val="nil"/>
            </w:tcBorders>
            <w:shd w:val="clear" w:color="auto" w:fill="auto"/>
            <w:noWrap/>
          </w:tcPr>
          <w:p w14:paraId="65DFFEE3" w14:textId="77777777" w:rsidR="009F455B" w:rsidRPr="001E05DC" w:rsidRDefault="009F455B" w:rsidP="00AB26EE"/>
        </w:tc>
        <w:tc>
          <w:tcPr>
            <w:tcW w:w="1477" w:type="dxa"/>
            <w:tcBorders>
              <w:top w:val="single" w:sz="4" w:space="0" w:color="auto"/>
              <w:left w:val="nil"/>
              <w:right w:val="nil"/>
            </w:tcBorders>
            <w:shd w:val="clear" w:color="auto" w:fill="auto"/>
            <w:noWrap/>
          </w:tcPr>
          <w:p w14:paraId="5D424486" w14:textId="77777777" w:rsidR="009F455B" w:rsidRPr="001E05DC" w:rsidRDefault="009F455B" w:rsidP="00AB26EE"/>
        </w:tc>
        <w:tc>
          <w:tcPr>
            <w:tcW w:w="6323" w:type="dxa"/>
            <w:tcBorders>
              <w:top w:val="single" w:sz="4" w:space="0" w:color="auto"/>
              <w:left w:val="nil"/>
              <w:right w:val="nil"/>
            </w:tcBorders>
            <w:shd w:val="clear" w:color="auto" w:fill="auto"/>
          </w:tcPr>
          <w:p w14:paraId="524B9E66" w14:textId="77777777" w:rsidR="009F455B" w:rsidRPr="001E05DC" w:rsidRDefault="009F455B" w:rsidP="00AB26EE"/>
        </w:tc>
      </w:tr>
      <w:tr w:rsidR="009F455B" w:rsidRPr="001E05DC" w14:paraId="672C2F0B" w14:textId="77777777" w:rsidTr="00AB26EE">
        <w:trPr>
          <w:trHeight w:val="288"/>
        </w:trPr>
        <w:tc>
          <w:tcPr>
            <w:tcW w:w="3440" w:type="dxa"/>
            <w:tcBorders>
              <w:top w:val="nil"/>
              <w:left w:val="nil"/>
              <w:bottom w:val="nil"/>
              <w:right w:val="nil"/>
            </w:tcBorders>
            <w:shd w:val="clear" w:color="auto" w:fill="auto"/>
            <w:noWrap/>
          </w:tcPr>
          <w:p w14:paraId="734D984F" w14:textId="77777777" w:rsidR="009F455B" w:rsidRPr="001E05DC" w:rsidRDefault="009F455B" w:rsidP="00AB26EE">
            <w:r w:rsidRPr="001E05DC">
              <w:t>Population density</w:t>
            </w:r>
          </w:p>
        </w:tc>
        <w:tc>
          <w:tcPr>
            <w:tcW w:w="1400" w:type="dxa"/>
            <w:tcBorders>
              <w:top w:val="nil"/>
              <w:left w:val="nil"/>
              <w:bottom w:val="nil"/>
              <w:right w:val="nil"/>
            </w:tcBorders>
            <w:shd w:val="clear" w:color="auto" w:fill="auto"/>
            <w:noWrap/>
          </w:tcPr>
          <w:p w14:paraId="02D9150D" w14:textId="77777777" w:rsidR="009F455B" w:rsidRPr="001E05DC" w:rsidRDefault="009F455B" w:rsidP="00AB26EE">
            <w:r w:rsidRPr="001E05DC">
              <w:t>pax/km2</w:t>
            </w:r>
          </w:p>
        </w:tc>
        <w:tc>
          <w:tcPr>
            <w:tcW w:w="1196" w:type="dxa"/>
            <w:tcBorders>
              <w:top w:val="nil"/>
              <w:left w:val="nil"/>
              <w:bottom w:val="nil"/>
              <w:right w:val="nil"/>
            </w:tcBorders>
            <w:shd w:val="clear" w:color="auto" w:fill="auto"/>
            <w:noWrap/>
          </w:tcPr>
          <w:p w14:paraId="5D093B0F"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tcPr>
          <w:p w14:paraId="462B9627" w14:textId="77777777" w:rsidR="009F455B" w:rsidRPr="001E05DC" w:rsidRDefault="009F455B" w:rsidP="00AB26EE">
            <w:r w:rsidRPr="001E05DC">
              <w:t>FAO</w:t>
            </w:r>
          </w:p>
        </w:tc>
        <w:tc>
          <w:tcPr>
            <w:tcW w:w="6323" w:type="dxa"/>
            <w:tcBorders>
              <w:top w:val="nil"/>
              <w:left w:val="nil"/>
              <w:bottom w:val="nil"/>
              <w:right w:val="nil"/>
            </w:tcBorders>
            <w:shd w:val="clear" w:color="auto" w:fill="auto"/>
          </w:tcPr>
          <w:p w14:paraId="112C2FA3" w14:textId="77777777" w:rsidR="009F455B" w:rsidRPr="001E05DC" w:rsidRDefault="009F455B" w:rsidP="00AB26EE">
            <w:r w:rsidRPr="001E05DC">
              <w:t>People per km2</w:t>
            </w:r>
          </w:p>
        </w:tc>
      </w:tr>
      <w:tr w:rsidR="009F455B" w:rsidRPr="001E05DC" w14:paraId="41153AE6" w14:textId="77777777" w:rsidTr="00AB26EE">
        <w:trPr>
          <w:trHeight w:val="288"/>
        </w:trPr>
        <w:tc>
          <w:tcPr>
            <w:tcW w:w="3440" w:type="dxa"/>
            <w:tcBorders>
              <w:top w:val="nil"/>
              <w:left w:val="nil"/>
              <w:bottom w:val="single" w:sz="12" w:space="0" w:color="auto"/>
              <w:right w:val="nil"/>
            </w:tcBorders>
            <w:shd w:val="clear" w:color="auto" w:fill="auto"/>
            <w:noWrap/>
          </w:tcPr>
          <w:p w14:paraId="2515A6FE" w14:textId="77777777" w:rsidR="009F455B" w:rsidRPr="001E05DC" w:rsidRDefault="009F455B" w:rsidP="00AB26EE">
            <w:r w:rsidRPr="001E05DC">
              <w:t>Forest remaining</w:t>
            </w:r>
          </w:p>
        </w:tc>
        <w:tc>
          <w:tcPr>
            <w:tcW w:w="1400" w:type="dxa"/>
            <w:tcBorders>
              <w:top w:val="nil"/>
              <w:left w:val="nil"/>
              <w:bottom w:val="single" w:sz="12" w:space="0" w:color="auto"/>
              <w:right w:val="nil"/>
            </w:tcBorders>
            <w:shd w:val="clear" w:color="auto" w:fill="auto"/>
            <w:noWrap/>
          </w:tcPr>
          <w:p w14:paraId="4AB42AA0" w14:textId="77777777" w:rsidR="009F455B" w:rsidRPr="001E05DC" w:rsidRDefault="009F455B" w:rsidP="00AB26EE">
            <w:r w:rsidRPr="001E05DC">
              <w:t>Km</w:t>
            </w:r>
            <w:r w:rsidRPr="001E05DC">
              <w:rPr>
                <w:vertAlign w:val="superscript"/>
              </w:rPr>
              <w:t>2</w:t>
            </w:r>
          </w:p>
        </w:tc>
        <w:tc>
          <w:tcPr>
            <w:tcW w:w="1196" w:type="dxa"/>
            <w:tcBorders>
              <w:top w:val="nil"/>
              <w:left w:val="nil"/>
              <w:bottom w:val="single" w:sz="12" w:space="0" w:color="auto"/>
              <w:right w:val="nil"/>
            </w:tcBorders>
            <w:shd w:val="clear" w:color="auto" w:fill="auto"/>
            <w:noWrap/>
          </w:tcPr>
          <w:p w14:paraId="7CD4197B" w14:textId="77777777" w:rsidR="009F455B" w:rsidRPr="001E05DC" w:rsidRDefault="009F455B" w:rsidP="00AB26EE">
            <w:r w:rsidRPr="001E05DC">
              <w:t>National</w:t>
            </w:r>
          </w:p>
        </w:tc>
        <w:tc>
          <w:tcPr>
            <w:tcW w:w="1477" w:type="dxa"/>
            <w:tcBorders>
              <w:top w:val="nil"/>
              <w:left w:val="nil"/>
              <w:bottom w:val="single" w:sz="12" w:space="0" w:color="auto"/>
              <w:right w:val="nil"/>
            </w:tcBorders>
            <w:shd w:val="clear" w:color="auto" w:fill="auto"/>
            <w:noWrap/>
          </w:tcPr>
          <w:p w14:paraId="6FE29052" w14:textId="77777777" w:rsidR="009F455B" w:rsidRPr="001E05DC" w:rsidRDefault="009F455B" w:rsidP="00AB26EE">
            <w:r w:rsidRPr="001E05DC">
              <w:t>ESACCI</w:t>
            </w:r>
          </w:p>
        </w:tc>
        <w:tc>
          <w:tcPr>
            <w:tcW w:w="6323" w:type="dxa"/>
            <w:tcBorders>
              <w:top w:val="nil"/>
              <w:left w:val="nil"/>
              <w:bottom w:val="single" w:sz="12" w:space="0" w:color="auto"/>
              <w:right w:val="nil"/>
            </w:tcBorders>
            <w:shd w:val="clear" w:color="auto" w:fill="auto"/>
          </w:tcPr>
          <w:p w14:paraId="61C797BE" w14:textId="77777777" w:rsidR="009F455B" w:rsidRPr="001E05DC" w:rsidRDefault="009F455B" w:rsidP="00AB26EE">
            <w:r w:rsidRPr="001E05DC">
              <w:t>Raw value of forest remaining</w:t>
            </w:r>
          </w:p>
        </w:tc>
      </w:tr>
    </w:tbl>
    <w:p w14:paraId="66817274" w14:textId="77777777" w:rsidR="009F455B" w:rsidRPr="001E05DC" w:rsidRDefault="009F455B" w:rsidP="009F455B"/>
    <w:p w14:paraId="0E714C34" w14:textId="77777777" w:rsidR="009F455B" w:rsidRDefault="009F455B" w:rsidP="000A46B5">
      <w:pPr>
        <w:rPr>
          <w:b/>
          <w:bCs/>
          <w:i/>
          <w:iCs/>
        </w:rPr>
        <w:sectPr w:rsidR="009F455B" w:rsidSect="009F455B">
          <w:pgSz w:w="16838" w:h="11906" w:orient="landscape"/>
          <w:pgMar w:top="1440" w:right="1440" w:bottom="1440" w:left="1440" w:header="708" w:footer="708" w:gutter="0"/>
          <w:cols w:space="708"/>
          <w:docGrid w:linePitch="360"/>
        </w:sectPr>
      </w:pPr>
    </w:p>
    <w:p w14:paraId="50BC329B" w14:textId="128B6FFB" w:rsidR="000A46B5" w:rsidRPr="001E05DC" w:rsidRDefault="000A46B5" w:rsidP="000A46B5">
      <w:pPr>
        <w:rPr>
          <w:b/>
          <w:bCs/>
          <w:i/>
          <w:iCs/>
        </w:rPr>
      </w:pPr>
      <w:r w:rsidRPr="001E05DC">
        <w:rPr>
          <w:b/>
          <w:bCs/>
          <w:i/>
          <w:iCs/>
        </w:rPr>
        <w:lastRenderedPageBreak/>
        <w:t xml:space="preserve">Modelling </w:t>
      </w:r>
    </w:p>
    <w:p w14:paraId="731B3D43" w14:textId="6E865A82" w:rsidR="000A46B5" w:rsidRPr="001E05DC" w:rsidRDefault="000A46B5" w:rsidP="000A46B5">
      <w:r w:rsidRPr="001E05DC">
        <w:t>This analysis aimed to model the relationships between changes in macroeconomic predictors and 1) the change in forest cover at a national level and 2) the allocation of new ELCs</w:t>
      </w:r>
      <w:r w:rsidR="005252BE">
        <w:t xml:space="preserve">. </w:t>
      </w:r>
      <w:r w:rsidRPr="001E05DC">
        <w:t>Models were run for both response variables with each of the three variable sets: economic development, commodity prices, and producer prices. To account for the effect of time, a linear model of the response as a function of time (year) was run and the model residuals were extracted and used as a control predictor in all subsequent models</w:t>
      </w:r>
      <w:r w:rsidR="007739D7">
        <w:t xml:space="preserve"> </w:t>
      </w:r>
      <w:r w:rsidR="007739D7">
        <w:fldChar w:fldCharType="begin"/>
      </w:r>
      <w:r w:rsidR="007739D7">
        <w:instrText xml:space="preserve"> ADDIN ZOTERO_ITEM CSL_CITATION {"citationID":"DyPPDg31","properties":{"formattedCitation":"(Crawley 2007)","plainCitation":"(Crawley 2007)","noteIndex":0},"citationItems":[{"id":2882,"uris":["http://zotero.org/users/2170232/items/QGPL39G5"],"uri":["http://zotero.org/users/2170232/items/QGPL39G5"],"itemData":{"id":2882,"type":"book","event-place":"Chichester, UK","ISBN":"978-0-470-51024-7","publisher":"Wiley","publisher-place":"Chichester, UK","title":"The R Book","author":[{"family":"Crawley","given":"Michael J."}],"issued":{"date-parts":[["2007"]]}}}],"schema":"https://github.com/citation-style-language/schema/raw/master/csl-citation.json"} </w:instrText>
      </w:r>
      <w:r w:rsidR="007739D7">
        <w:fldChar w:fldCharType="separate"/>
      </w:r>
      <w:r w:rsidR="007739D7" w:rsidRPr="007739D7">
        <w:rPr>
          <w:rFonts w:ascii="Calibri" w:hAnsi="Calibri" w:cs="Calibri"/>
        </w:rPr>
        <w:t>(Crawley 2007)</w:t>
      </w:r>
      <w:r w:rsidR="007739D7">
        <w:fldChar w:fldCharType="end"/>
      </w:r>
      <w:r w:rsidRPr="001E05DC">
        <w:t>.</w:t>
      </w:r>
      <w:r w:rsidR="007739D7">
        <w:t xml:space="preserve"> This process minimises the effect of time on changes in the response and reduces temporal autocorrelation</w:t>
      </w:r>
      <w:r w:rsidR="00DD2646">
        <w:t>.</w:t>
      </w:r>
      <w:r w:rsidRPr="001E05DC">
        <w:t xml:space="preserve"> The amount of forest remaining (km</w:t>
      </w:r>
      <w:r w:rsidRPr="001E05DC">
        <w:rPr>
          <w:vertAlign w:val="superscript"/>
        </w:rPr>
        <w:t>2</w:t>
      </w:r>
      <w:r w:rsidRPr="001E05DC">
        <w:t xml:space="preserve">) was also included as a control variable in all models. Modelling was done using Generalised linear models (GLM) and followed an information theoretic approach </w:t>
      </w:r>
      <w:r w:rsidRPr="001E05DC">
        <w:fldChar w:fldCharType="begin"/>
      </w:r>
      <w:r w:rsidR="007739D7">
        <w:instrText xml:space="preserve"> ADDIN ZOTERO_ITEM CSL_CITATION {"citationID":"W8sLh8uK","properties":{"formattedCitation":"(Burnham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Pr="001E05DC">
        <w:fldChar w:fldCharType="separate"/>
      </w:r>
      <w:r w:rsidR="007739D7" w:rsidRPr="007739D7">
        <w:rPr>
          <w:rFonts w:ascii="Calibri" w:hAnsi="Calibri" w:cs="Calibri"/>
        </w:rPr>
        <w:t>(Burnham &amp; Anderson 2007)</w:t>
      </w:r>
      <w:r w:rsidRPr="001E05DC">
        <w:fldChar w:fldCharType="end"/>
      </w:r>
      <w:r w:rsidRPr="001E05DC">
        <w:t xml:space="preserve">. For the models with rate of forest loss as the response both gaussian and gamma distributions were tested, and for the models with ELC allocation a Poisson distribution was </w:t>
      </w:r>
      <w:commentRangeStart w:id="1"/>
      <w:commentRangeStart w:id="2"/>
      <w:r w:rsidRPr="001E05DC">
        <w:t xml:space="preserve">used. </w:t>
      </w:r>
      <w:commentRangeEnd w:id="1"/>
      <w:r>
        <w:rPr>
          <w:rStyle w:val="CommentReference"/>
        </w:rPr>
        <w:commentReference w:id="1"/>
      </w:r>
      <w:commentRangeEnd w:id="2"/>
      <w:r w:rsidR="001A6F37">
        <w:rPr>
          <w:rStyle w:val="CommentReference"/>
        </w:rPr>
        <w:commentReference w:id="2"/>
      </w:r>
      <w:r w:rsidRPr="001E05DC">
        <w:t xml:space="preserve">Resulting models were compared using Akaike’s Information Criterion (AIC). Final rate of forest loss models used gaussian distributions. All predictors in each model set had been selected because of a priori hypotheses (Table S2), and so within each set all combinations of possible models were run and compared using AIC. Models with ∆AIC &lt; 6 were considered to have sufficient support and retained in the final model set. Model averaging was implemented for the final model set, resulting in model-averaged coefficients for all model terms </w:t>
      </w:r>
      <w:r w:rsidRPr="001E05DC">
        <w:fldChar w:fldCharType="begin"/>
      </w:r>
      <w:r w:rsidR="007739D7">
        <w:instrText xml:space="preserve"> ADDIN ZOTERO_ITEM CSL_CITATION {"citationID":"7EKj9FXi","properties":{"formattedCitation":"(Burnham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Pr="001E05DC">
        <w:fldChar w:fldCharType="separate"/>
      </w:r>
      <w:r w:rsidR="007739D7" w:rsidRPr="007739D7">
        <w:rPr>
          <w:rFonts w:ascii="Calibri" w:hAnsi="Calibri" w:cs="Calibri"/>
        </w:rPr>
        <w:t>(Burnham &amp; Anderson 2007)</w:t>
      </w:r>
      <w:r w:rsidRPr="001E05DC">
        <w:fldChar w:fldCharType="end"/>
      </w:r>
      <w:r w:rsidRPr="001E05DC">
        <w:t xml:space="preserve">. Models were run and averaged using the </w:t>
      </w:r>
      <w:proofErr w:type="spellStart"/>
      <w:r w:rsidRPr="001E05DC">
        <w:t>MuMIn</w:t>
      </w:r>
      <w:proofErr w:type="spellEnd"/>
      <w:r w:rsidRPr="001E05DC">
        <w:t xml:space="preserve"> package in R (Version 1.43.17, </w:t>
      </w:r>
      <w:r w:rsidRPr="001E05DC">
        <w:fldChar w:fldCharType="begin"/>
      </w:r>
      <w:r>
        <w:instrText xml:space="preserve"> ADDIN ZOTERO_ITEM CSL_CITATION {"citationID":"Q0OhtjnI","properties":{"formattedCitation":"(Barto\\uc0\\u324{} 2020)","plainCitation":"(Bartoń 2020)","dontUpdate":true,"noteIndex":0},"citationItems":[{"id":2704,"uris":["http://zotero.org/users/2170232/items/TVZKJH5U"],"uri":["http://zotero.org/users/2170232/items/TVZKJH5U"],"itemData":{"id":2704,"type":"book","abstract":"Tools for performing model selection and model averaging. Automated\n             model selection through subsetting the maximum model, with optional\n             constraints for model inclusion. Model parameter and prediction\n             averaging based on model weights derived from information criteria\n             (AICc and alike) or custom model weighting schemes.","medium":"R","title":"MuMIn: Multi-Model Inference","title-short":"MuMIn","URL":"https://rdrr.io/cran/MuMIn/","version":"1.43.17","author":[{"family":"Bartoń","given":"K"}],"accessed":{"date-parts":[["2021",4,29]]},"issued":{"date-parts":[["2020"]]}}}],"schema":"https://github.com/citation-style-language/schema/raw/master/csl-citation.json"} </w:instrText>
      </w:r>
      <w:r w:rsidRPr="001E05DC">
        <w:fldChar w:fldCharType="separate"/>
      </w:r>
      <w:r w:rsidRPr="001E05DC">
        <w:t>Bartoń 2020)</w:t>
      </w:r>
      <w:r w:rsidRPr="001E05DC">
        <w:fldChar w:fldCharType="end"/>
      </w:r>
      <w:r w:rsidRPr="001E05DC">
        <w:t>. This modelling procedure was repeated for a one-year time lag and two-year time lag as follows:</w:t>
      </w:r>
    </w:p>
    <w:p w14:paraId="770A1D6F" w14:textId="77777777" w:rsidR="000A46B5" w:rsidRPr="001E05DC" w:rsidRDefault="000A46B5" w:rsidP="000A46B5">
      <w:commentRangeStart w:id="3"/>
      <w:r w:rsidRPr="001E05DC">
        <w:t>No time lag:</w:t>
      </w:r>
      <w:commentRangeEnd w:id="3"/>
      <w:r w:rsidRPr="001E05DC">
        <w:commentReference w:id="3"/>
      </w:r>
    </w:p>
    <w:p w14:paraId="5A183351" w14:textId="77777777" w:rsidR="000A46B5" w:rsidRPr="001E05DC" w:rsidRDefault="004C2131" w:rsidP="000A46B5">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pt</m:t>
              </m:r>
            </m:sub>
          </m:sSub>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t</m:t>
              </m:r>
            </m:sub>
          </m:sSub>
        </m:oMath>
      </m:oMathPara>
    </w:p>
    <w:p w14:paraId="6D759E56" w14:textId="77777777" w:rsidR="000A46B5" w:rsidRPr="001E05DC" w:rsidRDefault="000A46B5" w:rsidP="000A46B5">
      <w:pPr>
        <w:rPr>
          <w:i/>
          <w:iCs/>
        </w:rPr>
      </w:pPr>
      <w:r w:rsidRPr="001E05DC">
        <w:t xml:space="preserve">Where </w:t>
      </w:r>
      <m:oMath>
        <m:r>
          <w:rPr>
            <w:rFonts w:ascii="Cambria Math" w:hAnsi="Cambria Math"/>
          </w:rPr>
          <m:t>γ</m:t>
        </m:r>
      </m:oMath>
      <w:r w:rsidRPr="001E05DC">
        <w:t xml:space="preserve"> is the response at time </w:t>
      </w:r>
      <m:oMath>
        <m:r>
          <w:rPr>
            <w:rFonts w:ascii="Cambria Math" w:hAnsi="Cambria Math"/>
          </w:rPr>
          <m:t>t</m:t>
        </m:r>
      </m:oMath>
      <w:r w:rsidRPr="001E05DC">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j=1,…,p</m:t>
        </m:r>
      </m:oMath>
      <w:r w:rsidRPr="001E05DC">
        <w:t xml:space="preserve"> is predictor variable </w:t>
      </w:r>
      <m:oMath>
        <m:r>
          <w:rPr>
            <w:rFonts w:ascii="Cambria Math" w:hAnsi="Cambria Math"/>
          </w:rPr>
          <m:t>j</m:t>
        </m:r>
      </m:oMath>
      <w:r w:rsidRPr="001E05DC">
        <w:t xml:space="preserve"> at time</w:t>
      </w:r>
      <m:oMath>
        <m:r>
          <w:rPr>
            <w:rFonts w:ascii="Cambria Math" w:hAnsi="Cambria Math"/>
          </w:rPr>
          <m:t xml:space="preserve"> t</m:t>
        </m:r>
      </m:oMath>
      <w:r w:rsidRPr="001E05DC">
        <w:t xml:space="preserve">.  </w:t>
      </w:r>
    </w:p>
    <w:p w14:paraId="5448495E" w14:textId="77777777" w:rsidR="000A46B5" w:rsidRPr="001E05DC" w:rsidRDefault="000A46B5" w:rsidP="000A46B5">
      <w:r w:rsidRPr="001E05DC">
        <w:t>One year time lag:</w:t>
      </w:r>
    </w:p>
    <w:p w14:paraId="74338C5D" w14:textId="77777777" w:rsidR="000A46B5" w:rsidRPr="001E05DC" w:rsidRDefault="004C2131" w:rsidP="000A46B5">
      <m:oMathPara>
        <m:oMath>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pt</m:t>
              </m:r>
            </m:sub>
          </m:sSub>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t</m:t>
              </m:r>
            </m:sub>
          </m:sSub>
        </m:oMath>
      </m:oMathPara>
    </w:p>
    <w:p w14:paraId="789CB73B" w14:textId="77777777" w:rsidR="000A46B5" w:rsidRPr="001E05DC" w:rsidRDefault="000A46B5" w:rsidP="000A46B5">
      <w:r w:rsidRPr="001E05DC">
        <w:t xml:space="preserve">Where </w:t>
      </w:r>
      <m:oMath>
        <m:r>
          <w:rPr>
            <w:rFonts w:ascii="Cambria Math" w:hAnsi="Cambria Math"/>
          </w:rPr>
          <m:t>γ</m:t>
        </m:r>
      </m:oMath>
      <w:r w:rsidRPr="001E05DC">
        <w:t xml:space="preserve"> is the response at time </w:t>
      </w:r>
      <m:oMath>
        <m:r>
          <w:rPr>
            <w:rFonts w:ascii="Cambria Math" w:hAnsi="Cambria Math"/>
          </w:rPr>
          <m:t>t+1</m:t>
        </m:r>
      </m:oMath>
      <w:r w:rsidRPr="001E05DC">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j=1,…,p</m:t>
        </m:r>
      </m:oMath>
      <w:r w:rsidRPr="001E05DC">
        <w:t xml:space="preserve"> is predictor variable </w:t>
      </w:r>
      <m:oMath>
        <m:r>
          <w:rPr>
            <w:rFonts w:ascii="Cambria Math" w:hAnsi="Cambria Math"/>
          </w:rPr>
          <m:t>j</m:t>
        </m:r>
      </m:oMath>
      <w:r w:rsidRPr="001E05DC">
        <w:t xml:space="preserve"> at time</w:t>
      </w:r>
      <m:oMath>
        <m:r>
          <w:rPr>
            <w:rFonts w:ascii="Cambria Math" w:hAnsi="Cambria Math"/>
          </w:rPr>
          <m:t xml:space="preserve"> t</m:t>
        </m:r>
      </m:oMath>
      <w:r w:rsidRPr="001E05DC">
        <w:t xml:space="preserve">.  </w:t>
      </w:r>
    </w:p>
    <w:p w14:paraId="2F2E3E8E" w14:textId="77777777" w:rsidR="000A46B5" w:rsidRPr="001E05DC" w:rsidRDefault="000A46B5" w:rsidP="000A46B5">
      <w:pPr>
        <w:rPr>
          <w:i/>
          <w:iCs/>
        </w:rPr>
      </w:pPr>
      <w:r w:rsidRPr="001E05DC">
        <w:t>Two year time lag:</w:t>
      </w:r>
    </w:p>
    <w:p w14:paraId="1C22ABA0" w14:textId="77777777" w:rsidR="000A46B5" w:rsidRPr="001E05DC" w:rsidRDefault="004C2131" w:rsidP="000A46B5">
      <m:oMathPara>
        <m:oMath>
          <m:sSub>
            <m:sSubPr>
              <m:ctrlPr>
                <w:rPr>
                  <w:rFonts w:ascii="Cambria Math" w:hAnsi="Cambria Math"/>
                  <w:i/>
                </w:rPr>
              </m:ctrlPr>
            </m:sSubPr>
            <m:e>
              <m:r>
                <w:rPr>
                  <w:rFonts w:ascii="Cambria Math" w:hAnsi="Cambria Math"/>
                </w:rPr>
                <m:t>y</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pt</m:t>
              </m:r>
            </m:sub>
          </m:sSub>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t</m:t>
              </m:r>
            </m:sub>
          </m:sSub>
        </m:oMath>
      </m:oMathPara>
    </w:p>
    <w:p w14:paraId="791ECB06" w14:textId="77777777" w:rsidR="000A46B5" w:rsidRPr="001E05DC" w:rsidRDefault="000A46B5" w:rsidP="000A46B5">
      <w:r w:rsidRPr="001E05DC">
        <w:t xml:space="preserve">Where </w:t>
      </w:r>
      <m:oMath>
        <m:r>
          <w:rPr>
            <w:rFonts w:ascii="Cambria Math" w:hAnsi="Cambria Math"/>
          </w:rPr>
          <m:t>γ</m:t>
        </m:r>
      </m:oMath>
      <w:r w:rsidRPr="001E05DC">
        <w:t xml:space="preserve"> is the response at time </w:t>
      </w:r>
      <m:oMath>
        <m:r>
          <w:rPr>
            <w:rFonts w:ascii="Cambria Math" w:hAnsi="Cambria Math"/>
          </w:rPr>
          <m:t>t+2</m:t>
        </m:r>
      </m:oMath>
      <w:r w:rsidRPr="001E05DC">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j=1,…,p</m:t>
        </m:r>
      </m:oMath>
      <w:r w:rsidRPr="001E05DC">
        <w:t xml:space="preserve"> is predictor variable </w:t>
      </w:r>
      <m:oMath>
        <m:r>
          <w:rPr>
            <w:rFonts w:ascii="Cambria Math" w:hAnsi="Cambria Math"/>
          </w:rPr>
          <m:t>j</m:t>
        </m:r>
      </m:oMath>
      <w:r w:rsidRPr="001E05DC">
        <w:t xml:space="preserve"> at time</w:t>
      </w:r>
      <m:oMath>
        <m:r>
          <w:rPr>
            <w:rFonts w:ascii="Cambria Math" w:hAnsi="Cambria Math"/>
          </w:rPr>
          <m:t xml:space="preserve"> t</m:t>
        </m:r>
      </m:oMath>
      <w:r w:rsidRPr="001E05DC">
        <w:t xml:space="preserve">.  </w:t>
      </w:r>
    </w:p>
    <w:p w14:paraId="7069EDCB" w14:textId="549589A1" w:rsidR="000A46B5" w:rsidRDefault="000A46B5" w:rsidP="000A46B5"/>
    <w:p w14:paraId="07CDC4E0" w14:textId="7A493DB6" w:rsidR="000A46B5" w:rsidRDefault="000A46B5" w:rsidP="000A46B5">
      <w:pPr>
        <w:rPr>
          <w:b/>
          <w:bCs/>
        </w:rPr>
      </w:pPr>
      <w:r>
        <w:rPr>
          <w:b/>
          <w:bCs/>
        </w:rPr>
        <w:t xml:space="preserve">Results </w:t>
      </w:r>
    </w:p>
    <w:p w14:paraId="142D67C1" w14:textId="530B1C12" w:rsidR="000A46B5" w:rsidRPr="00274974" w:rsidRDefault="00E82045" w:rsidP="000A46B5">
      <w:pPr>
        <w:rPr>
          <w:i/>
          <w:iCs/>
        </w:rPr>
      </w:pPr>
      <w:r>
        <w:rPr>
          <w:i/>
          <w:iCs/>
        </w:rPr>
        <w:t>F</w:t>
      </w:r>
      <w:r w:rsidR="00667CED">
        <w:rPr>
          <w:i/>
          <w:iCs/>
        </w:rPr>
        <w:t>orest loss</w:t>
      </w:r>
    </w:p>
    <w:p w14:paraId="2CF22172" w14:textId="0954CD2F" w:rsidR="000A46B5" w:rsidRDefault="00E82045" w:rsidP="000A46B5">
      <w:r>
        <w:t>During the study period 167,477 km</w:t>
      </w:r>
      <w:r w:rsidRPr="00E82045">
        <w:rPr>
          <w:vertAlign w:val="superscript"/>
        </w:rPr>
        <w:t>-2</w:t>
      </w:r>
      <w:r>
        <w:t xml:space="preserve"> of forest was lost which represented nearly 16% of the total forest cover. </w:t>
      </w:r>
      <w:r w:rsidR="00F4635E">
        <w:t>The models for changes in the rate of forest loss as a function of macroeconomic predictors produced n</w:t>
      </w:r>
      <w:r w:rsidR="000A46B5">
        <w:t>o strong effects (</w:t>
      </w:r>
      <w:r w:rsidR="000A46B5" w:rsidRPr="00045ECA">
        <w:t xml:space="preserve">Figures 2 </w:t>
      </w:r>
      <w:r w:rsidR="004740E7">
        <w:t>to</w:t>
      </w:r>
      <w:r w:rsidR="000A46B5" w:rsidRPr="00045ECA">
        <w:t xml:space="preserve"> 4</w:t>
      </w:r>
      <w:r w:rsidR="000A46B5">
        <w:t xml:space="preserve">). For each predictor set there were between 5 and 28 models in the top model set and final coefficients were calculated using full averages </w:t>
      </w:r>
      <w:r w:rsidR="000A46B5">
        <w:fldChar w:fldCharType="begin"/>
      </w:r>
      <w:r w:rsidR="000A46B5">
        <w:instrText xml:space="preserve"> ADDIN ZOTERO_ITEM CSL_CITATION {"citationID":"0VP53lay","properties":{"formattedCitation":"(Burnham and Anderson, 2007)","plainCitation":"(Burnham and Anderson, 2007)","dontUpdate":true,"noteIndex":0},"citationItems":[{"id":2667,"uris":["http://zotero.org/users/2170232/items/XAWFRFE5"],"uri":["http://zotero.org/users/2170232/items/XAWFRFE5"],"itemData":{"id":2667,"type":"book","abstract":"We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000A46B5">
        <w:fldChar w:fldCharType="separate"/>
      </w:r>
      <w:r w:rsidR="000A46B5" w:rsidRPr="00D913D7">
        <w:rPr>
          <w:rFonts w:ascii="Calibri" w:hAnsi="Calibri" w:cs="Calibri"/>
        </w:rPr>
        <w:t>(</w:t>
      </w:r>
      <w:r w:rsidR="000A46B5" w:rsidRPr="00045ECA">
        <w:t>Tables S9 – S</w:t>
      </w:r>
      <w:r w:rsidR="000A46B5">
        <w:t>17</w:t>
      </w:r>
      <w:r w:rsidR="000A46B5">
        <w:rPr>
          <w:rFonts w:ascii="Calibri" w:hAnsi="Calibri" w:cs="Calibri"/>
        </w:rPr>
        <w:t xml:space="preserve">, </w:t>
      </w:r>
      <w:r w:rsidR="000A46B5" w:rsidRPr="00D913D7">
        <w:rPr>
          <w:rFonts w:ascii="Calibri" w:hAnsi="Calibri" w:cs="Calibri"/>
        </w:rPr>
        <w:t>Burnham and Anderson, 2007)</w:t>
      </w:r>
      <w:r w:rsidR="000A46B5">
        <w:fldChar w:fldCharType="end"/>
      </w:r>
      <w:r w:rsidR="000A46B5">
        <w:t>. The largest effect w</w:t>
      </w:r>
      <w:r w:rsidR="00DD2646">
        <w:t>as</w:t>
      </w:r>
      <w:r w:rsidR="000A46B5">
        <w:t xml:space="preserve"> from the control variable population density</w:t>
      </w:r>
      <w:r w:rsidR="00DD2646">
        <w:t xml:space="preserve"> </w:t>
      </w:r>
      <w:r w:rsidR="000A46B5">
        <w:t xml:space="preserve">with a one-year time lag (full averaged coefficient = -632.9, SE = 64.8, </w:t>
      </w:r>
      <w:r w:rsidR="000A46B5" w:rsidRPr="00045ECA">
        <w:t>Table S10</w:t>
      </w:r>
      <w:r w:rsidR="000A46B5">
        <w:t>). The largest effect excluding control variables was for agricultural proportion of GDP with a one-year time lag (full averaged coefficient = -14.9, SE = 7.9) suggesting</w:t>
      </w:r>
      <w:r w:rsidR="00F4635E">
        <w:t>, counterintuitively,</w:t>
      </w:r>
      <w:r w:rsidR="000A46B5">
        <w:t xml:space="preserve"> that there is a small </w:t>
      </w:r>
      <w:r w:rsidR="000A46B5">
        <w:lastRenderedPageBreak/>
        <w:t>reduction in the rate of forest loss as the contribution of agriculture to national GDP increases, although this effect is very weak (</w:t>
      </w:r>
      <w:r w:rsidR="000A46B5" w:rsidRPr="00045ECA">
        <w:t>Figure S2, Table S1</w:t>
      </w:r>
      <w:r w:rsidR="000A46B5">
        <w:t xml:space="preserve">0) and </w:t>
      </w:r>
      <w:r w:rsidR="00F4635E">
        <w:t>therefore inference is limited</w:t>
      </w:r>
      <w:r w:rsidR="000A46B5">
        <w:t>.</w:t>
      </w:r>
    </w:p>
    <w:p w14:paraId="5FF9CD15" w14:textId="0D234416" w:rsidR="000A46B5" w:rsidRPr="00BA5281" w:rsidRDefault="000A46B5" w:rsidP="000A46B5">
      <w:pPr>
        <w:rPr>
          <w:i/>
          <w:iCs/>
        </w:rPr>
      </w:pPr>
      <w:r>
        <w:rPr>
          <w:i/>
          <w:iCs/>
        </w:rPr>
        <w:t>New economic land concession</w:t>
      </w:r>
      <w:r w:rsidR="00E82045">
        <w:rPr>
          <w:i/>
          <w:iCs/>
        </w:rPr>
        <w:t>s</w:t>
      </w:r>
    </w:p>
    <w:p w14:paraId="0D3D8117" w14:textId="274FC14D" w:rsidR="000A46B5" w:rsidRDefault="000A46B5" w:rsidP="000A46B5">
      <w:r>
        <w:t>There were 287 new ELCs allocated within the study period, with the majority (51%) being designated for rubber production (</w:t>
      </w:r>
      <w:r w:rsidRPr="00045ECA">
        <w:t>Table S</w:t>
      </w:r>
      <w:r>
        <w:t xml:space="preserve">18). </w:t>
      </w:r>
      <w:bookmarkStart w:id="4" w:name="_Hlk85436482"/>
      <w:r>
        <w:t>The largest effect</w:t>
      </w:r>
      <w:r w:rsidR="004740E7">
        <w:t xml:space="preserve"> overall</w:t>
      </w:r>
      <w:r>
        <w:t xml:space="preserve"> was for the economic control variable population density, where there were very strong negative effects across all time lags (rate ratios for one-year lag = 0.012, two-year lag = 0.002, three-year lag = 0.0005, </w:t>
      </w:r>
      <w:r w:rsidRPr="00E71D64">
        <w:t xml:space="preserve">Table </w:t>
      </w:r>
      <w:r w:rsidR="004740E7">
        <w:t>2</w:t>
      </w:r>
      <w:r>
        <w:t>), indicating that new ELCs do not get allocated in areas of high human population density</w:t>
      </w:r>
      <w:bookmarkEnd w:id="4"/>
      <w:r>
        <w:t xml:space="preserve">. </w:t>
      </w:r>
      <w:bookmarkStart w:id="5" w:name="_Hlk85436510"/>
      <w:r>
        <w:t xml:space="preserve">The largest overall effect excluding control variables was for changes in agricultural proportion of GDP with no time lag and a one-year time lag </w:t>
      </w:r>
      <w:bookmarkEnd w:id="5"/>
      <w:r>
        <w:t xml:space="preserve">(no time lag rate ratio = 1.310, and one-year time lag rate ratio = 1.284, </w:t>
      </w:r>
      <w:r w:rsidRPr="005E63DE">
        <w:t xml:space="preserve">Table </w:t>
      </w:r>
      <w:r w:rsidR="004740E7">
        <w:t>2</w:t>
      </w:r>
      <w:r w:rsidRPr="005E63DE">
        <w:t xml:space="preserve">, Figure </w:t>
      </w:r>
      <w:r w:rsidR="004740E7">
        <w:t>5</w:t>
      </w:r>
      <w:r>
        <w:t xml:space="preserve">). </w:t>
      </w:r>
    </w:p>
    <w:p w14:paraId="60324C84" w14:textId="4629071F" w:rsidR="000A46B5" w:rsidRDefault="000A46B5" w:rsidP="000A46B5">
      <w:r>
        <w:t xml:space="preserve">From an economic perspective there were </w:t>
      </w:r>
      <w:bookmarkStart w:id="6" w:name="_Hlk85436539"/>
      <w:r>
        <w:t xml:space="preserve">positive relationships between the allocation of new ELCs and increases in the agricultural proportion of GDP and increases in foreign direct investment </w:t>
      </w:r>
      <w:bookmarkEnd w:id="6"/>
      <w:r>
        <w:t xml:space="preserve">(one-year time lag rate ratio = 1.004, </w:t>
      </w:r>
      <w:r w:rsidRPr="005E63DE">
        <w:t xml:space="preserve">Table </w:t>
      </w:r>
      <w:r w:rsidR="004740E7">
        <w:t>2</w:t>
      </w:r>
      <w:r w:rsidRPr="005E63DE">
        <w:t xml:space="preserve">, Figure </w:t>
      </w:r>
      <w:r w:rsidR="004740E7">
        <w:t>5</w:t>
      </w:r>
      <w:r>
        <w:t xml:space="preserve">). These effects suggest ties between both the development of new </w:t>
      </w:r>
      <w:r w:rsidR="004740E7">
        <w:t>ELCs</w:t>
      </w:r>
      <w:r>
        <w:t xml:space="preserve"> and the growth of the agricultural sector, and the injection of foreign wealth into the sector via the purchasing of concessions by international companies. There was also a </w:t>
      </w:r>
      <w:bookmarkStart w:id="7" w:name="_Hlk85436623"/>
      <w:r>
        <w:t xml:space="preserve">positive relationship between new ELC allocation and increases in development flows to the environment sector </w:t>
      </w:r>
      <w:bookmarkEnd w:id="7"/>
      <w:r>
        <w:t xml:space="preserve">(no time lag rate ratio = 1.031). This suggests that in the short-term, investments into the environment sector via development funding (predominantly from international donors) does not reduce the number of new ELC allocations. There was a negative relationship between new ELC allocation and </w:t>
      </w:r>
      <w:r w:rsidR="00DD2646">
        <w:t>positive changes in</w:t>
      </w:r>
      <w:r>
        <w:t xml:space="preserve"> per capita GDP (one-year time lag rate ratio = 0.985 and two-year time lag rate ratio = 0.974, </w:t>
      </w:r>
      <w:r w:rsidRPr="005E63DE">
        <w:t xml:space="preserve">Table </w:t>
      </w:r>
      <w:r w:rsidR="004740E7">
        <w:t>2</w:t>
      </w:r>
      <w:r w:rsidRPr="005E63DE">
        <w:t xml:space="preserve">, Figure </w:t>
      </w:r>
      <w:r w:rsidR="004740E7">
        <w:t>5</w:t>
      </w:r>
      <w:r>
        <w:t>). The reduction in ELC allocation as</w:t>
      </w:r>
      <w:r w:rsidR="00DD2646">
        <w:t xml:space="preserve"> change in per capita</w:t>
      </w:r>
      <w:r>
        <w:t xml:space="preserve"> GDP increases, over a period of one and two years, potentially suggests that there is a positive economic effect of ELCs. </w:t>
      </w:r>
    </w:p>
    <w:p w14:paraId="303CB01A" w14:textId="16580127" w:rsidR="000A46B5" w:rsidRDefault="000A46B5" w:rsidP="000A46B5">
      <w:bookmarkStart w:id="8" w:name="_Hlk85436768"/>
      <w:r>
        <w:t xml:space="preserve">The largest effect within the commodity set was for the change in market price of rice in the same year as the response </w:t>
      </w:r>
      <w:bookmarkEnd w:id="8"/>
      <w:r>
        <w:t>(no time lag) with a rate ratio of 1.009 (</w:t>
      </w:r>
      <w:r w:rsidRPr="005E63DE">
        <w:t xml:space="preserve">Table </w:t>
      </w:r>
      <w:r w:rsidR="0000260F">
        <w:t>2</w:t>
      </w:r>
      <w:r>
        <w:t xml:space="preserve">). There were </w:t>
      </w:r>
      <w:bookmarkStart w:id="9" w:name="_Hlk85436780"/>
      <w:r>
        <w:t xml:space="preserve">further strong positive relationships between the changes in the market price of rubber </w:t>
      </w:r>
      <w:bookmarkEnd w:id="9"/>
      <w:r>
        <w:t>(no time lag rate ratio = 1.001</w:t>
      </w:r>
      <w:bookmarkStart w:id="10" w:name="_Hlk85436794"/>
      <w:r>
        <w:t xml:space="preserve">), the changes in the non-food production index </w:t>
      </w:r>
      <w:bookmarkEnd w:id="10"/>
      <w:r>
        <w:t xml:space="preserve">(one-year time lag rate ratio = 1.007), </w:t>
      </w:r>
      <w:bookmarkStart w:id="11" w:name="_Hlk85436805"/>
      <w:r>
        <w:t xml:space="preserve">and changes in the market price of sugar </w:t>
      </w:r>
      <w:bookmarkEnd w:id="11"/>
      <w:r>
        <w:t xml:space="preserve">(two-year time lag rate ratio = 1.009). There were three negative relationships between ELC allocation and commodity variables, all of which were in the same year as the response (no time lag, </w:t>
      </w:r>
      <w:r w:rsidRPr="005E63DE">
        <w:t xml:space="preserve">Figure </w:t>
      </w:r>
      <w:r w:rsidR="0000260F">
        <w:t>6</w:t>
      </w:r>
      <w:r>
        <w:t xml:space="preserve">). There were weak negative effects of changes in the market prices of corn (no time lag rate ratio = 0.997) and sugar (no time lag rate ratio = 0.999). Considering the stronger positive effects of sugar price on ELCs after one- and two-year lags, it is unlikely that the very weak negative effect </w:t>
      </w:r>
      <w:r w:rsidR="005C460B">
        <w:t>in the same year as the response</w:t>
      </w:r>
      <w:r>
        <w:t xml:space="preserve"> is meaningful. </w:t>
      </w:r>
      <w:bookmarkStart w:id="12" w:name="_Hlk85437183"/>
      <w:r>
        <w:t>The non-food production index had a much stronger negative effect on ELC allocation when there was no time lag (rate ratio = 0.990). The change in direction of the effect of the non-food production index between no time lag and a one-year time lag suggests a complex relationship between the index and ELCs.</w:t>
      </w:r>
      <w:bookmarkEnd w:id="12"/>
      <w:r>
        <w:t xml:space="preserve"> </w:t>
      </w:r>
    </w:p>
    <w:p w14:paraId="233CAA57" w14:textId="5263F247" w:rsidR="000A46B5" w:rsidRDefault="000A46B5" w:rsidP="000A46B5">
      <w:r>
        <w:t>The producer price variable set, which reflects the farmgate prices of the commodities, had both positive and negative relationships with ELC allocation (</w:t>
      </w:r>
      <w:r w:rsidRPr="005E63DE">
        <w:t>Figure 4, Table 3</w:t>
      </w:r>
      <w:r>
        <w:t xml:space="preserve">). </w:t>
      </w:r>
      <w:bookmarkStart w:id="13" w:name="_Hlk85437276"/>
      <w:r>
        <w:t xml:space="preserve">The strongest positive relationship was with changes in the producer price of rubber </w:t>
      </w:r>
      <w:bookmarkEnd w:id="13"/>
      <w:r>
        <w:t>(no time lag rate ratio = 1.035). The effect of positive changes (i.e., net increases) in the price a farmer will get for rubber production can be seen in the predictions of new ELCs (</w:t>
      </w:r>
      <w:r w:rsidRPr="00DF51FB">
        <w:t>Figure 4</w:t>
      </w:r>
      <w:r>
        <w:t xml:space="preserve">). </w:t>
      </w:r>
      <w:bookmarkStart w:id="14" w:name="_Hlk85437378"/>
      <w:r>
        <w:t xml:space="preserve">There were also positive relationships between ELC allocation and changes in the producer price of corn </w:t>
      </w:r>
      <w:bookmarkEnd w:id="14"/>
      <w:r>
        <w:t xml:space="preserve">(one-year time lag rate ratio = 1.011) </w:t>
      </w:r>
      <w:bookmarkStart w:id="15" w:name="_Hlk85437385"/>
      <w:r>
        <w:t xml:space="preserve">and the producer price of rice </w:t>
      </w:r>
      <w:bookmarkEnd w:id="15"/>
      <w:r>
        <w:t xml:space="preserve">(two-year time lag rate ratio = 1.013, </w:t>
      </w:r>
      <w:r w:rsidRPr="00DF51FB">
        <w:t>Figure 4, Table 3</w:t>
      </w:r>
      <w:r>
        <w:t xml:space="preserve">). Corn and rice are less </w:t>
      </w:r>
      <w:r>
        <w:lastRenderedPageBreak/>
        <w:t xml:space="preserve">valuable in terms of absolute producer prices than sugar and rubber, and this may be reflected in the time lag that exists between positive changes in the prices and increases in new ELCs. </w:t>
      </w:r>
    </w:p>
    <w:p w14:paraId="1E83030E" w14:textId="06B6AF04" w:rsidR="009F455B" w:rsidRDefault="000A46B5" w:rsidP="000A46B5">
      <w:pPr>
        <w:sectPr w:rsidR="009F455B" w:rsidSect="009F455B">
          <w:pgSz w:w="11906" w:h="16838"/>
          <w:pgMar w:top="1440" w:right="1440" w:bottom="1440" w:left="1440" w:header="708" w:footer="708" w:gutter="0"/>
          <w:cols w:space="708"/>
          <w:docGrid w:linePitch="360"/>
        </w:sectPr>
      </w:pPr>
      <w:r>
        <w:t>There were two negative relationships between producer price variables and new ELC allocations (</w:t>
      </w:r>
      <w:r w:rsidRPr="00DF51FB">
        <w:t>Figure 4</w:t>
      </w:r>
      <w:r>
        <w:t xml:space="preserve">). </w:t>
      </w:r>
      <w:bookmarkStart w:id="16" w:name="_Hlk85437578"/>
      <w:r>
        <w:t>Increases in the producer prices of rice and cassava resulted in fewer predicted ELCs in the same year (no time lag rate ratio = 0.976) and two years later (two-year time lag rate ratio = 0.982), respectively</w:t>
      </w:r>
      <w:bookmarkEnd w:id="16"/>
      <w:r>
        <w:t xml:space="preserve">. The difference in the direction of the effect of rice producer prices in year </w:t>
      </w:r>
      <w:r>
        <w:rPr>
          <w:i/>
          <w:iCs/>
        </w:rPr>
        <w:t>t</w:t>
      </w:r>
      <w:r>
        <w:t xml:space="preserve"> and year </w:t>
      </w:r>
      <w:r>
        <w:rPr>
          <w:i/>
          <w:iCs/>
        </w:rPr>
        <w:t>t+2</w:t>
      </w:r>
      <w:r>
        <w:t xml:space="preserve"> (</w:t>
      </w:r>
      <w:r w:rsidRPr="00DF51FB">
        <w:t>Figure 4</w:t>
      </w:r>
      <w:r>
        <w:t xml:space="preserve">) suggests that there is a complex relationship between rice production and new ELC allocation. The negative relationship between the producer price of cassava and new ELC allocation was strong (two-year time lag rate ratio = 0.982, </w:t>
      </w:r>
      <w:r w:rsidRPr="00DF51FB">
        <w:t>Figure 4</w:t>
      </w:r>
      <w:r>
        <w:t>). Cassava is not a</w:t>
      </w:r>
      <w:r w:rsidR="00347783">
        <w:t xml:space="preserve"> </w:t>
      </w:r>
      <w:r>
        <w:t xml:space="preserve">valuable crop, yet it was the third most designated crop for new ELCs during the study period (4.9% of new ELCs, </w:t>
      </w:r>
      <w:r w:rsidRPr="00DF51FB">
        <w:t>Table S18</w:t>
      </w:r>
      <w:r>
        <w:t xml:space="preserve">). It is unclear what is driving the negative relationship between cassava and new ELCs after two years. </w:t>
      </w:r>
    </w:p>
    <w:p w14:paraId="7B392F78" w14:textId="499CD069" w:rsidR="009F455B" w:rsidRPr="00B41CFA" w:rsidRDefault="009F455B" w:rsidP="009F455B">
      <w:pPr>
        <w:rPr>
          <w:b/>
          <w:bCs/>
          <w:sz w:val="20"/>
          <w:szCs w:val="20"/>
        </w:rPr>
      </w:pPr>
      <w:r w:rsidRPr="00B41CFA">
        <w:rPr>
          <w:b/>
          <w:bCs/>
          <w:sz w:val="20"/>
          <w:szCs w:val="20"/>
        </w:rPr>
        <w:lastRenderedPageBreak/>
        <w:t xml:space="preserve">Table </w:t>
      </w:r>
      <w:r w:rsidR="004740E7">
        <w:rPr>
          <w:b/>
          <w:bCs/>
          <w:sz w:val="20"/>
          <w:szCs w:val="20"/>
        </w:rPr>
        <w:t>2</w:t>
      </w:r>
      <w:r w:rsidRPr="00B41CFA">
        <w:rPr>
          <w:b/>
          <w:bCs/>
          <w:sz w:val="20"/>
          <w:szCs w:val="20"/>
        </w:rPr>
        <w:t>. Parameter coefficients</w:t>
      </w:r>
      <w:r>
        <w:rPr>
          <w:b/>
          <w:bCs/>
          <w:sz w:val="20"/>
          <w:szCs w:val="20"/>
        </w:rPr>
        <w:t>,</w:t>
      </w:r>
      <w:r w:rsidRPr="00B41CFA">
        <w:rPr>
          <w:b/>
          <w:bCs/>
          <w:sz w:val="20"/>
          <w:szCs w:val="20"/>
        </w:rPr>
        <w:t xml:space="preserve"> standard errors</w:t>
      </w:r>
      <w:r>
        <w:rPr>
          <w:b/>
          <w:bCs/>
          <w:sz w:val="20"/>
          <w:szCs w:val="20"/>
        </w:rPr>
        <w:t>, and rate ratios</w:t>
      </w:r>
      <w:r w:rsidRPr="00B41CFA">
        <w:rPr>
          <w:b/>
          <w:bCs/>
          <w:sz w:val="20"/>
          <w:szCs w:val="20"/>
        </w:rPr>
        <w:t xml:space="preserve"> from the top model(s) in the macroeconomic analysis</w:t>
      </w:r>
      <w:r>
        <w:rPr>
          <w:b/>
          <w:bCs/>
          <w:sz w:val="20"/>
          <w:szCs w:val="20"/>
        </w:rPr>
        <w:t xml:space="preserve"> with rate of economic land concession allocation response</w:t>
      </w:r>
      <w:r w:rsidRPr="00B41CFA">
        <w:rPr>
          <w:b/>
          <w:bCs/>
          <w:sz w:val="20"/>
          <w:szCs w:val="20"/>
        </w:rPr>
        <w:t>.</w:t>
      </w:r>
      <w:r>
        <w:rPr>
          <w:b/>
          <w:bCs/>
          <w:sz w:val="20"/>
          <w:szCs w:val="20"/>
        </w:rPr>
        <w:t xml:space="preserve"> Missing values denote predictor variables that were not selected in the top model(s) for that lag period.</w:t>
      </w:r>
      <w:r w:rsidR="00CC4F5A">
        <w:rPr>
          <w:b/>
          <w:bCs/>
          <w:sz w:val="20"/>
          <w:szCs w:val="20"/>
        </w:rPr>
        <w:t xml:space="preserve"> Coefficients are on the log scale. </w:t>
      </w:r>
    </w:p>
    <w:tbl>
      <w:tblPr>
        <w:tblW w:w="0" w:type="auto"/>
        <w:tblLayout w:type="fixed"/>
        <w:tblLook w:val="04A0" w:firstRow="1" w:lastRow="0" w:firstColumn="1" w:lastColumn="0" w:noHBand="0" w:noVBand="1"/>
      </w:tblPr>
      <w:tblGrid>
        <w:gridCol w:w="2119"/>
        <w:gridCol w:w="1134"/>
        <w:gridCol w:w="992"/>
        <w:gridCol w:w="1134"/>
        <w:gridCol w:w="283"/>
        <w:gridCol w:w="1134"/>
        <w:gridCol w:w="993"/>
        <w:gridCol w:w="1134"/>
        <w:gridCol w:w="283"/>
        <w:gridCol w:w="1559"/>
        <w:gridCol w:w="1134"/>
        <w:gridCol w:w="1276"/>
      </w:tblGrid>
      <w:tr w:rsidR="009F455B" w:rsidRPr="00EC6C01" w14:paraId="3EFCD358" w14:textId="77777777" w:rsidTr="00AB26EE">
        <w:trPr>
          <w:trHeight w:val="288"/>
        </w:trPr>
        <w:tc>
          <w:tcPr>
            <w:tcW w:w="2119" w:type="dxa"/>
            <w:tcBorders>
              <w:top w:val="single" w:sz="12" w:space="0" w:color="auto"/>
            </w:tcBorders>
            <w:shd w:val="clear" w:color="auto" w:fill="auto"/>
            <w:noWrap/>
            <w:hideMark/>
          </w:tcPr>
          <w:p w14:paraId="5BDEF924"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3260" w:type="dxa"/>
            <w:gridSpan w:val="3"/>
            <w:tcBorders>
              <w:top w:val="single" w:sz="12" w:space="0" w:color="auto"/>
            </w:tcBorders>
            <w:shd w:val="clear" w:color="auto" w:fill="auto"/>
            <w:noWrap/>
            <w:hideMark/>
          </w:tcPr>
          <w:p w14:paraId="1408BF4F" w14:textId="77777777" w:rsidR="009F455B" w:rsidRPr="00EC6C01" w:rsidRDefault="009F455B" w:rsidP="00AB26EE">
            <w:pPr>
              <w:spacing w:after="0" w:line="240" w:lineRule="auto"/>
              <w:jc w:val="center"/>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No time lag</w:t>
            </w:r>
          </w:p>
        </w:tc>
        <w:tc>
          <w:tcPr>
            <w:tcW w:w="283" w:type="dxa"/>
            <w:tcBorders>
              <w:top w:val="single" w:sz="12" w:space="0" w:color="auto"/>
            </w:tcBorders>
          </w:tcPr>
          <w:p w14:paraId="2E9FFC63"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3261" w:type="dxa"/>
            <w:gridSpan w:val="3"/>
            <w:tcBorders>
              <w:top w:val="single" w:sz="12" w:space="0" w:color="auto"/>
            </w:tcBorders>
            <w:shd w:val="clear" w:color="auto" w:fill="auto"/>
            <w:noWrap/>
            <w:hideMark/>
          </w:tcPr>
          <w:p w14:paraId="4AA22EC4" w14:textId="77777777" w:rsidR="009F455B" w:rsidRPr="00EC6C01" w:rsidRDefault="009F455B" w:rsidP="00AB26EE">
            <w:pPr>
              <w:spacing w:after="0" w:line="240" w:lineRule="auto"/>
              <w:jc w:val="center"/>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1 year time lag</w:t>
            </w:r>
          </w:p>
        </w:tc>
        <w:tc>
          <w:tcPr>
            <w:tcW w:w="283" w:type="dxa"/>
            <w:tcBorders>
              <w:top w:val="single" w:sz="12" w:space="0" w:color="auto"/>
            </w:tcBorders>
          </w:tcPr>
          <w:p w14:paraId="4AE8F603"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3969" w:type="dxa"/>
            <w:gridSpan w:val="3"/>
            <w:tcBorders>
              <w:top w:val="single" w:sz="12" w:space="0" w:color="auto"/>
            </w:tcBorders>
            <w:shd w:val="clear" w:color="auto" w:fill="auto"/>
            <w:noWrap/>
            <w:hideMark/>
          </w:tcPr>
          <w:p w14:paraId="66329EA3" w14:textId="77777777" w:rsidR="009F455B" w:rsidRPr="00EC6C01" w:rsidRDefault="009F455B" w:rsidP="00AB26EE">
            <w:pPr>
              <w:spacing w:after="0" w:line="240" w:lineRule="auto"/>
              <w:jc w:val="center"/>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2 year time lag</w:t>
            </w:r>
          </w:p>
        </w:tc>
      </w:tr>
      <w:tr w:rsidR="009F455B" w:rsidRPr="00EC6C01" w14:paraId="643CD9E4" w14:textId="77777777" w:rsidTr="00AB26EE">
        <w:trPr>
          <w:trHeight w:val="288"/>
        </w:trPr>
        <w:tc>
          <w:tcPr>
            <w:tcW w:w="2119" w:type="dxa"/>
            <w:tcBorders>
              <w:bottom w:val="single" w:sz="12" w:space="0" w:color="auto"/>
            </w:tcBorders>
            <w:shd w:val="clear" w:color="auto" w:fill="auto"/>
            <w:noWrap/>
            <w:hideMark/>
          </w:tcPr>
          <w:p w14:paraId="0444A1AD"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Variable</w:t>
            </w:r>
          </w:p>
        </w:tc>
        <w:tc>
          <w:tcPr>
            <w:tcW w:w="1134" w:type="dxa"/>
            <w:tcBorders>
              <w:top w:val="single" w:sz="6" w:space="0" w:color="auto"/>
              <w:bottom w:val="single" w:sz="12" w:space="0" w:color="auto"/>
            </w:tcBorders>
            <w:shd w:val="clear" w:color="auto" w:fill="auto"/>
            <w:noWrap/>
            <w:hideMark/>
          </w:tcPr>
          <w:p w14:paraId="57FB20FE"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992" w:type="dxa"/>
            <w:tcBorders>
              <w:top w:val="single" w:sz="6" w:space="0" w:color="auto"/>
              <w:bottom w:val="single" w:sz="12" w:space="0" w:color="auto"/>
            </w:tcBorders>
            <w:shd w:val="clear" w:color="auto" w:fill="auto"/>
            <w:noWrap/>
            <w:hideMark/>
          </w:tcPr>
          <w:p w14:paraId="582DA47C" w14:textId="77777777" w:rsidR="009F455B" w:rsidRPr="00EC6C01" w:rsidRDefault="009F455B" w:rsidP="00AB26EE">
            <w:pPr>
              <w:spacing w:after="0" w:line="240" w:lineRule="auto"/>
              <w:jc w:val="center"/>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1134" w:type="dxa"/>
            <w:tcBorders>
              <w:top w:val="single" w:sz="6" w:space="0" w:color="auto"/>
              <w:bottom w:val="single" w:sz="12" w:space="0" w:color="auto"/>
            </w:tcBorders>
          </w:tcPr>
          <w:p w14:paraId="6A0C1EAF"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 xml:space="preserve">Rate </w:t>
            </w:r>
            <w:proofErr w:type="spellStart"/>
            <w:r>
              <w:rPr>
                <w:rFonts w:ascii="Calibri" w:eastAsia="Times New Roman" w:hAnsi="Calibri" w:cs="Calibri"/>
                <w:b/>
                <w:bCs/>
                <w:color w:val="000000"/>
                <w:sz w:val="20"/>
                <w:szCs w:val="20"/>
                <w:lang w:eastAsia="en-GB"/>
              </w:rPr>
              <w:t>ratio</w:t>
            </w:r>
            <w:r w:rsidRPr="00D05083">
              <w:rPr>
                <w:rFonts w:ascii="Calibri" w:eastAsia="Times New Roman" w:hAnsi="Calibri" w:cs="Calibri"/>
                <w:b/>
                <w:bCs/>
                <w:color w:val="000000"/>
                <w:sz w:val="20"/>
                <w:szCs w:val="20"/>
                <w:vertAlign w:val="superscript"/>
                <w:lang w:eastAsia="en-GB"/>
              </w:rPr>
              <w:t>a</w:t>
            </w:r>
            <w:proofErr w:type="spellEnd"/>
          </w:p>
        </w:tc>
        <w:tc>
          <w:tcPr>
            <w:tcW w:w="283" w:type="dxa"/>
            <w:tcBorders>
              <w:bottom w:val="single" w:sz="12" w:space="0" w:color="auto"/>
            </w:tcBorders>
          </w:tcPr>
          <w:p w14:paraId="6E020028"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p>
        </w:tc>
        <w:tc>
          <w:tcPr>
            <w:tcW w:w="1134" w:type="dxa"/>
            <w:tcBorders>
              <w:top w:val="single" w:sz="6" w:space="0" w:color="auto"/>
              <w:bottom w:val="single" w:sz="12" w:space="0" w:color="auto"/>
            </w:tcBorders>
            <w:shd w:val="clear" w:color="auto" w:fill="auto"/>
            <w:noWrap/>
            <w:hideMark/>
          </w:tcPr>
          <w:p w14:paraId="5DCCDD8A"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993" w:type="dxa"/>
            <w:tcBorders>
              <w:top w:val="single" w:sz="6" w:space="0" w:color="auto"/>
              <w:bottom w:val="single" w:sz="12" w:space="0" w:color="auto"/>
            </w:tcBorders>
            <w:shd w:val="clear" w:color="auto" w:fill="auto"/>
            <w:noWrap/>
            <w:hideMark/>
          </w:tcPr>
          <w:p w14:paraId="175BDD43" w14:textId="77777777" w:rsidR="009F455B" w:rsidRPr="00EC6C01" w:rsidRDefault="009F455B" w:rsidP="00AB26EE">
            <w:pPr>
              <w:spacing w:after="0" w:line="240" w:lineRule="auto"/>
              <w:jc w:val="center"/>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1134" w:type="dxa"/>
            <w:tcBorders>
              <w:top w:val="single" w:sz="6" w:space="0" w:color="auto"/>
              <w:bottom w:val="single" w:sz="12" w:space="0" w:color="auto"/>
            </w:tcBorders>
          </w:tcPr>
          <w:p w14:paraId="3A441CEC"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 xml:space="preserve">Rate </w:t>
            </w:r>
            <w:proofErr w:type="spellStart"/>
            <w:r>
              <w:rPr>
                <w:rFonts w:ascii="Calibri" w:eastAsia="Times New Roman" w:hAnsi="Calibri" w:cs="Calibri"/>
                <w:b/>
                <w:bCs/>
                <w:color w:val="000000"/>
                <w:sz w:val="20"/>
                <w:szCs w:val="20"/>
                <w:lang w:eastAsia="en-GB"/>
              </w:rPr>
              <w:t>ratio</w:t>
            </w:r>
            <w:r w:rsidRPr="00D05083">
              <w:rPr>
                <w:rFonts w:ascii="Calibri" w:eastAsia="Times New Roman" w:hAnsi="Calibri" w:cs="Calibri"/>
                <w:b/>
                <w:bCs/>
                <w:color w:val="000000"/>
                <w:sz w:val="20"/>
                <w:szCs w:val="20"/>
                <w:vertAlign w:val="superscript"/>
                <w:lang w:eastAsia="en-GB"/>
              </w:rPr>
              <w:t>a</w:t>
            </w:r>
            <w:proofErr w:type="spellEnd"/>
          </w:p>
        </w:tc>
        <w:tc>
          <w:tcPr>
            <w:tcW w:w="283" w:type="dxa"/>
            <w:tcBorders>
              <w:bottom w:val="single" w:sz="12" w:space="0" w:color="auto"/>
            </w:tcBorders>
          </w:tcPr>
          <w:p w14:paraId="62164B72"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p>
        </w:tc>
        <w:tc>
          <w:tcPr>
            <w:tcW w:w="1559" w:type="dxa"/>
            <w:tcBorders>
              <w:top w:val="single" w:sz="6" w:space="0" w:color="auto"/>
              <w:bottom w:val="single" w:sz="12" w:space="0" w:color="auto"/>
            </w:tcBorders>
            <w:shd w:val="clear" w:color="auto" w:fill="auto"/>
            <w:noWrap/>
            <w:hideMark/>
          </w:tcPr>
          <w:p w14:paraId="0C5939B8"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1134" w:type="dxa"/>
            <w:tcBorders>
              <w:top w:val="single" w:sz="6" w:space="0" w:color="auto"/>
              <w:bottom w:val="single" w:sz="12" w:space="0" w:color="auto"/>
            </w:tcBorders>
            <w:shd w:val="clear" w:color="auto" w:fill="auto"/>
            <w:noWrap/>
            <w:hideMark/>
          </w:tcPr>
          <w:p w14:paraId="5608117F"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1276" w:type="dxa"/>
            <w:tcBorders>
              <w:top w:val="single" w:sz="6" w:space="0" w:color="auto"/>
              <w:bottom w:val="single" w:sz="12" w:space="0" w:color="auto"/>
            </w:tcBorders>
          </w:tcPr>
          <w:p w14:paraId="0E94242F"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 xml:space="preserve">Rate </w:t>
            </w:r>
            <w:proofErr w:type="spellStart"/>
            <w:r>
              <w:rPr>
                <w:rFonts w:ascii="Calibri" w:eastAsia="Times New Roman" w:hAnsi="Calibri" w:cs="Calibri"/>
                <w:b/>
                <w:bCs/>
                <w:color w:val="000000"/>
                <w:sz w:val="20"/>
                <w:szCs w:val="20"/>
                <w:lang w:eastAsia="en-GB"/>
              </w:rPr>
              <w:t>ratio</w:t>
            </w:r>
            <w:r w:rsidRPr="00D05083">
              <w:rPr>
                <w:rFonts w:ascii="Calibri" w:eastAsia="Times New Roman" w:hAnsi="Calibri" w:cs="Calibri"/>
                <w:b/>
                <w:bCs/>
                <w:color w:val="000000"/>
                <w:sz w:val="20"/>
                <w:szCs w:val="20"/>
                <w:vertAlign w:val="superscript"/>
                <w:lang w:eastAsia="en-GB"/>
              </w:rPr>
              <w:t>a</w:t>
            </w:r>
            <w:proofErr w:type="spellEnd"/>
          </w:p>
        </w:tc>
      </w:tr>
      <w:tr w:rsidR="009F455B" w:rsidRPr="00EC6C01" w14:paraId="48515D5B" w14:textId="77777777" w:rsidTr="00AB26EE">
        <w:trPr>
          <w:trHeight w:val="288"/>
        </w:trPr>
        <w:tc>
          <w:tcPr>
            <w:tcW w:w="2119" w:type="dxa"/>
            <w:tcBorders>
              <w:top w:val="single" w:sz="12" w:space="0" w:color="auto"/>
            </w:tcBorders>
            <w:shd w:val="clear" w:color="auto" w:fill="auto"/>
            <w:noWrap/>
            <w:hideMark/>
          </w:tcPr>
          <w:p w14:paraId="0D7FF039"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 xml:space="preserve">Macroeconomic </w:t>
            </w:r>
          </w:p>
        </w:tc>
        <w:tc>
          <w:tcPr>
            <w:tcW w:w="1134" w:type="dxa"/>
            <w:tcBorders>
              <w:top w:val="single" w:sz="12" w:space="0" w:color="auto"/>
            </w:tcBorders>
            <w:shd w:val="clear" w:color="auto" w:fill="auto"/>
            <w:noWrap/>
            <w:hideMark/>
          </w:tcPr>
          <w:p w14:paraId="002F7FDF"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992" w:type="dxa"/>
            <w:tcBorders>
              <w:top w:val="single" w:sz="12" w:space="0" w:color="auto"/>
            </w:tcBorders>
            <w:shd w:val="clear" w:color="auto" w:fill="auto"/>
            <w:noWrap/>
            <w:hideMark/>
          </w:tcPr>
          <w:p w14:paraId="3949343A"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12" w:space="0" w:color="auto"/>
            </w:tcBorders>
          </w:tcPr>
          <w:p w14:paraId="486560F9"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12" w:space="0" w:color="auto"/>
            </w:tcBorders>
          </w:tcPr>
          <w:p w14:paraId="744618C1"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12" w:space="0" w:color="auto"/>
            </w:tcBorders>
            <w:shd w:val="clear" w:color="auto" w:fill="auto"/>
            <w:noWrap/>
            <w:hideMark/>
          </w:tcPr>
          <w:p w14:paraId="40309E5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993" w:type="dxa"/>
            <w:tcBorders>
              <w:top w:val="single" w:sz="12" w:space="0" w:color="auto"/>
            </w:tcBorders>
            <w:shd w:val="clear" w:color="auto" w:fill="auto"/>
            <w:noWrap/>
            <w:hideMark/>
          </w:tcPr>
          <w:p w14:paraId="24369385"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12" w:space="0" w:color="auto"/>
            </w:tcBorders>
          </w:tcPr>
          <w:p w14:paraId="5CC62616"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12" w:space="0" w:color="auto"/>
            </w:tcBorders>
          </w:tcPr>
          <w:p w14:paraId="38B012DA"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559" w:type="dxa"/>
            <w:tcBorders>
              <w:top w:val="single" w:sz="12" w:space="0" w:color="auto"/>
            </w:tcBorders>
            <w:shd w:val="clear" w:color="auto" w:fill="auto"/>
            <w:noWrap/>
            <w:hideMark/>
          </w:tcPr>
          <w:p w14:paraId="55D00E8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12" w:space="0" w:color="auto"/>
            </w:tcBorders>
            <w:shd w:val="clear" w:color="auto" w:fill="auto"/>
            <w:noWrap/>
            <w:hideMark/>
          </w:tcPr>
          <w:p w14:paraId="29C97ED9"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276" w:type="dxa"/>
            <w:tcBorders>
              <w:top w:val="single" w:sz="12" w:space="0" w:color="auto"/>
            </w:tcBorders>
          </w:tcPr>
          <w:p w14:paraId="32141AB5"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r>
      <w:tr w:rsidR="009F455B" w:rsidRPr="00EC6C01" w14:paraId="5B4D6027" w14:textId="77777777" w:rsidTr="00AB26EE">
        <w:trPr>
          <w:trHeight w:val="288"/>
        </w:trPr>
        <w:tc>
          <w:tcPr>
            <w:tcW w:w="2119" w:type="dxa"/>
            <w:shd w:val="clear" w:color="auto" w:fill="auto"/>
            <w:hideMark/>
          </w:tcPr>
          <w:p w14:paraId="7477507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GDP</w:t>
            </w:r>
          </w:p>
        </w:tc>
        <w:tc>
          <w:tcPr>
            <w:tcW w:w="1134" w:type="dxa"/>
            <w:shd w:val="clear" w:color="auto" w:fill="auto"/>
            <w:noWrap/>
            <w:hideMark/>
          </w:tcPr>
          <w:p w14:paraId="2056A7F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37778F1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00BA558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0770F26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130FBCF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-0.01500</w:t>
            </w:r>
          </w:p>
        </w:tc>
        <w:tc>
          <w:tcPr>
            <w:tcW w:w="993" w:type="dxa"/>
            <w:shd w:val="clear" w:color="auto" w:fill="auto"/>
            <w:noWrap/>
            <w:hideMark/>
          </w:tcPr>
          <w:p w14:paraId="5DD0745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0.00340</w:t>
            </w:r>
          </w:p>
        </w:tc>
        <w:tc>
          <w:tcPr>
            <w:tcW w:w="1134" w:type="dxa"/>
          </w:tcPr>
          <w:p w14:paraId="210CA07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0.985</w:t>
            </w:r>
          </w:p>
        </w:tc>
        <w:tc>
          <w:tcPr>
            <w:tcW w:w="283" w:type="dxa"/>
          </w:tcPr>
          <w:p w14:paraId="7C7599E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469DF92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-0.02600</w:t>
            </w:r>
            <w:r>
              <w:rPr>
                <w:rFonts w:ascii="Calibri" w:eastAsia="Times New Roman" w:hAnsi="Calibri" w:cs="Calibri"/>
                <w:color w:val="000000"/>
                <w:sz w:val="20"/>
                <w:szCs w:val="20"/>
                <w:lang w:eastAsia="en-GB"/>
              </w:rPr>
              <w:t>*</w:t>
            </w:r>
          </w:p>
        </w:tc>
        <w:tc>
          <w:tcPr>
            <w:tcW w:w="1134" w:type="dxa"/>
            <w:shd w:val="clear" w:color="auto" w:fill="auto"/>
            <w:noWrap/>
            <w:hideMark/>
          </w:tcPr>
          <w:p w14:paraId="356B221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0.00390</w:t>
            </w:r>
          </w:p>
        </w:tc>
        <w:tc>
          <w:tcPr>
            <w:tcW w:w="1276" w:type="dxa"/>
          </w:tcPr>
          <w:p w14:paraId="6A084BB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0.974</w:t>
            </w:r>
          </w:p>
        </w:tc>
      </w:tr>
      <w:tr w:rsidR="009F455B" w:rsidRPr="00EC6C01" w14:paraId="3C9130C8" w14:textId="77777777" w:rsidTr="00AB26EE">
        <w:trPr>
          <w:trHeight w:val="420"/>
        </w:trPr>
        <w:tc>
          <w:tcPr>
            <w:tcW w:w="2119" w:type="dxa"/>
            <w:shd w:val="clear" w:color="auto" w:fill="auto"/>
            <w:hideMark/>
          </w:tcPr>
          <w:p w14:paraId="426EAC9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Agricultural proportion of GDP</w:t>
            </w:r>
          </w:p>
        </w:tc>
        <w:tc>
          <w:tcPr>
            <w:tcW w:w="1134" w:type="dxa"/>
            <w:shd w:val="clear" w:color="auto" w:fill="auto"/>
            <w:noWrap/>
            <w:hideMark/>
          </w:tcPr>
          <w:p w14:paraId="2AE09A7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0.27000</w:t>
            </w:r>
          </w:p>
        </w:tc>
        <w:tc>
          <w:tcPr>
            <w:tcW w:w="992" w:type="dxa"/>
            <w:shd w:val="clear" w:color="auto" w:fill="auto"/>
            <w:noWrap/>
            <w:hideMark/>
          </w:tcPr>
          <w:p w14:paraId="059381A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0.07000</w:t>
            </w:r>
          </w:p>
        </w:tc>
        <w:tc>
          <w:tcPr>
            <w:tcW w:w="1134" w:type="dxa"/>
          </w:tcPr>
          <w:p w14:paraId="06E0DDA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1.310</w:t>
            </w:r>
          </w:p>
        </w:tc>
        <w:tc>
          <w:tcPr>
            <w:tcW w:w="283" w:type="dxa"/>
          </w:tcPr>
          <w:p w14:paraId="7BA2F85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61D60A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0.25000</w:t>
            </w:r>
          </w:p>
        </w:tc>
        <w:tc>
          <w:tcPr>
            <w:tcW w:w="993" w:type="dxa"/>
            <w:shd w:val="clear" w:color="auto" w:fill="auto"/>
            <w:noWrap/>
            <w:hideMark/>
          </w:tcPr>
          <w:p w14:paraId="2011615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0.06600</w:t>
            </w:r>
          </w:p>
        </w:tc>
        <w:tc>
          <w:tcPr>
            <w:tcW w:w="1134" w:type="dxa"/>
          </w:tcPr>
          <w:p w14:paraId="55D0712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1.284</w:t>
            </w:r>
          </w:p>
        </w:tc>
        <w:tc>
          <w:tcPr>
            <w:tcW w:w="283" w:type="dxa"/>
          </w:tcPr>
          <w:p w14:paraId="38915BC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3B7BACA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-0.03400</w:t>
            </w:r>
            <w:r>
              <w:rPr>
                <w:rFonts w:ascii="Calibri" w:eastAsia="Times New Roman" w:hAnsi="Calibri" w:cs="Calibri"/>
                <w:color w:val="000000"/>
                <w:sz w:val="20"/>
                <w:szCs w:val="20"/>
                <w:lang w:eastAsia="en-GB"/>
              </w:rPr>
              <w:t>*</w:t>
            </w:r>
          </w:p>
        </w:tc>
        <w:tc>
          <w:tcPr>
            <w:tcW w:w="1134" w:type="dxa"/>
            <w:shd w:val="clear" w:color="auto" w:fill="auto"/>
            <w:noWrap/>
            <w:hideMark/>
          </w:tcPr>
          <w:p w14:paraId="129A583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0.07600</w:t>
            </w:r>
          </w:p>
        </w:tc>
        <w:tc>
          <w:tcPr>
            <w:tcW w:w="1276" w:type="dxa"/>
          </w:tcPr>
          <w:p w14:paraId="4636BA2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0.967</w:t>
            </w:r>
          </w:p>
        </w:tc>
      </w:tr>
      <w:tr w:rsidR="009F455B" w:rsidRPr="00EC6C01" w14:paraId="04B7D2BE" w14:textId="77777777" w:rsidTr="00AB26EE">
        <w:trPr>
          <w:trHeight w:val="456"/>
        </w:trPr>
        <w:tc>
          <w:tcPr>
            <w:tcW w:w="2119" w:type="dxa"/>
            <w:shd w:val="clear" w:color="auto" w:fill="auto"/>
            <w:hideMark/>
          </w:tcPr>
          <w:p w14:paraId="290939B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Development flows - agriculture</w:t>
            </w:r>
          </w:p>
        </w:tc>
        <w:tc>
          <w:tcPr>
            <w:tcW w:w="1134" w:type="dxa"/>
            <w:shd w:val="clear" w:color="auto" w:fill="auto"/>
            <w:noWrap/>
            <w:hideMark/>
          </w:tcPr>
          <w:p w14:paraId="61F882F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15C4206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201B185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4A82433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0259348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3" w:type="dxa"/>
            <w:shd w:val="clear" w:color="auto" w:fill="auto"/>
            <w:noWrap/>
            <w:hideMark/>
          </w:tcPr>
          <w:p w14:paraId="3340E49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5B8DCA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69AACEF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58D2395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-0.00005</w:t>
            </w:r>
            <w:r>
              <w:rPr>
                <w:rFonts w:ascii="Calibri" w:eastAsia="Times New Roman" w:hAnsi="Calibri" w:cs="Calibri"/>
                <w:color w:val="000000"/>
                <w:sz w:val="20"/>
                <w:szCs w:val="20"/>
                <w:lang w:eastAsia="en-GB"/>
              </w:rPr>
              <w:t>*</w:t>
            </w:r>
          </w:p>
        </w:tc>
        <w:tc>
          <w:tcPr>
            <w:tcW w:w="1134" w:type="dxa"/>
            <w:shd w:val="clear" w:color="auto" w:fill="auto"/>
            <w:noWrap/>
            <w:hideMark/>
          </w:tcPr>
          <w:p w14:paraId="13EF6CA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0.00020</w:t>
            </w:r>
          </w:p>
        </w:tc>
        <w:tc>
          <w:tcPr>
            <w:tcW w:w="1276" w:type="dxa"/>
          </w:tcPr>
          <w:p w14:paraId="6327B0D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03E15D13" w14:textId="77777777" w:rsidTr="00AB26EE">
        <w:trPr>
          <w:trHeight w:val="576"/>
        </w:trPr>
        <w:tc>
          <w:tcPr>
            <w:tcW w:w="2119" w:type="dxa"/>
            <w:shd w:val="clear" w:color="auto" w:fill="auto"/>
            <w:hideMark/>
          </w:tcPr>
          <w:p w14:paraId="1B1C841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Development flows - environment</w:t>
            </w:r>
          </w:p>
        </w:tc>
        <w:tc>
          <w:tcPr>
            <w:tcW w:w="1134" w:type="dxa"/>
            <w:shd w:val="clear" w:color="auto" w:fill="auto"/>
            <w:noWrap/>
            <w:hideMark/>
          </w:tcPr>
          <w:p w14:paraId="300326C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0.03100</w:t>
            </w:r>
          </w:p>
        </w:tc>
        <w:tc>
          <w:tcPr>
            <w:tcW w:w="992" w:type="dxa"/>
            <w:shd w:val="clear" w:color="auto" w:fill="auto"/>
            <w:noWrap/>
            <w:hideMark/>
          </w:tcPr>
          <w:p w14:paraId="03F2F59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0.00400</w:t>
            </w:r>
          </w:p>
        </w:tc>
        <w:tc>
          <w:tcPr>
            <w:tcW w:w="1134" w:type="dxa"/>
          </w:tcPr>
          <w:p w14:paraId="1AC440C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1.031</w:t>
            </w:r>
          </w:p>
        </w:tc>
        <w:tc>
          <w:tcPr>
            <w:tcW w:w="283" w:type="dxa"/>
          </w:tcPr>
          <w:p w14:paraId="75F6D2F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1908F79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3" w:type="dxa"/>
            <w:shd w:val="clear" w:color="auto" w:fill="auto"/>
            <w:noWrap/>
            <w:hideMark/>
          </w:tcPr>
          <w:p w14:paraId="080E76C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2DEF88D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59622E3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2694136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-0.00260</w:t>
            </w:r>
            <w:r>
              <w:rPr>
                <w:rFonts w:ascii="Calibri" w:eastAsia="Times New Roman" w:hAnsi="Calibri" w:cs="Calibri"/>
                <w:color w:val="000000"/>
                <w:sz w:val="20"/>
                <w:szCs w:val="20"/>
                <w:lang w:eastAsia="en-GB"/>
              </w:rPr>
              <w:t>*</w:t>
            </w:r>
          </w:p>
        </w:tc>
        <w:tc>
          <w:tcPr>
            <w:tcW w:w="1134" w:type="dxa"/>
            <w:shd w:val="clear" w:color="auto" w:fill="auto"/>
            <w:noWrap/>
            <w:hideMark/>
          </w:tcPr>
          <w:p w14:paraId="19BA2A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0.00450</w:t>
            </w:r>
          </w:p>
        </w:tc>
        <w:tc>
          <w:tcPr>
            <w:tcW w:w="1276" w:type="dxa"/>
          </w:tcPr>
          <w:p w14:paraId="1609753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0.997</w:t>
            </w:r>
          </w:p>
        </w:tc>
      </w:tr>
      <w:tr w:rsidR="009F455B" w:rsidRPr="00EC6C01" w14:paraId="633A64B4" w14:textId="77777777" w:rsidTr="00AB26EE">
        <w:trPr>
          <w:trHeight w:val="288"/>
        </w:trPr>
        <w:tc>
          <w:tcPr>
            <w:tcW w:w="2119" w:type="dxa"/>
            <w:shd w:val="clear" w:color="auto" w:fill="auto"/>
            <w:hideMark/>
          </w:tcPr>
          <w:p w14:paraId="77BC62F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Foreign direct investment</w:t>
            </w:r>
          </w:p>
        </w:tc>
        <w:tc>
          <w:tcPr>
            <w:tcW w:w="1134" w:type="dxa"/>
            <w:shd w:val="clear" w:color="auto" w:fill="auto"/>
            <w:noWrap/>
            <w:hideMark/>
          </w:tcPr>
          <w:p w14:paraId="112C848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73E4115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0F79431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3A0EB9B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61F799D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0.00360</w:t>
            </w:r>
          </w:p>
        </w:tc>
        <w:tc>
          <w:tcPr>
            <w:tcW w:w="993" w:type="dxa"/>
            <w:shd w:val="clear" w:color="auto" w:fill="auto"/>
            <w:noWrap/>
            <w:hideMark/>
          </w:tcPr>
          <w:p w14:paraId="72D4B5D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0.00050</w:t>
            </w:r>
          </w:p>
        </w:tc>
        <w:tc>
          <w:tcPr>
            <w:tcW w:w="1134" w:type="dxa"/>
          </w:tcPr>
          <w:p w14:paraId="655043C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1.004</w:t>
            </w:r>
          </w:p>
        </w:tc>
        <w:tc>
          <w:tcPr>
            <w:tcW w:w="283" w:type="dxa"/>
          </w:tcPr>
          <w:p w14:paraId="534436B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7AF461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0.00040</w:t>
            </w:r>
            <w:r>
              <w:rPr>
                <w:rFonts w:ascii="Calibri" w:eastAsia="Times New Roman" w:hAnsi="Calibri" w:cs="Calibri"/>
                <w:color w:val="000000"/>
                <w:sz w:val="20"/>
                <w:szCs w:val="20"/>
                <w:lang w:eastAsia="en-GB"/>
              </w:rPr>
              <w:t>*</w:t>
            </w:r>
          </w:p>
        </w:tc>
        <w:tc>
          <w:tcPr>
            <w:tcW w:w="1134" w:type="dxa"/>
            <w:shd w:val="clear" w:color="auto" w:fill="auto"/>
            <w:noWrap/>
            <w:hideMark/>
          </w:tcPr>
          <w:p w14:paraId="0C59B6D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0.00060</w:t>
            </w:r>
          </w:p>
        </w:tc>
        <w:tc>
          <w:tcPr>
            <w:tcW w:w="1276" w:type="dxa"/>
          </w:tcPr>
          <w:p w14:paraId="68C8323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1BDFB9D1" w14:textId="77777777" w:rsidTr="00AB26EE">
        <w:trPr>
          <w:trHeight w:val="288"/>
        </w:trPr>
        <w:tc>
          <w:tcPr>
            <w:tcW w:w="2119" w:type="dxa"/>
            <w:shd w:val="clear" w:color="auto" w:fill="auto"/>
            <w:hideMark/>
          </w:tcPr>
          <w:p w14:paraId="5236449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Population density</w:t>
            </w:r>
          </w:p>
        </w:tc>
        <w:tc>
          <w:tcPr>
            <w:tcW w:w="1134" w:type="dxa"/>
            <w:shd w:val="clear" w:color="auto" w:fill="auto"/>
            <w:noWrap/>
            <w:hideMark/>
          </w:tcPr>
          <w:p w14:paraId="06F2A16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-4.43000</w:t>
            </w:r>
          </w:p>
        </w:tc>
        <w:tc>
          <w:tcPr>
            <w:tcW w:w="992" w:type="dxa"/>
            <w:shd w:val="clear" w:color="auto" w:fill="auto"/>
            <w:noWrap/>
            <w:hideMark/>
          </w:tcPr>
          <w:p w14:paraId="25270E5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0.85000</w:t>
            </w:r>
          </w:p>
        </w:tc>
        <w:tc>
          <w:tcPr>
            <w:tcW w:w="1134" w:type="dxa"/>
          </w:tcPr>
          <w:p w14:paraId="665DE73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0.012</w:t>
            </w:r>
          </w:p>
        </w:tc>
        <w:tc>
          <w:tcPr>
            <w:tcW w:w="283" w:type="dxa"/>
          </w:tcPr>
          <w:p w14:paraId="3B7CDB8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FFE0DF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-6.09000</w:t>
            </w:r>
          </w:p>
        </w:tc>
        <w:tc>
          <w:tcPr>
            <w:tcW w:w="993" w:type="dxa"/>
            <w:shd w:val="clear" w:color="auto" w:fill="auto"/>
            <w:noWrap/>
            <w:hideMark/>
          </w:tcPr>
          <w:p w14:paraId="106A098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0.81000</w:t>
            </w:r>
          </w:p>
        </w:tc>
        <w:tc>
          <w:tcPr>
            <w:tcW w:w="1134" w:type="dxa"/>
          </w:tcPr>
          <w:p w14:paraId="4EFD641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0.002</w:t>
            </w:r>
          </w:p>
        </w:tc>
        <w:tc>
          <w:tcPr>
            <w:tcW w:w="283" w:type="dxa"/>
          </w:tcPr>
          <w:p w14:paraId="69F6194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21349ED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-7.68000</w:t>
            </w:r>
            <w:r>
              <w:rPr>
                <w:rFonts w:ascii="Calibri" w:eastAsia="Times New Roman" w:hAnsi="Calibri" w:cs="Calibri"/>
                <w:color w:val="000000"/>
                <w:sz w:val="20"/>
                <w:szCs w:val="20"/>
                <w:lang w:eastAsia="en-GB"/>
              </w:rPr>
              <w:t>*</w:t>
            </w:r>
          </w:p>
        </w:tc>
        <w:tc>
          <w:tcPr>
            <w:tcW w:w="1134" w:type="dxa"/>
            <w:shd w:val="clear" w:color="auto" w:fill="auto"/>
            <w:noWrap/>
            <w:hideMark/>
          </w:tcPr>
          <w:p w14:paraId="7ABEAD7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0.95000</w:t>
            </w:r>
          </w:p>
        </w:tc>
        <w:tc>
          <w:tcPr>
            <w:tcW w:w="1276" w:type="dxa"/>
          </w:tcPr>
          <w:p w14:paraId="0010B44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0.000</w:t>
            </w:r>
          </w:p>
        </w:tc>
      </w:tr>
      <w:tr w:rsidR="009F455B" w:rsidRPr="00EC6C01" w14:paraId="05067388" w14:textId="77777777" w:rsidTr="00AB26EE">
        <w:trPr>
          <w:trHeight w:val="288"/>
        </w:trPr>
        <w:tc>
          <w:tcPr>
            <w:tcW w:w="2119" w:type="dxa"/>
            <w:tcBorders>
              <w:bottom w:val="single" w:sz="6" w:space="0" w:color="auto"/>
            </w:tcBorders>
            <w:shd w:val="clear" w:color="auto" w:fill="auto"/>
            <w:hideMark/>
          </w:tcPr>
          <w:p w14:paraId="70E8541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Forest remaining</w:t>
            </w:r>
          </w:p>
        </w:tc>
        <w:tc>
          <w:tcPr>
            <w:tcW w:w="1134" w:type="dxa"/>
            <w:tcBorders>
              <w:bottom w:val="single" w:sz="6" w:space="0" w:color="auto"/>
            </w:tcBorders>
            <w:shd w:val="clear" w:color="auto" w:fill="auto"/>
            <w:noWrap/>
            <w:hideMark/>
          </w:tcPr>
          <w:p w14:paraId="1BEF545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-0.00030</w:t>
            </w:r>
          </w:p>
        </w:tc>
        <w:tc>
          <w:tcPr>
            <w:tcW w:w="992" w:type="dxa"/>
            <w:tcBorders>
              <w:bottom w:val="single" w:sz="6" w:space="0" w:color="auto"/>
            </w:tcBorders>
            <w:shd w:val="clear" w:color="auto" w:fill="auto"/>
            <w:noWrap/>
            <w:hideMark/>
          </w:tcPr>
          <w:p w14:paraId="47847BC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1134" w:type="dxa"/>
            <w:tcBorders>
              <w:bottom w:val="single" w:sz="6" w:space="0" w:color="auto"/>
            </w:tcBorders>
          </w:tcPr>
          <w:p w14:paraId="408D752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6" w:space="0" w:color="auto"/>
            </w:tcBorders>
          </w:tcPr>
          <w:p w14:paraId="0DD36C2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tcBorders>
              <w:bottom w:val="single" w:sz="6" w:space="0" w:color="auto"/>
            </w:tcBorders>
            <w:shd w:val="clear" w:color="auto" w:fill="auto"/>
            <w:noWrap/>
            <w:hideMark/>
          </w:tcPr>
          <w:p w14:paraId="02E8BCA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993" w:type="dxa"/>
            <w:tcBorders>
              <w:bottom w:val="single" w:sz="6" w:space="0" w:color="auto"/>
            </w:tcBorders>
            <w:shd w:val="clear" w:color="auto" w:fill="auto"/>
            <w:noWrap/>
            <w:hideMark/>
          </w:tcPr>
          <w:p w14:paraId="359949A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1134" w:type="dxa"/>
            <w:tcBorders>
              <w:bottom w:val="single" w:sz="6" w:space="0" w:color="auto"/>
            </w:tcBorders>
          </w:tcPr>
          <w:p w14:paraId="54AA508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6" w:space="0" w:color="auto"/>
            </w:tcBorders>
          </w:tcPr>
          <w:p w14:paraId="24DF130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tcBorders>
              <w:bottom w:val="single" w:sz="6" w:space="0" w:color="auto"/>
            </w:tcBorders>
            <w:shd w:val="clear" w:color="auto" w:fill="auto"/>
            <w:noWrap/>
            <w:hideMark/>
          </w:tcPr>
          <w:p w14:paraId="1CE97C7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1134" w:type="dxa"/>
            <w:tcBorders>
              <w:bottom w:val="single" w:sz="6" w:space="0" w:color="auto"/>
            </w:tcBorders>
            <w:shd w:val="clear" w:color="auto" w:fill="auto"/>
            <w:noWrap/>
            <w:hideMark/>
          </w:tcPr>
          <w:p w14:paraId="445885F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0.00005</w:t>
            </w:r>
          </w:p>
        </w:tc>
        <w:tc>
          <w:tcPr>
            <w:tcW w:w="1276" w:type="dxa"/>
            <w:tcBorders>
              <w:bottom w:val="single" w:sz="6" w:space="0" w:color="auto"/>
            </w:tcBorders>
          </w:tcPr>
          <w:p w14:paraId="13176EE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2A638956" w14:textId="77777777" w:rsidTr="00AB26EE">
        <w:trPr>
          <w:trHeight w:val="288"/>
        </w:trPr>
        <w:tc>
          <w:tcPr>
            <w:tcW w:w="2119" w:type="dxa"/>
            <w:tcBorders>
              <w:top w:val="single" w:sz="6" w:space="0" w:color="auto"/>
            </w:tcBorders>
            <w:shd w:val="clear" w:color="auto" w:fill="auto"/>
            <w:noWrap/>
            <w:hideMark/>
          </w:tcPr>
          <w:p w14:paraId="638AD330"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Commodity / production</w:t>
            </w:r>
          </w:p>
        </w:tc>
        <w:tc>
          <w:tcPr>
            <w:tcW w:w="1134" w:type="dxa"/>
            <w:tcBorders>
              <w:top w:val="single" w:sz="6" w:space="0" w:color="auto"/>
            </w:tcBorders>
            <w:shd w:val="clear" w:color="auto" w:fill="auto"/>
            <w:noWrap/>
            <w:hideMark/>
          </w:tcPr>
          <w:p w14:paraId="5FD4CDC6"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992" w:type="dxa"/>
            <w:tcBorders>
              <w:top w:val="single" w:sz="6" w:space="0" w:color="auto"/>
            </w:tcBorders>
            <w:shd w:val="clear" w:color="auto" w:fill="auto"/>
            <w:noWrap/>
            <w:hideMark/>
          </w:tcPr>
          <w:p w14:paraId="01E7100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tcPr>
          <w:p w14:paraId="185DBF7F"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6" w:space="0" w:color="auto"/>
            </w:tcBorders>
          </w:tcPr>
          <w:p w14:paraId="5F882967"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shd w:val="clear" w:color="auto" w:fill="auto"/>
            <w:noWrap/>
            <w:hideMark/>
          </w:tcPr>
          <w:p w14:paraId="05A94317"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993" w:type="dxa"/>
            <w:tcBorders>
              <w:top w:val="single" w:sz="6" w:space="0" w:color="auto"/>
            </w:tcBorders>
            <w:shd w:val="clear" w:color="auto" w:fill="auto"/>
            <w:noWrap/>
            <w:hideMark/>
          </w:tcPr>
          <w:p w14:paraId="497F87B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tcPr>
          <w:p w14:paraId="3C85964D"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6" w:space="0" w:color="auto"/>
            </w:tcBorders>
          </w:tcPr>
          <w:p w14:paraId="6BE3CB4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559" w:type="dxa"/>
            <w:tcBorders>
              <w:top w:val="single" w:sz="6" w:space="0" w:color="auto"/>
            </w:tcBorders>
            <w:shd w:val="clear" w:color="auto" w:fill="auto"/>
            <w:noWrap/>
            <w:hideMark/>
          </w:tcPr>
          <w:p w14:paraId="1CF9812A"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shd w:val="clear" w:color="auto" w:fill="auto"/>
            <w:noWrap/>
            <w:hideMark/>
          </w:tcPr>
          <w:p w14:paraId="2ADCE82C"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276" w:type="dxa"/>
            <w:tcBorders>
              <w:top w:val="single" w:sz="6" w:space="0" w:color="auto"/>
            </w:tcBorders>
          </w:tcPr>
          <w:p w14:paraId="77C3B77F"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r>
      <w:tr w:rsidR="009F455B" w:rsidRPr="00EC6C01" w14:paraId="13531672" w14:textId="77777777" w:rsidTr="00AB26EE">
        <w:trPr>
          <w:trHeight w:val="576"/>
        </w:trPr>
        <w:tc>
          <w:tcPr>
            <w:tcW w:w="2119" w:type="dxa"/>
            <w:shd w:val="clear" w:color="auto" w:fill="auto"/>
            <w:hideMark/>
          </w:tcPr>
          <w:p w14:paraId="4798680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corn</w:t>
            </w:r>
          </w:p>
        </w:tc>
        <w:tc>
          <w:tcPr>
            <w:tcW w:w="1134" w:type="dxa"/>
            <w:shd w:val="clear" w:color="auto" w:fill="auto"/>
            <w:noWrap/>
            <w:hideMark/>
          </w:tcPr>
          <w:p w14:paraId="3CDADE4F" w14:textId="77777777" w:rsidR="009F455B" w:rsidRPr="00E92ACF" w:rsidRDefault="009F455B" w:rsidP="00AB26EE">
            <w:pPr>
              <w:rPr>
                <w:rFonts w:ascii="Calibri" w:hAnsi="Calibri" w:cs="Calibri"/>
                <w:color w:val="000000"/>
              </w:rPr>
            </w:pPr>
            <w:r>
              <w:rPr>
                <w:rFonts w:ascii="Calibri" w:hAnsi="Calibri" w:cs="Calibri"/>
                <w:color w:val="000000"/>
              </w:rPr>
              <w:t>-0.00330</w:t>
            </w:r>
          </w:p>
        </w:tc>
        <w:tc>
          <w:tcPr>
            <w:tcW w:w="992" w:type="dxa"/>
            <w:shd w:val="clear" w:color="auto" w:fill="auto"/>
            <w:noWrap/>
            <w:hideMark/>
          </w:tcPr>
          <w:p w14:paraId="338F3E6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0.005697</w:t>
            </w:r>
          </w:p>
        </w:tc>
        <w:tc>
          <w:tcPr>
            <w:tcW w:w="1134" w:type="dxa"/>
          </w:tcPr>
          <w:p w14:paraId="195A277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0.997</w:t>
            </w:r>
          </w:p>
        </w:tc>
        <w:tc>
          <w:tcPr>
            <w:tcW w:w="283" w:type="dxa"/>
          </w:tcPr>
          <w:p w14:paraId="32A8306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956DB0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0.00704</w:t>
            </w:r>
            <w:r>
              <w:rPr>
                <w:rFonts w:ascii="Calibri" w:eastAsia="Times New Roman" w:hAnsi="Calibri" w:cs="Calibri"/>
                <w:color w:val="000000"/>
                <w:sz w:val="20"/>
                <w:szCs w:val="20"/>
                <w:lang w:eastAsia="en-GB"/>
              </w:rPr>
              <w:t>*</w:t>
            </w:r>
          </w:p>
        </w:tc>
        <w:tc>
          <w:tcPr>
            <w:tcW w:w="993" w:type="dxa"/>
            <w:shd w:val="clear" w:color="auto" w:fill="auto"/>
            <w:noWrap/>
            <w:hideMark/>
          </w:tcPr>
          <w:p w14:paraId="141C968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0.00647</w:t>
            </w:r>
          </w:p>
        </w:tc>
        <w:tc>
          <w:tcPr>
            <w:tcW w:w="1134" w:type="dxa"/>
          </w:tcPr>
          <w:p w14:paraId="27C842F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1.007</w:t>
            </w:r>
          </w:p>
        </w:tc>
        <w:tc>
          <w:tcPr>
            <w:tcW w:w="283" w:type="dxa"/>
          </w:tcPr>
          <w:p w14:paraId="48BDC9D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33F5C56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-0.00365</w:t>
            </w:r>
            <w:r>
              <w:rPr>
                <w:rFonts w:ascii="Calibri" w:eastAsia="Times New Roman" w:hAnsi="Calibri" w:cs="Calibri"/>
                <w:color w:val="000000"/>
                <w:sz w:val="20"/>
                <w:szCs w:val="20"/>
                <w:lang w:eastAsia="en-GB"/>
              </w:rPr>
              <w:t>*</w:t>
            </w:r>
          </w:p>
        </w:tc>
        <w:tc>
          <w:tcPr>
            <w:tcW w:w="1134" w:type="dxa"/>
            <w:shd w:val="clear" w:color="auto" w:fill="auto"/>
            <w:noWrap/>
            <w:hideMark/>
          </w:tcPr>
          <w:p w14:paraId="76A1E68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0.00329</w:t>
            </w:r>
          </w:p>
        </w:tc>
        <w:tc>
          <w:tcPr>
            <w:tcW w:w="1276" w:type="dxa"/>
          </w:tcPr>
          <w:p w14:paraId="3C152C5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0.996</w:t>
            </w:r>
          </w:p>
        </w:tc>
      </w:tr>
      <w:tr w:rsidR="009F455B" w:rsidRPr="00EC6C01" w14:paraId="10B4F76E" w14:textId="77777777" w:rsidTr="00AB26EE">
        <w:trPr>
          <w:trHeight w:val="576"/>
        </w:trPr>
        <w:tc>
          <w:tcPr>
            <w:tcW w:w="2119" w:type="dxa"/>
            <w:shd w:val="clear" w:color="auto" w:fill="auto"/>
            <w:hideMark/>
          </w:tcPr>
          <w:p w14:paraId="7590CB2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rice</w:t>
            </w:r>
          </w:p>
        </w:tc>
        <w:tc>
          <w:tcPr>
            <w:tcW w:w="1134" w:type="dxa"/>
            <w:shd w:val="clear" w:color="auto" w:fill="auto"/>
            <w:noWrap/>
            <w:hideMark/>
          </w:tcPr>
          <w:p w14:paraId="4ECEC32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0.009324</w:t>
            </w:r>
          </w:p>
        </w:tc>
        <w:tc>
          <w:tcPr>
            <w:tcW w:w="992" w:type="dxa"/>
            <w:shd w:val="clear" w:color="auto" w:fill="auto"/>
            <w:noWrap/>
            <w:hideMark/>
          </w:tcPr>
          <w:p w14:paraId="6D209DB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0.00198</w:t>
            </w:r>
          </w:p>
        </w:tc>
        <w:tc>
          <w:tcPr>
            <w:tcW w:w="1134" w:type="dxa"/>
          </w:tcPr>
          <w:p w14:paraId="174FF97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1.009</w:t>
            </w:r>
          </w:p>
        </w:tc>
        <w:tc>
          <w:tcPr>
            <w:tcW w:w="283" w:type="dxa"/>
          </w:tcPr>
          <w:p w14:paraId="7222C8E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B827BB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-0.00429</w:t>
            </w:r>
            <w:r>
              <w:rPr>
                <w:rFonts w:ascii="Calibri" w:eastAsia="Times New Roman" w:hAnsi="Calibri" w:cs="Calibri"/>
                <w:color w:val="000000"/>
                <w:sz w:val="20"/>
                <w:szCs w:val="20"/>
                <w:lang w:eastAsia="en-GB"/>
              </w:rPr>
              <w:t>*</w:t>
            </w:r>
          </w:p>
        </w:tc>
        <w:tc>
          <w:tcPr>
            <w:tcW w:w="993" w:type="dxa"/>
            <w:shd w:val="clear" w:color="auto" w:fill="auto"/>
            <w:noWrap/>
            <w:hideMark/>
          </w:tcPr>
          <w:p w14:paraId="17D0289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0.00272</w:t>
            </w:r>
          </w:p>
        </w:tc>
        <w:tc>
          <w:tcPr>
            <w:tcW w:w="1134" w:type="dxa"/>
          </w:tcPr>
          <w:p w14:paraId="27B2FDC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0.996</w:t>
            </w:r>
          </w:p>
        </w:tc>
        <w:tc>
          <w:tcPr>
            <w:tcW w:w="283" w:type="dxa"/>
          </w:tcPr>
          <w:p w14:paraId="18BEA6F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5182C3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1134" w:type="dxa"/>
            <w:shd w:val="clear" w:color="auto" w:fill="auto"/>
            <w:noWrap/>
            <w:hideMark/>
          </w:tcPr>
          <w:p w14:paraId="6B66308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0.00058</w:t>
            </w:r>
          </w:p>
        </w:tc>
        <w:tc>
          <w:tcPr>
            <w:tcW w:w="1276" w:type="dxa"/>
          </w:tcPr>
          <w:p w14:paraId="4A61458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6B143729" w14:textId="77777777" w:rsidTr="00AB26EE">
        <w:trPr>
          <w:trHeight w:val="576"/>
        </w:trPr>
        <w:tc>
          <w:tcPr>
            <w:tcW w:w="2119" w:type="dxa"/>
            <w:shd w:val="clear" w:color="auto" w:fill="auto"/>
            <w:hideMark/>
          </w:tcPr>
          <w:p w14:paraId="0984F0F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rubber</w:t>
            </w:r>
          </w:p>
        </w:tc>
        <w:tc>
          <w:tcPr>
            <w:tcW w:w="1134" w:type="dxa"/>
            <w:shd w:val="clear" w:color="auto" w:fill="auto"/>
            <w:noWrap/>
            <w:hideMark/>
          </w:tcPr>
          <w:p w14:paraId="4C1CB11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0.001247</w:t>
            </w:r>
          </w:p>
        </w:tc>
        <w:tc>
          <w:tcPr>
            <w:tcW w:w="992" w:type="dxa"/>
            <w:shd w:val="clear" w:color="auto" w:fill="auto"/>
            <w:noWrap/>
            <w:hideMark/>
          </w:tcPr>
          <w:p w14:paraId="03C34B4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0.0002</w:t>
            </w:r>
            <w:r>
              <w:rPr>
                <w:rFonts w:ascii="Calibri" w:eastAsia="Times New Roman" w:hAnsi="Calibri" w:cs="Calibri"/>
                <w:color w:val="000000"/>
                <w:sz w:val="20"/>
                <w:szCs w:val="20"/>
                <w:lang w:eastAsia="en-GB"/>
              </w:rPr>
              <w:t>4</w:t>
            </w:r>
          </w:p>
        </w:tc>
        <w:tc>
          <w:tcPr>
            <w:tcW w:w="1134" w:type="dxa"/>
          </w:tcPr>
          <w:p w14:paraId="762C916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1.001</w:t>
            </w:r>
          </w:p>
        </w:tc>
        <w:tc>
          <w:tcPr>
            <w:tcW w:w="283" w:type="dxa"/>
          </w:tcPr>
          <w:p w14:paraId="26D3F53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2C73FBB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0.00019</w:t>
            </w:r>
            <w:r>
              <w:rPr>
                <w:rFonts w:ascii="Calibri" w:eastAsia="Times New Roman" w:hAnsi="Calibri" w:cs="Calibri"/>
                <w:color w:val="000000"/>
                <w:sz w:val="20"/>
                <w:szCs w:val="20"/>
                <w:lang w:eastAsia="en-GB"/>
              </w:rPr>
              <w:t>*</w:t>
            </w:r>
          </w:p>
        </w:tc>
        <w:tc>
          <w:tcPr>
            <w:tcW w:w="993" w:type="dxa"/>
            <w:shd w:val="clear" w:color="auto" w:fill="auto"/>
            <w:noWrap/>
            <w:hideMark/>
          </w:tcPr>
          <w:p w14:paraId="788BFA5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0.00022</w:t>
            </w:r>
          </w:p>
        </w:tc>
        <w:tc>
          <w:tcPr>
            <w:tcW w:w="1134" w:type="dxa"/>
          </w:tcPr>
          <w:p w14:paraId="2D1090B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6F8B6DC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52FE595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1134" w:type="dxa"/>
            <w:shd w:val="clear" w:color="auto" w:fill="auto"/>
            <w:noWrap/>
            <w:hideMark/>
          </w:tcPr>
          <w:p w14:paraId="02B5F20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0.00009</w:t>
            </w:r>
          </w:p>
        </w:tc>
        <w:tc>
          <w:tcPr>
            <w:tcW w:w="1276" w:type="dxa"/>
          </w:tcPr>
          <w:p w14:paraId="191238A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5E527E89" w14:textId="77777777" w:rsidTr="00AB26EE">
        <w:trPr>
          <w:trHeight w:val="576"/>
        </w:trPr>
        <w:tc>
          <w:tcPr>
            <w:tcW w:w="2119" w:type="dxa"/>
            <w:shd w:val="clear" w:color="auto" w:fill="auto"/>
            <w:hideMark/>
          </w:tcPr>
          <w:p w14:paraId="0194FE3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sugar</w:t>
            </w:r>
          </w:p>
        </w:tc>
        <w:tc>
          <w:tcPr>
            <w:tcW w:w="1134" w:type="dxa"/>
            <w:shd w:val="clear" w:color="auto" w:fill="auto"/>
            <w:noWrap/>
            <w:hideMark/>
          </w:tcPr>
          <w:p w14:paraId="4BE9EB4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-0.00005</w:t>
            </w:r>
          </w:p>
        </w:tc>
        <w:tc>
          <w:tcPr>
            <w:tcW w:w="992" w:type="dxa"/>
            <w:shd w:val="clear" w:color="auto" w:fill="auto"/>
            <w:noWrap/>
            <w:hideMark/>
          </w:tcPr>
          <w:p w14:paraId="67F41EC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0.001931</w:t>
            </w:r>
          </w:p>
        </w:tc>
        <w:tc>
          <w:tcPr>
            <w:tcW w:w="1134" w:type="dxa"/>
          </w:tcPr>
          <w:p w14:paraId="1B4E3DC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w:t>
            </w:r>
          </w:p>
        </w:tc>
        <w:tc>
          <w:tcPr>
            <w:tcW w:w="283" w:type="dxa"/>
          </w:tcPr>
          <w:p w14:paraId="23A56BB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1C23071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0.00708</w:t>
            </w:r>
            <w:r>
              <w:rPr>
                <w:rFonts w:ascii="Calibri" w:eastAsia="Times New Roman" w:hAnsi="Calibri" w:cs="Calibri"/>
                <w:color w:val="000000"/>
                <w:sz w:val="20"/>
                <w:szCs w:val="20"/>
                <w:lang w:eastAsia="en-GB"/>
              </w:rPr>
              <w:t>*</w:t>
            </w:r>
          </w:p>
        </w:tc>
        <w:tc>
          <w:tcPr>
            <w:tcW w:w="993" w:type="dxa"/>
            <w:shd w:val="clear" w:color="auto" w:fill="auto"/>
            <w:noWrap/>
            <w:hideMark/>
          </w:tcPr>
          <w:p w14:paraId="06D366C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0.00127</w:t>
            </w:r>
          </w:p>
        </w:tc>
        <w:tc>
          <w:tcPr>
            <w:tcW w:w="1134" w:type="dxa"/>
          </w:tcPr>
          <w:p w14:paraId="771BAC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1.007</w:t>
            </w:r>
          </w:p>
        </w:tc>
        <w:tc>
          <w:tcPr>
            <w:tcW w:w="283" w:type="dxa"/>
          </w:tcPr>
          <w:p w14:paraId="7BC1F92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5B7F8F8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0.00877</w:t>
            </w:r>
            <w:r>
              <w:rPr>
                <w:rFonts w:ascii="Calibri" w:eastAsia="Times New Roman" w:hAnsi="Calibri" w:cs="Calibri"/>
                <w:color w:val="000000"/>
                <w:sz w:val="20"/>
                <w:szCs w:val="20"/>
                <w:lang w:eastAsia="en-GB"/>
              </w:rPr>
              <w:t>*</w:t>
            </w:r>
          </w:p>
        </w:tc>
        <w:tc>
          <w:tcPr>
            <w:tcW w:w="1134" w:type="dxa"/>
            <w:shd w:val="clear" w:color="auto" w:fill="auto"/>
            <w:noWrap/>
            <w:hideMark/>
          </w:tcPr>
          <w:p w14:paraId="47B10EF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0.00124</w:t>
            </w:r>
          </w:p>
        </w:tc>
        <w:tc>
          <w:tcPr>
            <w:tcW w:w="1276" w:type="dxa"/>
          </w:tcPr>
          <w:p w14:paraId="6E98286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1.009</w:t>
            </w:r>
          </w:p>
        </w:tc>
      </w:tr>
      <w:tr w:rsidR="009F455B" w:rsidRPr="00EC6C01" w14:paraId="163AAB56" w14:textId="77777777" w:rsidTr="00AB26EE">
        <w:trPr>
          <w:trHeight w:val="576"/>
        </w:trPr>
        <w:tc>
          <w:tcPr>
            <w:tcW w:w="2119" w:type="dxa"/>
            <w:shd w:val="clear" w:color="auto" w:fill="auto"/>
            <w:hideMark/>
          </w:tcPr>
          <w:p w14:paraId="1DCD318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Non-food agricultural production index</w:t>
            </w:r>
          </w:p>
        </w:tc>
        <w:tc>
          <w:tcPr>
            <w:tcW w:w="1134" w:type="dxa"/>
            <w:shd w:val="clear" w:color="auto" w:fill="auto"/>
            <w:noWrap/>
            <w:hideMark/>
          </w:tcPr>
          <w:p w14:paraId="63F0CC4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-0.00995</w:t>
            </w:r>
          </w:p>
        </w:tc>
        <w:tc>
          <w:tcPr>
            <w:tcW w:w="992" w:type="dxa"/>
            <w:shd w:val="clear" w:color="auto" w:fill="auto"/>
            <w:noWrap/>
            <w:hideMark/>
          </w:tcPr>
          <w:p w14:paraId="27D96BE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0.00175</w:t>
            </w:r>
          </w:p>
        </w:tc>
        <w:tc>
          <w:tcPr>
            <w:tcW w:w="1134" w:type="dxa"/>
          </w:tcPr>
          <w:p w14:paraId="5B0E3C6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0.990</w:t>
            </w:r>
          </w:p>
        </w:tc>
        <w:tc>
          <w:tcPr>
            <w:tcW w:w="283" w:type="dxa"/>
          </w:tcPr>
          <w:p w14:paraId="4C3075C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A22B01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0.00672</w:t>
            </w:r>
            <w:r>
              <w:rPr>
                <w:rFonts w:ascii="Calibri" w:eastAsia="Times New Roman" w:hAnsi="Calibri" w:cs="Calibri"/>
                <w:color w:val="000000"/>
                <w:sz w:val="20"/>
                <w:szCs w:val="20"/>
                <w:lang w:eastAsia="en-GB"/>
              </w:rPr>
              <w:t>*</w:t>
            </w:r>
          </w:p>
        </w:tc>
        <w:tc>
          <w:tcPr>
            <w:tcW w:w="993" w:type="dxa"/>
            <w:shd w:val="clear" w:color="auto" w:fill="auto"/>
            <w:noWrap/>
            <w:hideMark/>
          </w:tcPr>
          <w:p w14:paraId="1FC9BAD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0.00264</w:t>
            </w:r>
          </w:p>
        </w:tc>
        <w:tc>
          <w:tcPr>
            <w:tcW w:w="1134" w:type="dxa"/>
          </w:tcPr>
          <w:p w14:paraId="1912BB2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1.007</w:t>
            </w:r>
          </w:p>
        </w:tc>
        <w:tc>
          <w:tcPr>
            <w:tcW w:w="283" w:type="dxa"/>
          </w:tcPr>
          <w:p w14:paraId="7EA1AAB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1B1F247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-0.00149</w:t>
            </w:r>
            <w:r>
              <w:rPr>
                <w:rFonts w:ascii="Calibri" w:eastAsia="Times New Roman" w:hAnsi="Calibri" w:cs="Calibri"/>
                <w:color w:val="000000"/>
                <w:sz w:val="20"/>
                <w:szCs w:val="20"/>
                <w:lang w:eastAsia="en-GB"/>
              </w:rPr>
              <w:t>*</w:t>
            </w:r>
          </w:p>
        </w:tc>
        <w:tc>
          <w:tcPr>
            <w:tcW w:w="1134" w:type="dxa"/>
            <w:shd w:val="clear" w:color="auto" w:fill="auto"/>
            <w:noWrap/>
            <w:hideMark/>
          </w:tcPr>
          <w:p w14:paraId="14C7D2E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0.00203</w:t>
            </w:r>
          </w:p>
        </w:tc>
        <w:tc>
          <w:tcPr>
            <w:tcW w:w="1276" w:type="dxa"/>
          </w:tcPr>
          <w:p w14:paraId="50F3060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0.999</w:t>
            </w:r>
          </w:p>
        </w:tc>
      </w:tr>
      <w:tr w:rsidR="009F455B" w:rsidRPr="00EC6C01" w14:paraId="5B3732E6" w14:textId="77777777" w:rsidTr="00AB26EE">
        <w:trPr>
          <w:trHeight w:val="288"/>
        </w:trPr>
        <w:tc>
          <w:tcPr>
            <w:tcW w:w="2119" w:type="dxa"/>
            <w:shd w:val="clear" w:color="auto" w:fill="auto"/>
            <w:hideMark/>
          </w:tcPr>
          <w:p w14:paraId="63CBBA9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Crop production index</w:t>
            </w:r>
          </w:p>
        </w:tc>
        <w:tc>
          <w:tcPr>
            <w:tcW w:w="1134" w:type="dxa"/>
            <w:shd w:val="clear" w:color="auto" w:fill="auto"/>
            <w:noWrap/>
            <w:hideMark/>
          </w:tcPr>
          <w:p w14:paraId="19C1FD1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4217F53C"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r>
              <w:rPr>
                <w:rFonts w:ascii="Times New Roman" w:eastAsia="Times New Roman" w:hAnsi="Times New Roman" w:cs="Times New Roman"/>
                <w:sz w:val="20"/>
                <w:szCs w:val="20"/>
                <w:lang w:eastAsia="en-GB"/>
              </w:rPr>
              <w:t>-</w:t>
            </w:r>
          </w:p>
        </w:tc>
        <w:tc>
          <w:tcPr>
            <w:tcW w:w="1134" w:type="dxa"/>
          </w:tcPr>
          <w:p w14:paraId="2C27E56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119760E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76D4D4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0.00042</w:t>
            </w:r>
            <w:r>
              <w:rPr>
                <w:rFonts w:ascii="Calibri" w:eastAsia="Times New Roman" w:hAnsi="Calibri" w:cs="Calibri"/>
                <w:color w:val="000000"/>
                <w:sz w:val="20"/>
                <w:szCs w:val="20"/>
                <w:lang w:eastAsia="en-GB"/>
              </w:rPr>
              <w:t>*</w:t>
            </w:r>
          </w:p>
        </w:tc>
        <w:tc>
          <w:tcPr>
            <w:tcW w:w="993" w:type="dxa"/>
            <w:shd w:val="clear" w:color="auto" w:fill="auto"/>
            <w:noWrap/>
            <w:hideMark/>
          </w:tcPr>
          <w:p w14:paraId="373A114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0.00144</w:t>
            </w:r>
          </w:p>
        </w:tc>
        <w:tc>
          <w:tcPr>
            <w:tcW w:w="1134" w:type="dxa"/>
          </w:tcPr>
          <w:p w14:paraId="49B4C5A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370F65B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4BF0E3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-0.00328</w:t>
            </w:r>
            <w:r>
              <w:rPr>
                <w:rFonts w:ascii="Calibri" w:eastAsia="Times New Roman" w:hAnsi="Calibri" w:cs="Calibri"/>
                <w:color w:val="000000"/>
                <w:sz w:val="20"/>
                <w:szCs w:val="20"/>
                <w:lang w:eastAsia="en-GB"/>
              </w:rPr>
              <w:t>*</w:t>
            </w:r>
          </w:p>
        </w:tc>
        <w:tc>
          <w:tcPr>
            <w:tcW w:w="1134" w:type="dxa"/>
            <w:shd w:val="clear" w:color="auto" w:fill="auto"/>
            <w:noWrap/>
            <w:hideMark/>
          </w:tcPr>
          <w:p w14:paraId="1090B51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0.00427</w:t>
            </w:r>
          </w:p>
        </w:tc>
        <w:tc>
          <w:tcPr>
            <w:tcW w:w="1276" w:type="dxa"/>
          </w:tcPr>
          <w:p w14:paraId="1A80D34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0.997</w:t>
            </w:r>
          </w:p>
        </w:tc>
      </w:tr>
      <w:tr w:rsidR="009F455B" w:rsidRPr="00EC6C01" w14:paraId="76CC165A" w14:textId="77777777" w:rsidTr="00AB26EE">
        <w:trPr>
          <w:trHeight w:val="576"/>
        </w:trPr>
        <w:tc>
          <w:tcPr>
            <w:tcW w:w="2119" w:type="dxa"/>
            <w:shd w:val="clear" w:color="auto" w:fill="auto"/>
            <w:hideMark/>
          </w:tcPr>
          <w:p w14:paraId="6FA87A0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Total production from forestry</w:t>
            </w:r>
          </w:p>
        </w:tc>
        <w:tc>
          <w:tcPr>
            <w:tcW w:w="1134" w:type="dxa"/>
            <w:shd w:val="clear" w:color="auto" w:fill="auto"/>
            <w:noWrap/>
            <w:hideMark/>
          </w:tcPr>
          <w:p w14:paraId="2D5EE5B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2C9E8E2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59BFE8E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32578A8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6369A93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993" w:type="dxa"/>
            <w:shd w:val="clear" w:color="auto" w:fill="auto"/>
            <w:noWrap/>
            <w:hideMark/>
          </w:tcPr>
          <w:p w14:paraId="678CA25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p>
        </w:tc>
        <w:tc>
          <w:tcPr>
            <w:tcW w:w="1134" w:type="dxa"/>
          </w:tcPr>
          <w:p w14:paraId="193C4F1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39B26E9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0D492C7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1134" w:type="dxa"/>
            <w:shd w:val="clear" w:color="auto" w:fill="auto"/>
            <w:noWrap/>
            <w:hideMark/>
          </w:tcPr>
          <w:p w14:paraId="4B3A842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p>
        </w:tc>
        <w:tc>
          <w:tcPr>
            <w:tcW w:w="1276" w:type="dxa"/>
          </w:tcPr>
          <w:p w14:paraId="1EECA03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1C306F2B" w14:textId="77777777" w:rsidTr="00AB26EE">
        <w:trPr>
          <w:trHeight w:val="288"/>
        </w:trPr>
        <w:tc>
          <w:tcPr>
            <w:tcW w:w="2119" w:type="dxa"/>
            <w:tcBorders>
              <w:bottom w:val="single" w:sz="6" w:space="0" w:color="auto"/>
            </w:tcBorders>
            <w:shd w:val="clear" w:color="auto" w:fill="auto"/>
            <w:hideMark/>
          </w:tcPr>
          <w:p w14:paraId="0E8284D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lastRenderedPageBreak/>
              <w:t>Forest remaining</w:t>
            </w:r>
          </w:p>
        </w:tc>
        <w:tc>
          <w:tcPr>
            <w:tcW w:w="1134" w:type="dxa"/>
            <w:tcBorders>
              <w:bottom w:val="single" w:sz="6" w:space="0" w:color="auto"/>
            </w:tcBorders>
            <w:shd w:val="clear" w:color="auto" w:fill="auto"/>
            <w:noWrap/>
            <w:hideMark/>
          </w:tcPr>
          <w:p w14:paraId="402FEA0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-0.00014</w:t>
            </w:r>
          </w:p>
        </w:tc>
        <w:tc>
          <w:tcPr>
            <w:tcW w:w="992" w:type="dxa"/>
            <w:tcBorders>
              <w:bottom w:val="single" w:sz="6" w:space="0" w:color="auto"/>
            </w:tcBorders>
            <w:shd w:val="clear" w:color="auto" w:fill="auto"/>
            <w:noWrap/>
            <w:hideMark/>
          </w:tcPr>
          <w:p w14:paraId="0931DCE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0.00002</w:t>
            </w:r>
          </w:p>
        </w:tc>
        <w:tc>
          <w:tcPr>
            <w:tcW w:w="1134" w:type="dxa"/>
            <w:tcBorders>
              <w:bottom w:val="single" w:sz="6" w:space="0" w:color="auto"/>
            </w:tcBorders>
          </w:tcPr>
          <w:p w14:paraId="58F4FD0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6" w:space="0" w:color="auto"/>
            </w:tcBorders>
          </w:tcPr>
          <w:p w14:paraId="499D128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tcBorders>
              <w:bottom w:val="single" w:sz="6" w:space="0" w:color="auto"/>
            </w:tcBorders>
            <w:shd w:val="clear" w:color="auto" w:fill="auto"/>
            <w:noWrap/>
            <w:hideMark/>
          </w:tcPr>
          <w:p w14:paraId="29DD667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-0.00017</w:t>
            </w:r>
            <w:r>
              <w:rPr>
                <w:rFonts w:ascii="Calibri" w:eastAsia="Times New Roman" w:hAnsi="Calibri" w:cs="Calibri"/>
                <w:color w:val="000000"/>
                <w:sz w:val="20"/>
                <w:szCs w:val="20"/>
                <w:lang w:eastAsia="en-GB"/>
              </w:rPr>
              <w:t>*</w:t>
            </w:r>
          </w:p>
        </w:tc>
        <w:tc>
          <w:tcPr>
            <w:tcW w:w="993" w:type="dxa"/>
            <w:tcBorders>
              <w:bottom w:val="single" w:sz="6" w:space="0" w:color="auto"/>
            </w:tcBorders>
            <w:shd w:val="clear" w:color="auto" w:fill="auto"/>
            <w:noWrap/>
            <w:hideMark/>
          </w:tcPr>
          <w:p w14:paraId="2DB1BD4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0.00003</w:t>
            </w:r>
          </w:p>
        </w:tc>
        <w:tc>
          <w:tcPr>
            <w:tcW w:w="1134" w:type="dxa"/>
            <w:tcBorders>
              <w:bottom w:val="single" w:sz="6" w:space="0" w:color="auto"/>
            </w:tcBorders>
          </w:tcPr>
          <w:p w14:paraId="16B6130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6" w:space="0" w:color="auto"/>
            </w:tcBorders>
          </w:tcPr>
          <w:p w14:paraId="6205822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tcBorders>
              <w:bottom w:val="single" w:sz="6" w:space="0" w:color="auto"/>
            </w:tcBorders>
            <w:shd w:val="clear" w:color="auto" w:fill="auto"/>
            <w:noWrap/>
            <w:hideMark/>
          </w:tcPr>
          <w:p w14:paraId="0860223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-0.00013</w:t>
            </w:r>
            <w:r>
              <w:rPr>
                <w:rFonts w:ascii="Calibri" w:eastAsia="Times New Roman" w:hAnsi="Calibri" w:cs="Calibri"/>
                <w:color w:val="000000"/>
                <w:sz w:val="20"/>
                <w:szCs w:val="20"/>
                <w:lang w:eastAsia="en-GB"/>
              </w:rPr>
              <w:t>*</w:t>
            </w:r>
          </w:p>
        </w:tc>
        <w:tc>
          <w:tcPr>
            <w:tcW w:w="1134" w:type="dxa"/>
            <w:tcBorders>
              <w:bottom w:val="single" w:sz="6" w:space="0" w:color="auto"/>
            </w:tcBorders>
            <w:shd w:val="clear" w:color="auto" w:fill="auto"/>
            <w:noWrap/>
            <w:hideMark/>
          </w:tcPr>
          <w:p w14:paraId="6B0D42F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0.00003</w:t>
            </w:r>
          </w:p>
        </w:tc>
        <w:tc>
          <w:tcPr>
            <w:tcW w:w="1276" w:type="dxa"/>
            <w:tcBorders>
              <w:bottom w:val="single" w:sz="6" w:space="0" w:color="auto"/>
            </w:tcBorders>
          </w:tcPr>
          <w:p w14:paraId="76CFC7C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32926878" w14:textId="77777777" w:rsidTr="00AB26EE">
        <w:trPr>
          <w:trHeight w:val="288"/>
        </w:trPr>
        <w:tc>
          <w:tcPr>
            <w:tcW w:w="2119" w:type="dxa"/>
            <w:tcBorders>
              <w:top w:val="single" w:sz="6" w:space="0" w:color="auto"/>
            </w:tcBorders>
            <w:shd w:val="clear" w:color="auto" w:fill="auto"/>
            <w:noWrap/>
            <w:hideMark/>
          </w:tcPr>
          <w:p w14:paraId="092595EC"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Producer prices</w:t>
            </w:r>
          </w:p>
        </w:tc>
        <w:tc>
          <w:tcPr>
            <w:tcW w:w="1134" w:type="dxa"/>
            <w:tcBorders>
              <w:top w:val="single" w:sz="6" w:space="0" w:color="auto"/>
            </w:tcBorders>
            <w:shd w:val="clear" w:color="auto" w:fill="auto"/>
            <w:noWrap/>
            <w:hideMark/>
          </w:tcPr>
          <w:p w14:paraId="01F53549"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992" w:type="dxa"/>
            <w:tcBorders>
              <w:top w:val="single" w:sz="6" w:space="0" w:color="auto"/>
            </w:tcBorders>
            <w:shd w:val="clear" w:color="auto" w:fill="auto"/>
            <w:noWrap/>
            <w:hideMark/>
          </w:tcPr>
          <w:p w14:paraId="3709EDFD"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tcPr>
          <w:p w14:paraId="12FBCCCB"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6" w:space="0" w:color="auto"/>
            </w:tcBorders>
          </w:tcPr>
          <w:p w14:paraId="60EC55F8"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shd w:val="clear" w:color="auto" w:fill="auto"/>
            <w:noWrap/>
            <w:hideMark/>
          </w:tcPr>
          <w:p w14:paraId="65AAFD35"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993" w:type="dxa"/>
            <w:tcBorders>
              <w:top w:val="single" w:sz="6" w:space="0" w:color="auto"/>
            </w:tcBorders>
            <w:shd w:val="clear" w:color="auto" w:fill="auto"/>
            <w:noWrap/>
            <w:hideMark/>
          </w:tcPr>
          <w:p w14:paraId="6BC0CC98"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tcPr>
          <w:p w14:paraId="5E75C419"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6" w:space="0" w:color="auto"/>
            </w:tcBorders>
          </w:tcPr>
          <w:p w14:paraId="66F0EE0A"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559" w:type="dxa"/>
            <w:tcBorders>
              <w:top w:val="single" w:sz="6" w:space="0" w:color="auto"/>
            </w:tcBorders>
            <w:shd w:val="clear" w:color="auto" w:fill="auto"/>
            <w:noWrap/>
            <w:hideMark/>
          </w:tcPr>
          <w:p w14:paraId="43E8D23F"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shd w:val="clear" w:color="auto" w:fill="auto"/>
            <w:noWrap/>
            <w:hideMark/>
          </w:tcPr>
          <w:p w14:paraId="55D681D8"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276" w:type="dxa"/>
            <w:tcBorders>
              <w:top w:val="single" w:sz="6" w:space="0" w:color="auto"/>
            </w:tcBorders>
          </w:tcPr>
          <w:p w14:paraId="214015D6"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r>
      <w:tr w:rsidR="009F455B" w:rsidRPr="00EC6C01" w14:paraId="2D43508B" w14:textId="77777777" w:rsidTr="00AB26EE">
        <w:trPr>
          <w:trHeight w:val="288"/>
        </w:trPr>
        <w:tc>
          <w:tcPr>
            <w:tcW w:w="2119" w:type="dxa"/>
            <w:shd w:val="clear" w:color="auto" w:fill="auto"/>
            <w:hideMark/>
          </w:tcPr>
          <w:p w14:paraId="35BE802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corn</w:t>
            </w:r>
          </w:p>
        </w:tc>
        <w:tc>
          <w:tcPr>
            <w:tcW w:w="1134" w:type="dxa"/>
            <w:shd w:val="clear" w:color="auto" w:fill="auto"/>
            <w:noWrap/>
            <w:hideMark/>
          </w:tcPr>
          <w:p w14:paraId="68468F8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0.00415</w:t>
            </w:r>
          </w:p>
        </w:tc>
        <w:tc>
          <w:tcPr>
            <w:tcW w:w="992" w:type="dxa"/>
            <w:shd w:val="clear" w:color="auto" w:fill="auto"/>
            <w:noWrap/>
            <w:hideMark/>
          </w:tcPr>
          <w:p w14:paraId="75FE60C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0.00355</w:t>
            </w:r>
          </w:p>
        </w:tc>
        <w:tc>
          <w:tcPr>
            <w:tcW w:w="1134" w:type="dxa"/>
          </w:tcPr>
          <w:p w14:paraId="3AD3877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1.004</w:t>
            </w:r>
          </w:p>
        </w:tc>
        <w:tc>
          <w:tcPr>
            <w:tcW w:w="283" w:type="dxa"/>
          </w:tcPr>
          <w:p w14:paraId="60018E1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6B5E83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0.01093</w:t>
            </w:r>
            <w:r>
              <w:rPr>
                <w:rFonts w:ascii="Calibri" w:eastAsia="Times New Roman" w:hAnsi="Calibri" w:cs="Calibri"/>
                <w:color w:val="000000"/>
                <w:sz w:val="20"/>
                <w:szCs w:val="20"/>
                <w:lang w:eastAsia="en-GB"/>
              </w:rPr>
              <w:t>*</w:t>
            </w:r>
          </w:p>
        </w:tc>
        <w:tc>
          <w:tcPr>
            <w:tcW w:w="993" w:type="dxa"/>
            <w:shd w:val="clear" w:color="auto" w:fill="auto"/>
            <w:noWrap/>
            <w:hideMark/>
          </w:tcPr>
          <w:p w14:paraId="7B9A859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0.00240</w:t>
            </w:r>
          </w:p>
        </w:tc>
        <w:tc>
          <w:tcPr>
            <w:tcW w:w="1134" w:type="dxa"/>
          </w:tcPr>
          <w:p w14:paraId="72038BC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1.011</w:t>
            </w:r>
          </w:p>
        </w:tc>
        <w:tc>
          <w:tcPr>
            <w:tcW w:w="283" w:type="dxa"/>
          </w:tcPr>
          <w:p w14:paraId="0D164BC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2B66D0B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0.00014</w:t>
            </w:r>
            <w:r>
              <w:rPr>
                <w:rFonts w:ascii="Calibri" w:eastAsia="Times New Roman" w:hAnsi="Calibri" w:cs="Calibri"/>
                <w:color w:val="000000"/>
                <w:sz w:val="20"/>
                <w:szCs w:val="20"/>
                <w:lang w:eastAsia="en-GB"/>
              </w:rPr>
              <w:t>*</w:t>
            </w:r>
          </w:p>
        </w:tc>
        <w:tc>
          <w:tcPr>
            <w:tcW w:w="1134" w:type="dxa"/>
            <w:shd w:val="clear" w:color="auto" w:fill="auto"/>
            <w:noWrap/>
            <w:hideMark/>
          </w:tcPr>
          <w:p w14:paraId="2261BCC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0.00081</w:t>
            </w:r>
          </w:p>
        </w:tc>
        <w:tc>
          <w:tcPr>
            <w:tcW w:w="1276" w:type="dxa"/>
          </w:tcPr>
          <w:p w14:paraId="1A93A59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485C5AB6" w14:textId="77777777" w:rsidTr="00AB26EE">
        <w:trPr>
          <w:trHeight w:val="288"/>
        </w:trPr>
        <w:tc>
          <w:tcPr>
            <w:tcW w:w="2119" w:type="dxa"/>
            <w:shd w:val="clear" w:color="auto" w:fill="auto"/>
            <w:hideMark/>
          </w:tcPr>
          <w:p w14:paraId="0A75A61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rice</w:t>
            </w:r>
          </w:p>
        </w:tc>
        <w:tc>
          <w:tcPr>
            <w:tcW w:w="1134" w:type="dxa"/>
            <w:shd w:val="clear" w:color="auto" w:fill="auto"/>
            <w:noWrap/>
            <w:hideMark/>
          </w:tcPr>
          <w:p w14:paraId="5E7064D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-0.02465</w:t>
            </w:r>
          </w:p>
        </w:tc>
        <w:tc>
          <w:tcPr>
            <w:tcW w:w="992" w:type="dxa"/>
            <w:shd w:val="clear" w:color="auto" w:fill="auto"/>
            <w:noWrap/>
            <w:hideMark/>
          </w:tcPr>
          <w:p w14:paraId="18D877D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0.00436</w:t>
            </w:r>
          </w:p>
        </w:tc>
        <w:tc>
          <w:tcPr>
            <w:tcW w:w="1134" w:type="dxa"/>
          </w:tcPr>
          <w:p w14:paraId="4379A19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0.976</w:t>
            </w:r>
          </w:p>
        </w:tc>
        <w:tc>
          <w:tcPr>
            <w:tcW w:w="283" w:type="dxa"/>
          </w:tcPr>
          <w:p w14:paraId="2C38B95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172BA4F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0.00452</w:t>
            </w:r>
            <w:r>
              <w:rPr>
                <w:rFonts w:ascii="Calibri" w:eastAsia="Times New Roman" w:hAnsi="Calibri" w:cs="Calibri"/>
                <w:color w:val="000000"/>
                <w:sz w:val="20"/>
                <w:szCs w:val="20"/>
                <w:lang w:eastAsia="en-GB"/>
              </w:rPr>
              <w:t>*</w:t>
            </w:r>
          </w:p>
        </w:tc>
        <w:tc>
          <w:tcPr>
            <w:tcW w:w="993" w:type="dxa"/>
            <w:shd w:val="clear" w:color="auto" w:fill="auto"/>
            <w:noWrap/>
            <w:hideMark/>
          </w:tcPr>
          <w:p w14:paraId="00634C9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0.00564</w:t>
            </w:r>
          </w:p>
        </w:tc>
        <w:tc>
          <w:tcPr>
            <w:tcW w:w="1134" w:type="dxa"/>
          </w:tcPr>
          <w:p w14:paraId="7C7E795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1.005</w:t>
            </w:r>
          </w:p>
        </w:tc>
        <w:tc>
          <w:tcPr>
            <w:tcW w:w="283" w:type="dxa"/>
          </w:tcPr>
          <w:p w14:paraId="1B03320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4A2991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0.01258</w:t>
            </w:r>
            <w:r>
              <w:rPr>
                <w:rFonts w:ascii="Calibri" w:eastAsia="Times New Roman" w:hAnsi="Calibri" w:cs="Calibri"/>
                <w:color w:val="000000"/>
                <w:sz w:val="20"/>
                <w:szCs w:val="20"/>
                <w:lang w:eastAsia="en-GB"/>
              </w:rPr>
              <w:t>*</w:t>
            </w:r>
          </w:p>
        </w:tc>
        <w:tc>
          <w:tcPr>
            <w:tcW w:w="1134" w:type="dxa"/>
            <w:shd w:val="clear" w:color="auto" w:fill="auto"/>
            <w:noWrap/>
            <w:hideMark/>
          </w:tcPr>
          <w:p w14:paraId="4CD81F2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0.00474</w:t>
            </w:r>
          </w:p>
        </w:tc>
        <w:tc>
          <w:tcPr>
            <w:tcW w:w="1276" w:type="dxa"/>
          </w:tcPr>
          <w:p w14:paraId="1A3041E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1.013</w:t>
            </w:r>
          </w:p>
        </w:tc>
      </w:tr>
      <w:tr w:rsidR="009F455B" w:rsidRPr="00EC6C01" w14:paraId="6DB77EDC" w14:textId="77777777" w:rsidTr="00AB26EE">
        <w:trPr>
          <w:trHeight w:val="288"/>
        </w:trPr>
        <w:tc>
          <w:tcPr>
            <w:tcW w:w="2119" w:type="dxa"/>
            <w:shd w:val="clear" w:color="auto" w:fill="auto"/>
            <w:hideMark/>
          </w:tcPr>
          <w:p w14:paraId="1A10C94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rubber</w:t>
            </w:r>
          </w:p>
        </w:tc>
        <w:tc>
          <w:tcPr>
            <w:tcW w:w="1134" w:type="dxa"/>
            <w:shd w:val="clear" w:color="auto" w:fill="auto"/>
            <w:noWrap/>
            <w:hideMark/>
          </w:tcPr>
          <w:p w14:paraId="110604A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0.03424</w:t>
            </w:r>
          </w:p>
        </w:tc>
        <w:tc>
          <w:tcPr>
            <w:tcW w:w="992" w:type="dxa"/>
            <w:shd w:val="clear" w:color="auto" w:fill="auto"/>
            <w:noWrap/>
            <w:hideMark/>
          </w:tcPr>
          <w:p w14:paraId="2EEE4BE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0.00401</w:t>
            </w:r>
          </w:p>
        </w:tc>
        <w:tc>
          <w:tcPr>
            <w:tcW w:w="1134" w:type="dxa"/>
          </w:tcPr>
          <w:p w14:paraId="06E365D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1.035</w:t>
            </w:r>
          </w:p>
        </w:tc>
        <w:tc>
          <w:tcPr>
            <w:tcW w:w="283" w:type="dxa"/>
          </w:tcPr>
          <w:p w14:paraId="5CC7B3E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44DEFA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-0.00075</w:t>
            </w:r>
            <w:r>
              <w:rPr>
                <w:rFonts w:ascii="Calibri" w:eastAsia="Times New Roman" w:hAnsi="Calibri" w:cs="Calibri"/>
                <w:color w:val="000000"/>
                <w:sz w:val="20"/>
                <w:szCs w:val="20"/>
                <w:lang w:eastAsia="en-GB"/>
              </w:rPr>
              <w:t>*</w:t>
            </w:r>
          </w:p>
        </w:tc>
        <w:tc>
          <w:tcPr>
            <w:tcW w:w="993" w:type="dxa"/>
            <w:shd w:val="clear" w:color="auto" w:fill="auto"/>
            <w:noWrap/>
            <w:hideMark/>
          </w:tcPr>
          <w:p w14:paraId="6CF0874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0.00228</w:t>
            </w:r>
          </w:p>
        </w:tc>
        <w:tc>
          <w:tcPr>
            <w:tcW w:w="1134" w:type="dxa"/>
          </w:tcPr>
          <w:p w14:paraId="6281A67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0.999</w:t>
            </w:r>
          </w:p>
        </w:tc>
        <w:tc>
          <w:tcPr>
            <w:tcW w:w="283" w:type="dxa"/>
          </w:tcPr>
          <w:p w14:paraId="22DD46E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1DF5F3E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-0.00431</w:t>
            </w:r>
            <w:r>
              <w:rPr>
                <w:rFonts w:ascii="Calibri" w:eastAsia="Times New Roman" w:hAnsi="Calibri" w:cs="Calibri"/>
                <w:color w:val="000000"/>
                <w:sz w:val="20"/>
                <w:szCs w:val="20"/>
                <w:lang w:eastAsia="en-GB"/>
              </w:rPr>
              <w:t>*</w:t>
            </w:r>
          </w:p>
        </w:tc>
        <w:tc>
          <w:tcPr>
            <w:tcW w:w="1134" w:type="dxa"/>
            <w:shd w:val="clear" w:color="auto" w:fill="auto"/>
            <w:noWrap/>
            <w:hideMark/>
          </w:tcPr>
          <w:p w14:paraId="7F9B5CB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0.00467</w:t>
            </w:r>
          </w:p>
        </w:tc>
        <w:tc>
          <w:tcPr>
            <w:tcW w:w="1276" w:type="dxa"/>
          </w:tcPr>
          <w:p w14:paraId="0640598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0.996</w:t>
            </w:r>
          </w:p>
        </w:tc>
      </w:tr>
      <w:tr w:rsidR="009F455B" w:rsidRPr="00EC6C01" w14:paraId="6165A9C4" w14:textId="77777777" w:rsidTr="00AB26EE">
        <w:trPr>
          <w:trHeight w:val="288"/>
        </w:trPr>
        <w:tc>
          <w:tcPr>
            <w:tcW w:w="2119" w:type="dxa"/>
            <w:shd w:val="clear" w:color="auto" w:fill="auto"/>
            <w:hideMark/>
          </w:tcPr>
          <w:p w14:paraId="338AB09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sugar</w:t>
            </w:r>
          </w:p>
        </w:tc>
        <w:tc>
          <w:tcPr>
            <w:tcW w:w="1134" w:type="dxa"/>
            <w:shd w:val="clear" w:color="auto" w:fill="auto"/>
            <w:noWrap/>
            <w:hideMark/>
          </w:tcPr>
          <w:p w14:paraId="6AA45AD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992" w:type="dxa"/>
            <w:shd w:val="clear" w:color="auto" w:fill="auto"/>
            <w:noWrap/>
            <w:hideMark/>
          </w:tcPr>
          <w:p w14:paraId="3E3E558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0.00010</w:t>
            </w:r>
          </w:p>
        </w:tc>
        <w:tc>
          <w:tcPr>
            <w:tcW w:w="1134" w:type="dxa"/>
          </w:tcPr>
          <w:p w14:paraId="7864114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31F8C17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2F21D94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0.00016</w:t>
            </w:r>
            <w:r>
              <w:rPr>
                <w:rFonts w:ascii="Calibri" w:eastAsia="Times New Roman" w:hAnsi="Calibri" w:cs="Calibri"/>
                <w:color w:val="000000"/>
                <w:sz w:val="20"/>
                <w:szCs w:val="20"/>
                <w:lang w:eastAsia="en-GB"/>
              </w:rPr>
              <w:t>*</w:t>
            </w:r>
          </w:p>
        </w:tc>
        <w:tc>
          <w:tcPr>
            <w:tcW w:w="993" w:type="dxa"/>
            <w:shd w:val="clear" w:color="auto" w:fill="auto"/>
            <w:noWrap/>
            <w:hideMark/>
          </w:tcPr>
          <w:p w14:paraId="409A433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0.00018</w:t>
            </w:r>
          </w:p>
        </w:tc>
        <w:tc>
          <w:tcPr>
            <w:tcW w:w="1134" w:type="dxa"/>
          </w:tcPr>
          <w:p w14:paraId="7911E34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3E4836F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737263D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1134" w:type="dxa"/>
            <w:shd w:val="clear" w:color="auto" w:fill="auto"/>
            <w:noWrap/>
            <w:hideMark/>
          </w:tcPr>
          <w:p w14:paraId="066D50C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0.00006</w:t>
            </w:r>
          </w:p>
        </w:tc>
        <w:tc>
          <w:tcPr>
            <w:tcW w:w="1276" w:type="dxa"/>
          </w:tcPr>
          <w:p w14:paraId="2AC1A1B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7341B152" w14:textId="77777777" w:rsidTr="00AB26EE">
        <w:trPr>
          <w:trHeight w:val="288"/>
        </w:trPr>
        <w:tc>
          <w:tcPr>
            <w:tcW w:w="2119" w:type="dxa"/>
            <w:shd w:val="clear" w:color="auto" w:fill="auto"/>
            <w:hideMark/>
          </w:tcPr>
          <w:p w14:paraId="142EBE9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cassava</w:t>
            </w:r>
          </w:p>
        </w:tc>
        <w:tc>
          <w:tcPr>
            <w:tcW w:w="1134" w:type="dxa"/>
            <w:shd w:val="clear" w:color="auto" w:fill="auto"/>
            <w:noWrap/>
            <w:hideMark/>
          </w:tcPr>
          <w:p w14:paraId="6051658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0.00032</w:t>
            </w:r>
          </w:p>
        </w:tc>
        <w:tc>
          <w:tcPr>
            <w:tcW w:w="992" w:type="dxa"/>
            <w:shd w:val="clear" w:color="auto" w:fill="auto"/>
            <w:noWrap/>
            <w:hideMark/>
          </w:tcPr>
          <w:p w14:paraId="2DB1470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0.00123</w:t>
            </w:r>
          </w:p>
        </w:tc>
        <w:tc>
          <w:tcPr>
            <w:tcW w:w="1134" w:type="dxa"/>
          </w:tcPr>
          <w:p w14:paraId="04FFE1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6786E0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C6BC69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0.00006</w:t>
            </w:r>
            <w:r>
              <w:rPr>
                <w:rFonts w:ascii="Calibri" w:eastAsia="Times New Roman" w:hAnsi="Calibri" w:cs="Calibri"/>
                <w:color w:val="000000"/>
                <w:sz w:val="20"/>
                <w:szCs w:val="20"/>
                <w:lang w:eastAsia="en-GB"/>
              </w:rPr>
              <w:t>*</w:t>
            </w:r>
          </w:p>
        </w:tc>
        <w:tc>
          <w:tcPr>
            <w:tcW w:w="993" w:type="dxa"/>
            <w:shd w:val="clear" w:color="auto" w:fill="auto"/>
            <w:noWrap/>
            <w:hideMark/>
          </w:tcPr>
          <w:p w14:paraId="0DAE2A5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0.00076</w:t>
            </w:r>
          </w:p>
        </w:tc>
        <w:tc>
          <w:tcPr>
            <w:tcW w:w="1134" w:type="dxa"/>
          </w:tcPr>
          <w:p w14:paraId="6D9BB1E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0906059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4711AE7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-0.01791</w:t>
            </w:r>
            <w:r>
              <w:rPr>
                <w:rFonts w:ascii="Calibri" w:eastAsia="Times New Roman" w:hAnsi="Calibri" w:cs="Calibri"/>
                <w:color w:val="000000"/>
                <w:sz w:val="20"/>
                <w:szCs w:val="20"/>
                <w:lang w:eastAsia="en-GB"/>
              </w:rPr>
              <w:t>*</w:t>
            </w:r>
          </w:p>
        </w:tc>
        <w:tc>
          <w:tcPr>
            <w:tcW w:w="1134" w:type="dxa"/>
            <w:shd w:val="clear" w:color="auto" w:fill="auto"/>
            <w:noWrap/>
            <w:hideMark/>
          </w:tcPr>
          <w:p w14:paraId="0C5E52E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0.00214</w:t>
            </w:r>
          </w:p>
        </w:tc>
        <w:tc>
          <w:tcPr>
            <w:tcW w:w="1276" w:type="dxa"/>
          </w:tcPr>
          <w:p w14:paraId="199E918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0.982</w:t>
            </w:r>
          </w:p>
        </w:tc>
      </w:tr>
      <w:tr w:rsidR="009F455B" w:rsidRPr="00EC6C01" w14:paraId="27DE581C" w14:textId="77777777" w:rsidTr="00AB26EE">
        <w:trPr>
          <w:trHeight w:val="288"/>
        </w:trPr>
        <w:tc>
          <w:tcPr>
            <w:tcW w:w="2119" w:type="dxa"/>
            <w:tcBorders>
              <w:bottom w:val="single" w:sz="12" w:space="0" w:color="auto"/>
            </w:tcBorders>
            <w:shd w:val="clear" w:color="auto" w:fill="auto"/>
            <w:hideMark/>
          </w:tcPr>
          <w:p w14:paraId="3A3C895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Forest remaining</w:t>
            </w:r>
          </w:p>
        </w:tc>
        <w:tc>
          <w:tcPr>
            <w:tcW w:w="1134" w:type="dxa"/>
            <w:tcBorders>
              <w:bottom w:val="single" w:sz="12" w:space="0" w:color="auto"/>
            </w:tcBorders>
            <w:shd w:val="clear" w:color="auto" w:fill="auto"/>
            <w:noWrap/>
            <w:hideMark/>
          </w:tcPr>
          <w:p w14:paraId="3F6E378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-0.00023</w:t>
            </w:r>
          </w:p>
        </w:tc>
        <w:tc>
          <w:tcPr>
            <w:tcW w:w="992" w:type="dxa"/>
            <w:tcBorders>
              <w:bottom w:val="single" w:sz="12" w:space="0" w:color="auto"/>
            </w:tcBorders>
            <w:shd w:val="clear" w:color="auto" w:fill="auto"/>
            <w:noWrap/>
            <w:hideMark/>
          </w:tcPr>
          <w:p w14:paraId="0256381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1134" w:type="dxa"/>
            <w:tcBorders>
              <w:bottom w:val="single" w:sz="12" w:space="0" w:color="auto"/>
            </w:tcBorders>
          </w:tcPr>
          <w:p w14:paraId="40B2038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12" w:space="0" w:color="auto"/>
            </w:tcBorders>
          </w:tcPr>
          <w:p w14:paraId="083EF91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tcBorders>
              <w:bottom w:val="single" w:sz="12" w:space="0" w:color="auto"/>
            </w:tcBorders>
            <w:shd w:val="clear" w:color="auto" w:fill="auto"/>
            <w:noWrap/>
            <w:hideMark/>
          </w:tcPr>
          <w:p w14:paraId="72E7A38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-0.00015</w:t>
            </w:r>
            <w:r>
              <w:rPr>
                <w:rFonts w:ascii="Calibri" w:eastAsia="Times New Roman" w:hAnsi="Calibri" w:cs="Calibri"/>
                <w:color w:val="000000"/>
                <w:sz w:val="20"/>
                <w:szCs w:val="20"/>
                <w:lang w:eastAsia="en-GB"/>
              </w:rPr>
              <w:t>*</w:t>
            </w:r>
          </w:p>
        </w:tc>
        <w:tc>
          <w:tcPr>
            <w:tcW w:w="993" w:type="dxa"/>
            <w:tcBorders>
              <w:bottom w:val="single" w:sz="12" w:space="0" w:color="auto"/>
            </w:tcBorders>
            <w:shd w:val="clear" w:color="auto" w:fill="auto"/>
            <w:noWrap/>
            <w:hideMark/>
          </w:tcPr>
          <w:p w14:paraId="3B7A462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1134" w:type="dxa"/>
            <w:tcBorders>
              <w:bottom w:val="single" w:sz="12" w:space="0" w:color="auto"/>
            </w:tcBorders>
          </w:tcPr>
          <w:p w14:paraId="5CE1BEE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12" w:space="0" w:color="auto"/>
            </w:tcBorders>
          </w:tcPr>
          <w:p w14:paraId="5B65660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tcBorders>
              <w:bottom w:val="single" w:sz="12" w:space="0" w:color="auto"/>
            </w:tcBorders>
            <w:shd w:val="clear" w:color="auto" w:fill="auto"/>
            <w:noWrap/>
            <w:hideMark/>
          </w:tcPr>
          <w:p w14:paraId="5C07162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-0.00013</w:t>
            </w:r>
            <w:r>
              <w:rPr>
                <w:rFonts w:ascii="Calibri" w:eastAsia="Times New Roman" w:hAnsi="Calibri" w:cs="Calibri"/>
                <w:color w:val="000000"/>
                <w:sz w:val="20"/>
                <w:szCs w:val="20"/>
                <w:lang w:eastAsia="en-GB"/>
              </w:rPr>
              <w:t>*</w:t>
            </w:r>
          </w:p>
        </w:tc>
        <w:tc>
          <w:tcPr>
            <w:tcW w:w="1134" w:type="dxa"/>
            <w:tcBorders>
              <w:bottom w:val="single" w:sz="12" w:space="0" w:color="auto"/>
            </w:tcBorders>
            <w:shd w:val="clear" w:color="auto" w:fill="auto"/>
            <w:noWrap/>
            <w:hideMark/>
          </w:tcPr>
          <w:p w14:paraId="16E964D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1276" w:type="dxa"/>
            <w:tcBorders>
              <w:bottom w:val="single" w:sz="12" w:space="0" w:color="auto"/>
            </w:tcBorders>
          </w:tcPr>
          <w:p w14:paraId="12CEF01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bl>
    <w:p w14:paraId="17E70044" w14:textId="2B5C9B12" w:rsidR="009F455B" w:rsidRDefault="009F455B" w:rsidP="009F455B">
      <w:pPr>
        <w:spacing w:after="0" w:line="240" w:lineRule="auto"/>
        <w:rPr>
          <w:sz w:val="18"/>
          <w:szCs w:val="18"/>
        </w:rPr>
      </w:pPr>
      <w:r w:rsidRPr="00B41CFA">
        <w:rPr>
          <w:sz w:val="18"/>
          <w:szCs w:val="18"/>
        </w:rPr>
        <w:t xml:space="preserve">* Coefficients derived from full averaging of models within </w:t>
      </w:r>
      <w:proofErr w:type="spellStart"/>
      <w:r w:rsidRPr="00B41CFA">
        <w:rPr>
          <w:sz w:val="18"/>
          <w:szCs w:val="18"/>
        </w:rPr>
        <w:t>dAIC</w:t>
      </w:r>
      <w:proofErr w:type="spellEnd"/>
      <w:r w:rsidRPr="00B41CFA">
        <w:rPr>
          <w:sz w:val="18"/>
          <w:szCs w:val="18"/>
        </w:rPr>
        <w:t xml:space="preserve"> &lt; 6. </w:t>
      </w:r>
      <w:r w:rsidR="00CC4F5A">
        <w:rPr>
          <w:sz w:val="18"/>
          <w:szCs w:val="18"/>
        </w:rPr>
        <w:t>In some cases there was a single top model and therefore model averaging was not necessary.</w:t>
      </w:r>
    </w:p>
    <w:p w14:paraId="1401FF3B" w14:textId="77777777" w:rsidR="009F455B" w:rsidRDefault="009F455B" w:rsidP="009F455B">
      <w:pPr>
        <w:spacing w:after="0" w:line="240" w:lineRule="auto"/>
        <w:rPr>
          <w:sz w:val="18"/>
          <w:szCs w:val="18"/>
        </w:rPr>
      </w:pPr>
      <w:r w:rsidRPr="00D05083">
        <w:rPr>
          <w:sz w:val="18"/>
          <w:szCs w:val="18"/>
          <w:vertAlign w:val="superscript"/>
        </w:rPr>
        <w:t>A</w:t>
      </w:r>
      <w:r>
        <w:rPr>
          <w:sz w:val="18"/>
          <w:szCs w:val="18"/>
        </w:rPr>
        <w:t xml:space="preserve"> Rate ratio = exp(coefficient)</w:t>
      </w:r>
    </w:p>
    <w:p w14:paraId="1663FD86" w14:textId="77777777" w:rsidR="009F455B" w:rsidRDefault="009F455B" w:rsidP="000A46B5">
      <w:pPr>
        <w:sectPr w:rsidR="009F455B" w:rsidSect="009F455B">
          <w:pgSz w:w="16838" w:h="11906" w:orient="landscape"/>
          <w:pgMar w:top="1440" w:right="1440" w:bottom="1440" w:left="1440" w:header="708" w:footer="708" w:gutter="0"/>
          <w:cols w:space="708"/>
          <w:docGrid w:linePitch="360"/>
        </w:sectPr>
      </w:pPr>
    </w:p>
    <w:p w14:paraId="53D324B7" w14:textId="1E2855AB" w:rsidR="00C84941" w:rsidRDefault="00C84941" w:rsidP="009F455B">
      <w:pPr>
        <w:rPr>
          <w:b/>
          <w:bCs/>
          <w:sz w:val="20"/>
          <w:szCs w:val="20"/>
        </w:rPr>
      </w:pPr>
      <w:r>
        <w:rPr>
          <w:noProof/>
        </w:rPr>
        <w:lastRenderedPageBreak/>
        <w:drawing>
          <wp:inline distT="0" distB="0" distL="0" distR="0" wp14:anchorId="0C6B43D0" wp14:editId="195110CF">
            <wp:extent cx="5731510" cy="5731510"/>
            <wp:effectExtent l="0" t="0" r="2540" b="2540"/>
            <wp:docPr id="2" name="Picture 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Chart&#10;&#10;Description automatically generated with medium confidence"/>
                    <pic:cNvPicPr>
                      <a:picLocks noChangeAspect="1" noChangeArrowheads="1"/>
                    </pic:cNvPicPr>
                  </pic:nvPicPr>
                  <pic:blipFill>
                    <a:blip r:embed="rId9"/>
                    <a:stretch>
                      <a:fillRect/>
                    </a:stretch>
                  </pic:blipFill>
                  <pic:spPr bwMode="auto">
                    <a:xfrm>
                      <a:off x="0" y="0"/>
                      <a:ext cx="5731510" cy="5731510"/>
                    </a:xfrm>
                    <a:prstGeom prst="rect">
                      <a:avLst/>
                    </a:prstGeom>
                  </pic:spPr>
                </pic:pic>
              </a:graphicData>
            </a:graphic>
          </wp:inline>
        </w:drawing>
      </w:r>
    </w:p>
    <w:p w14:paraId="12411C9C" w14:textId="0786768F" w:rsidR="00C84941" w:rsidRPr="00C84941" w:rsidRDefault="00C84941" w:rsidP="00C84941">
      <w:pPr>
        <w:rPr>
          <w:b/>
          <w:bCs/>
          <w:sz w:val="20"/>
          <w:szCs w:val="20"/>
        </w:rPr>
      </w:pPr>
      <w:r w:rsidRPr="00C84941">
        <w:rPr>
          <w:b/>
          <w:bCs/>
          <w:sz w:val="20"/>
          <w:szCs w:val="20"/>
        </w:rPr>
        <w:t>Figure 2. Predicted relationship between rate of forest loss</w:t>
      </w:r>
      <w:r>
        <w:rPr>
          <w:b/>
          <w:bCs/>
          <w:sz w:val="20"/>
          <w:szCs w:val="20"/>
        </w:rPr>
        <w:t xml:space="preserve"> for Cambodia</w:t>
      </w:r>
      <w:r w:rsidRPr="00C84941">
        <w:rPr>
          <w:b/>
          <w:bCs/>
          <w:sz w:val="20"/>
          <w:szCs w:val="20"/>
        </w:rPr>
        <w:t xml:space="preserve"> and macroeconomic variables. All y-axes are the amount of forest lost in km</w:t>
      </w:r>
      <w:r w:rsidRPr="00C84941">
        <w:rPr>
          <w:b/>
          <w:bCs/>
          <w:sz w:val="20"/>
          <w:szCs w:val="20"/>
          <w:vertAlign w:val="superscript"/>
        </w:rPr>
        <w:t>2</w:t>
      </w:r>
      <w:r w:rsidRPr="00C84941">
        <w:rPr>
          <w:b/>
          <w:bCs/>
          <w:sz w:val="20"/>
          <w:szCs w:val="20"/>
        </w:rPr>
        <w:t xml:space="preserve">. </w:t>
      </w:r>
      <w:r w:rsidR="004740E7">
        <w:rPr>
          <w:b/>
          <w:bCs/>
          <w:sz w:val="20"/>
          <w:szCs w:val="20"/>
        </w:rPr>
        <w:t xml:space="preserve">Points are the observed data, thick lines are model predictions, and faded ribbons are 95% confidence intervals. </w:t>
      </w:r>
      <w:r w:rsidRPr="00C84941">
        <w:rPr>
          <w:b/>
          <w:bCs/>
          <w:sz w:val="20"/>
          <w:szCs w:val="20"/>
        </w:rPr>
        <w:t xml:space="preserve">Row a: Gross Domestic Product (GDP), row b: agricultural sectors contribution (%) to GDP, row c: development flows to the agricultural sector (USD millions), row d: development flows to the environment sector (USD millions), row e: Foreign Direct Investment (USD millions).The left column of plots are the effects on forest cover at time t (i.e. the variable values and forest loss values from the same year), the middle column of plots are the effects at time t+1 (i.e. the effects on forest loss in the subsequent year), and the right column of plots are the effects at time t+2 (i.e. the effects on forest loss two years after the variable values). </w:t>
      </w:r>
    </w:p>
    <w:p w14:paraId="017144DB" w14:textId="784430E0" w:rsidR="00C84941" w:rsidRDefault="00C84941" w:rsidP="009F455B">
      <w:pPr>
        <w:rPr>
          <w:b/>
          <w:bCs/>
          <w:sz w:val="20"/>
          <w:szCs w:val="20"/>
        </w:rPr>
      </w:pPr>
      <w:r>
        <w:rPr>
          <w:noProof/>
        </w:rPr>
        <w:lastRenderedPageBreak/>
        <w:drawing>
          <wp:inline distT="0" distB="0" distL="0" distR="0" wp14:anchorId="6B13EE78" wp14:editId="2A582FFA">
            <wp:extent cx="5731510" cy="5731510"/>
            <wp:effectExtent l="0" t="0" r="2540" b="2540"/>
            <wp:docPr id="3" name="Picture 6"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Diagram&#10;&#10;Description automatically generated with low confidence"/>
                    <pic:cNvPicPr>
                      <a:picLocks noChangeAspect="1" noChangeArrowheads="1"/>
                    </pic:cNvPicPr>
                  </pic:nvPicPr>
                  <pic:blipFill>
                    <a:blip r:embed="rId10"/>
                    <a:stretch>
                      <a:fillRect/>
                    </a:stretch>
                  </pic:blipFill>
                  <pic:spPr bwMode="auto">
                    <a:xfrm>
                      <a:off x="0" y="0"/>
                      <a:ext cx="5731510" cy="5731510"/>
                    </a:xfrm>
                    <a:prstGeom prst="rect">
                      <a:avLst/>
                    </a:prstGeom>
                  </pic:spPr>
                </pic:pic>
              </a:graphicData>
            </a:graphic>
          </wp:inline>
        </w:drawing>
      </w:r>
    </w:p>
    <w:p w14:paraId="39E51B07" w14:textId="6792B36B" w:rsidR="00C84941" w:rsidRPr="00C84941" w:rsidRDefault="00C84941" w:rsidP="009F455B">
      <w:pPr>
        <w:rPr>
          <w:b/>
          <w:bCs/>
          <w:sz w:val="20"/>
          <w:szCs w:val="20"/>
        </w:rPr>
      </w:pPr>
      <w:r w:rsidRPr="00C84941">
        <w:rPr>
          <w:b/>
          <w:bCs/>
          <w:sz w:val="20"/>
          <w:szCs w:val="20"/>
        </w:rPr>
        <w:t>Figure 3. Predicted relationship between forest loss and commodity variables. All y-axes are the amount of forest lost in km</w:t>
      </w:r>
      <w:r w:rsidRPr="00C84941">
        <w:rPr>
          <w:b/>
          <w:bCs/>
          <w:sz w:val="20"/>
          <w:szCs w:val="20"/>
          <w:vertAlign w:val="superscript"/>
        </w:rPr>
        <w:t>2</w:t>
      </w:r>
      <w:r w:rsidRPr="00C84941">
        <w:rPr>
          <w:b/>
          <w:bCs/>
          <w:sz w:val="20"/>
          <w:szCs w:val="20"/>
        </w:rPr>
        <w:t xml:space="preserve">. </w:t>
      </w:r>
      <w:r w:rsidR="004740E7">
        <w:rPr>
          <w:b/>
          <w:bCs/>
          <w:sz w:val="20"/>
          <w:szCs w:val="20"/>
        </w:rPr>
        <w:t xml:space="preserve">Points are the observed data, thick lines are model predictions, and faded ribbons are 95% confidence intervals. </w:t>
      </w:r>
      <w:r w:rsidRPr="00C84941">
        <w:rPr>
          <w:b/>
          <w:bCs/>
          <w:sz w:val="20"/>
          <w:szCs w:val="20"/>
        </w:rPr>
        <w:t>Row a: Crop Production Index, row b: Non-food Production Index, row c: median annual market price for rice (USD/t), row d: median annual market price for rubber (USD/t), row e: median annual market price for corn (USD/t), row f: median annual market price for sugar (USD/t), row g: total production from forestry (m</w:t>
      </w:r>
      <w:r w:rsidRPr="00C84941">
        <w:rPr>
          <w:b/>
          <w:bCs/>
          <w:sz w:val="20"/>
          <w:szCs w:val="20"/>
          <w:vertAlign w:val="superscript"/>
        </w:rPr>
        <w:t>3</w:t>
      </w:r>
      <w:r w:rsidRPr="00C84941">
        <w:rPr>
          <w:b/>
          <w:bCs/>
          <w:sz w:val="20"/>
          <w:szCs w:val="20"/>
        </w:rPr>
        <w:t>). The left column of plots are the effects on forest cover at time t (i.e. the variable values and forest loss values from the same year), the middle</w:t>
      </w:r>
    </w:p>
    <w:p w14:paraId="3F4DF491" w14:textId="72598DA7" w:rsidR="00C84941" w:rsidRDefault="00C84941" w:rsidP="009F455B">
      <w:pPr>
        <w:rPr>
          <w:b/>
          <w:bCs/>
          <w:sz w:val="20"/>
          <w:szCs w:val="20"/>
        </w:rPr>
      </w:pPr>
      <w:r>
        <w:rPr>
          <w:noProof/>
        </w:rPr>
        <w:lastRenderedPageBreak/>
        <w:drawing>
          <wp:inline distT="0" distB="0" distL="0" distR="0" wp14:anchorId="709C2F3C" wp14:editId="26BBFCCC">
            <wp:extent cx="5731510" cy="5731510"/>
            <wp:effectExtent l="0" t="0" r="2540" b="2540"/>
            <wp:docPr id="4"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Chart, scatter chart&#10;&#10;Description automatically generated"/>
                    <pic:cNvPicPr>
                      <a:picLocks noChangeAspect="1" noChangeArrowheads="1"/>
                    </pic:cNvPicPr>
                  </pic:nvPicPr>
                  <pic:blipFill>
                    <a:blip r:embed="rId11"/>
                    <a:stretch>
                      <a:fillRect/>
                    </a:stretch>
                  </pic:blipFill>
                  <pic:spPr bwMode="auto">
                    <a:xfrm>
                      <a:off x="0" y="0"/>
                      <a:ext cx="5731510" cy="5731510"/>
                    </a:xfrm>
                    <a:prstGeom prst="rect">
                      <a:avLst/>
                    </a:prstGeom>
                  </pic:spPr>
                </pic:pic>
              </a:graphicData>
            </a:graphic>
          </wp:inline>
        </w:drawing>
      </w:r>
    </w:p>
    <w:p w14:paraId="4DDC1169" w14:textId="15A73082" w:rsidR="00C84941" w:rsidRPr="00C84941" w:rsidRDefault="00C84941" w:rsidP="00C84941">
      <w:pPr>
        <w:rPr>
          <w:b/>
          <w:bCs/>
          <w:sz w:val="20"/>
          <w:szCs w:val="20"/>
        </w:rPr>
      </w:pPr>
      <w:r w:rsidRPr="00C84941">
        <w:rPr>
          <w:b/>
          <w:bCs/>
          <w:sz w:val="20"/>
          <w:szCs w:val="20"/>
        </w:rPr>
        <w:t>Figure 4. Predicted relationship between forest loss and the producer prices (i.e. farmgate prices) variables. All y-axes are the amount of forest lost in km</w:t>
      </w:r>
      <w:r w:rsidRPr="00C84941">
        <w:rPr>
          <w:b/>
          <w:bCs/>
          <w:sz w:val="20"/>
          <w:szCs w:val="20"/>
          <w:vertAlign w:val="superscript"/>
        </w:rPr>
        <w:t>2</w:t>
      </w:r>
      <w:r w:rsidRPr="00C84941">
        <w:rPr>
          <w:b/>
          <w:bCs/>
          <w:sz w:val="20"/>
          <w:szCs w:val="20"/>
        </w:rPr>
        <w:t xml:space="preserve">. </w:t>
      </w:r>
      <w:r w:rsidR="004740E7">
        <w:rPr>
          <w:b/>
          <w:bCs/>
          <w:sz w:val="20"/>
          <w:szCs w:val="20"/>
        </w:rPr>
        <w:t xml:space="preserve">Points are the observed data, thick lines are model predictions, and faded ribbons are 95% confidence intervals. </w:t>
      </w:r>
      <w:r w:rsidRPr="00C84941">
        <w:rPr>
          <w:b/>
          <w:bCs/>
          <w:sz w:val="20"/>
          <w:szCs w:val="20"/>
        </w:rPr>
        <w:t xml:space="preserve">Row a: producer price for rubber (USD/t) row b: producer price for cassava (USD/t), row c: producer price for corn (USD/t), row d: producer price for sugar (USD/t). Left column of plots are the effects on forest cover at time t (i.e. the variable values and forest loss values from the same year), the middle column of plots are the effects at time t+1 (i.e. the effects on forest loss in the subsequent year), and the right column of plots are the effects at time t+2 (i.e. the effects on forest loss two years after the variable values). </w:t>
      </w:r>
    </w:p>
    <w:p w14:paraId="63B68C01" w14:textId="77777777" w:rsidR="00C84941" w:rsidRDefault="00C84941" w:rsidP="009F455B">
      <w:pPr>
        <w:rPr>
          <w:b/>
          <w:bCs/>
          <w:sz w:val="20"/>
          <w:szCs w:val="20"/>
        </w:rPr>
      </w:pPr>
    </w:p>
    <w:p w14:paraId="65AD8CD0" w14:textId="77777777" w:rsidR="00C84941" w:rsidRDefault="00C84941" w:rsidP="009F455B">
      <w:pPr>
        <w:rPr>
          <w:b/>
          <w:bCs/>
          <w:sz w:val="20"/>
          <w:szCs w:val="20"/>
        </w:rPr>
      </w:pPr>
    </w:p>
    <w:p w14:paraId="6E87E64B" w14:textId="77777777" w:rsidR="00C84941" w:rsidRDefault="00C84941" w:rsidP="009F455B">
      <w:pPr>
        <w:rPr>
          <w:b/>
          <w:bCs/>
          <w:sz w:val="20"/>
          <w:szCs w:val="20"/>
        </w:rPr>
      </w:pPr>
    </w:p>
    <w:p w14:paraId="3F03BFFF" w14:textId="77777777" w:rsidR="00C84941" w:rsidRDefault="00C84941" w:rsidP="009F455B">
      <w:pPr>
        <w:rPr>
          <w:b/>
          <w:bCs/>
          <w:sz w:val="20"/>
          <w:szCs w:val="20"/>
        </w:rPr>
      </w:pPr>
    </w:p>
    <w:p w14:paraId="7DB55BF2" w14:textId="49FCBA20" w:rsidR="00C84941" w:rsidRDefault="00C84941" w:rsidP="009F455B">
      <w:pPr>
        <w:rPr>
          <w:b/>
          <w:bCs/>
          <w:sz w:val="20"/>
          <w:szCs w:val="20"/>
        </w:rPr>
      </w:pPr>
    </w:p>
    <w:p w14:paraId="7F7D41BA" w14:textId="77777777" w:rsidR="004740E7" w:rsidRDefault="004740E7" w:rsidP="009F455B">
      <w:pPr>
        <w:rPr>
          <w:b/>
          <w:bCs/>
          <w:sz w:val="20"/>
          <w:szCs w:val="20"/>
        </w:rPr>
      </w:pPr>
    </w:p>
    <w:p w14:paraId="017EFCC3" w14:textId="74EB37D5" w:rsidR="009F455B" w:rsidRDefault="009F455B" w:rsidP="009F455B">
      <w:pPr>
        <w:rPr>
          <w:b/>
          <w:bCs/>
          <w:sz w:val="20"/>
          <w:szCs w:val="20"/>
        </w:rPr>
      </w:pPr>
      <w:r>
        <w:rPr>
          <w:noProof/>
        </w:rPr>
        <w:lastRenderedPageBreak/>
        <w:drawing>
          <wp:anchor distT="0" distB="0" distL="114300" distR="114300" simplePos="0" relativeHeight="251661312" behindDoc="1" locked="0" layoutInCell="1" allowOverlap="1" wp14:anchorId="22B2BADB" wp14:editId="3DB7178F">
            <wp:simplePos x="0" y="0"/>
            <wp:positionH relativeFrom="column">
              <wp:posOffset>-145604</wp:posOffset>
            </wp:positionH>
            <wp:positionV relativeFrom="paragraph">
              <wp:posOffset>14061</wp:posOffset>
            </wp:positionV>
            <wp:extent cx="6446520" cy="6446520"/>
            <wp:effectExtent l="0" t="0" r="0" b="0"/>
            <wp:wrapNone/>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46520" cy="6446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B36548" w14:textId="77777777" w:rsidR="009F455B" w:rsidRDefault="009F455B" w:rsidP="009F455B">
      <w:pPr>
        <w:rPr>
          <w:b/>
          <w:bCs/>
          <w:sz w:val="20"/>
          <w:szCs w:val="20"/>
        </w:rPr>
      </w:pPr>
    </w:p>
    <w:p w14:paraId="20416DF3" w14:textId="77777777" w:rsidR="009F455B" w:rsidRPr="00B41CFA" w:rsidRDefault="009F455B" w:rsidP="009F455B">
      <w:pPr>
        <w:rPr>
          <w:b/>
          <w:bCs/>
          <w:sz w:val="20"/>
          <w:szCs w:val="20"/>
        </w:rPr>
      </w:pPr>
    </w:p>
    <w:p w14:paraId="0923CCC9" w14:textId="77777777" w:rsidR="009F455B" w:rsidRDefault="009F455B" w:rsidP="009F455B"/>
    <w:p w14:paraId="3D73F5C4" w14:textId="77777777" w:rsidR="009F455B" w:rsidRDefault="009F455B" w:rsidP="009F455B"/>
    <w:p w14:paraId="24A82344" w14:textId="77777777" w:rsidR="009F455B" w:rsidRDefault="009F455B" w:rsidP="009F455B"/>
    <w:p w14:paraId="615DB0FB" w14:textId="77777777" w:rsidR="009F455B" w:rsidRDefault="009F455B" w:rsidP="009F455B"/>
    <w:p w14:paraId="625B7FBF" w14:textId="77777777" w:rsidR="009F455B" w:rsidRDefault="009F455B" w:rsidP="009F455B"/>
    <w:p w14:paraId="6B40B82C" w14:textId="77777777" w:rsidR="009F455B" w:rsidRDefault="009F455B" w:rsidP="009F455B"/>
    <w:p w14:paraId="2CE65E81" w14:textId="77777777" w:rsidR="009F455B" w:rsidRDefault="009F455B" w:rsidP="009F455B"/>
    <w:p w14:paraId="1CC451B5" w14:textId="77777777" w:rsidR="009F455B" w:rsidRDefault="009F455B" w:rsidP="009F455B"/>
    <w:p w14:paraId="327F543D" w14:textId="77777777" w:rsidR="009F455B" w:rsidRPr="003025CB" w:rsidRDefault="009F455B" w:rsidP="009F455B"/>
    <w:p w14:paraId="59CF6693" w14:textId="77777777" w:rsidR="009F455B" w:rsidRDefault="009F455B" w:rsidP="009F455B">
      <w:pPr>
        <w:rPr>
          <w:b/>
          <w:bCs/>
          <w:i/>
          <w:iCs/>
        </w:rPr>
      </w:pPr>
    </w:p>
    <w:p w14:paraId="049EFB02" w14:textId="77777777" w:rsidR="009F455B" w:rsidRDefault="009F455B" w:rsidP="009F455B">
      <w:pPr>
        <w:rPr>
          <w:b/>
          <w:bCs/>
          <w:i/>
          <w:iCs/>
        </w:rPr>
      </w:pPr>
    </w:p>
    <w:p w14:paraId="62103AE4" w14:textId="77777777" w:rsidR="009F455B" w:rsidRDefault="009F455B" w:rsidP="009F455B">
      <w:pPr>
        <w:rPr>
          <w:b/>
          <w:bCs/>
          <w:i/>
          <w:iCs/>
        </w:rPr>
      </w:pPr>
    </w:p>
    <w:p w14:paraId="23B01B64" w14:textId="77777777" w:rsidR="009F455B" w:rsidRDefault="009F455B" w:rsidP="009F455B">
      <w:pPr>
        <w:rPr>
          <w:b/>
          <w:bCs/>
          <w:i/>
          <w:iCs/>
        </w:rPr>
      </w:pPr>
    </w:p>
    <w:p w14:paraId="361787A5" w14:textId="77777777" w:rsidR="009F455B" w:rsidRDefault="009F455B" w:rsidP="009F455B">
      <w:pPr>
        <w:rPr>
          <w:b/>
          <w:bCs/>
          <w:i/>
          <w:iCs/>
        </w:rPr>
      </w:pPr>
    </w:p>
    <w:p w14:paraId="3FBBA73F" w14:textId="77777777" w:rsidR="009F455B" w:rsidRDefault="009F455B" w:rsidP="009F455B">
      <w:pPr>
        <w:rPr>
          <w:b/>
          <w:bCs/>
          <w:i/>
          <w:iCs/>
        </w:rPr>
      </w:pPr>
    </w:p>
    <w:p w14:paraId="1D0C01B7" w14:textId="77777777" w:rsidR="009F455B" w:rsidRDefault="009F455B" w:rsidP="009F455B">
      <w:pPr>
        <w:rPr>
          <w:b/>
          <w:bCs/>
          <w:i/>
          <w:iCs/>
        </w:rPr>
      </w:pPr>
    </w:p>
    <w:p w14:paraId="70AA9D8C" w14:textId="77777777" w:rsidR="009F455B" w:rsidRDefault="009F455B" w:rsidP="009F455B">
      <w:pPr>
        <w:rPr>
          <w:b/>
          <w:bCs/>
          <w:i/>
          <w:iCs/>
        </w:rPr>
      </w:pPr>
    </w:p>
    <w:p w14:paraId="5C6AFC6B" w14:textId="77777777" w:rsidR="009F455B" w:rsidRDefault="009F455B" w:rsidP="009F455B">
      <w:pPr>
        <w:rPr>
          <w:b/>
          <w:bCs/>
          <w:i/>
          <w:iCs/>
        </w:rPr>
      </w:pPr>
    </w:p>
    <w:p w14:paraId="0F6278C1" w14:textId="77777777" w:rsidR="009F455B" w:rsidRDefault="009F455B" w:rsidP="009F455B">
      <w:pPr>
        <w:rPr>
          <w:b/>
          <w:bCs/>
          <w:i/>
          <w:iCs/>
        </w:rPr>
      </w:pPr>
    </w:p>
    <w:p w14:paraId="4FBF3C75" w14:textId="77777777" w:rsidR="009F455B" w:rsidRDefault="009F455B" w:rsidP="009F455B">
      <w:pPr>
        <w:rPr>
          <w:b/>
          <w:bCs/>
          <w:i/>
          <w:iCs/>
        </w:rPr>
      </w:pPr>
    </w:p>
    <w:p w14:paraId="767F451E" w14:textId="46377EDD" w:rsidR="009F455B" w:rsidRDefault="009F455B" w:rsidP="009F455B">
      <w:pPr>
        <w:rPr>
          <w:b/>
          <w:bCs/>
          <w:i/>
          <w:iCs/>
        </w:rPr>
      </w:pPr>
      <w:r w:rsidRPr="00B41CFA">
        <w:rPr>
          <w:b/>
          <w:bCs/>
          <w:sz w:val="20"/>
          <w:szCs w:val="20"/>
        </w:rPr>
        <w:t xml:space="preserve">Figure </w:t>
      </w:r>
      <w:r w:rsidR="004740E7">
        <w:rPr>
          <w:b/>
          <w:bCs/>
          <w:sz w:val="20"/>
          <w:szCs w:val="20"/>
        </w:rPr>
        <w:t>5</w:t>
      </w:r>
      <w:r w:rsidRPr="00B41CFA">
        <w:rPr>
          <w:b/>
          <w:bCs/>
          <w:sz w:val="20"/>
          <w:szCs w:val="20"/>
        </w:rPr>
        <w:t xml:space="preserve">. Modelled relationships between economic predictors and the allocation of new economic land concessions in Cambodia between 1993 – 2015. </w:t>
      </w:r>
      <w:r w:rsidR="004740E7">
        <w:rPr>
          <w:b/>
          <w:bCs/>
          <w:sz w:val="20"/>
          <w:szCs w:val="20"/>
        </w:rPr>
        <w:t xml:space="preserve">Points are the observed data, black lines are model predictions, and coloured ribbons are 95% confidence intervals. </w:t>
      </w:r>
      <w:r w:rsidRPr="00B41CFA">
        <w:rPr>
          <w:b/>
          <w:bCs/>
          <w:sz w:val="20"/>
          <w:szCs w:val="20"/>
        </w:rPr>
        <w:t>Top row: no time lag between predictor and response; middle row: 1-year time lag between predictor and response; bottom row: 2-year time lag between predictor and response.</w:t>
      </w:r>
      <w:r w:rsidR="00C65931">
        <w:rPr>
          <w:b/>
          <w:bCs/>
          <w:sz w:val="20"/>
          <w:szCs w:val="20"/>
        </w:rPr>
        <w:t xml:space="preserve"> </w:t>
      </w:r>
      <w:r w:rsidR="003D5F3C">
        <w:rPr>
          <w:b/>
          <w:bCs/>
          <w:sz w:val="20"/>
          <w:szCs w:val="20"/>
        </w:rPr>
        <w:t>Models had Poisson error structures with a log link; points and predictions were back-transformed to the original scale for plotting above.</w:t>
      </w:r>
    </w:p>
    <w:p w14:paraId="0B8B9054" w14:textId="77777777" w:rsidR="009F455B" w:rsidRDefault="009F455B" w:rsidP="009F455B">
      <w:pPr>
        <w:rPr>
          <w:b/>
          <w:bCs/>
          <w:i/>
          <w:iCs/>
        </w:rPr>
      </w:pPr>
    </w:p>
    <w:p w14:paraId="042CA6E2" w14:textId="77777777" w:rsidR="009F455B" w:rsidRDefault="009F455B" w:rsidP="009F455B">
      <w:pPr>
        <w:rPr>
          <w:b/>
          <w:bCs/>
          <w:i/>
          <w:iCs/>
        </w:rPr>
      </w:pPr>
    </w:p>
    <w:p w14:paraId="400AE0B4" w14:textId="77777777" w:rsidR="009F455B" w:rsidRDefault="009F455B" w:rsidP="009F455B">
      <w:pPr>
        <w:rPr>
          <w:b/>
          <w:bCs/>
          <w:i/>
          <w:iCs/>
        </w:rPr>
      </w:pPr>
    </w:p>
    <w:p w14:paraId="7C5B207F" w14:textId="77777777" w:rsidR="009F455B" w:rsidRDefault="009F455B" w:rsidP="009F455B">
      <w:pPr>
        <w:rPr>
          <w:b/>
          <w:bCs/>
          <w:i/>
          <w:iCs/>
        </w:rPr>
      </w:pPr>
    </w:p>
    <w:p w14:paraId="4EFA9070" w14:textId="77777777" w:rsidR="009F455B" w:rsidRDefault="009F455B" w:rsidP="009F455B">
      <w:pPr>
        <w:rPr>
          <w:b/>
          <w:bCs/>
          <w:i/>
          <w:iCs/>
        </w:rPr>
      </w:pPr>
    </w:p>
    <w:p w14:paraId="7D83EC87" w14:textId="77777777" w:rsidR="009F455B" w:rsidRDefault="009F455B" w:rsidP="009F455B">
      <w:pPr>
        <w:rPr>
          <w:b/>
          <w:bCs/>
          <w:i/>
          <w:iCs/>
        </w:rPr>
      </w:pPr>
      <w:commentRangeStart w:id="17"/>
      <w:commentRangeStart w:id="18"/>
      <w:r>
        <w:rPr>
          <w:noProof/>
        </w:rPr>
        <w:drawing>
          <wp:anchor distT="0" distB="0" distL="114300" distR="114300" simplePos="0" relativeHeight="251662336" behindDoc="1" locked="0" layoutInCell="1" allowOverlap="1" wp14:anchorId="340FA50A" wp14:editId="573B2D2C">
            <wp:simplePos x="0" y="0"/>
            <wp:positionH relativeFrom="column">
              <wp:posOffset>0</wp:posOffset>
            </wp:positionH>
            <wp:positionV relativeFrom="paragraph">
              <wp:posOffset>-635</wp:posOffset>
            </wp:positionV>
            <wp:extent cx="6366933" cy="6366933"/>
            <wp:effectExtent l="0" t="0" r="0" b="0"/>
            <wp:wrapNone/>
            <wp:docPr id="15" name="Picture 1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68243" cy="6368243"/>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17"/>
      <w:r>
        <w:rPr>
          <w:rStyle w:val="CommentReference"/>
        </w:rPr>
        <w:commentReference w:id="17"/>
      </w:r>
      <w:commentRangeEnd w:id="18"/>
      <w:r w:rsidR="00C65931">
        <w:rPr>
          <w:rStyle w:val="CommentReference"/>
        </w:rPr>
        <w:commentReference w:id="18"/>
      </w:r>
    </w:p>
    <w:p w14:paraId="49160110" w14:textId="77777777" w:rsidR="009F455B" w:rsidRDefault="009F455B" w:rsidP="009F455B">
      <w:pPr>
        <w:rPr>
          <w:b/>
          <w:bCs/>
          <w:i/>
          <w:iCs/>
        </w:rPr>
      </w:pPr>
    </w:p>
    <w:p w14:paraId="6C338CC4" w14:textId="77777777" w:rsidR="009F455B" w:rsidRDefault="009F455B" w:rsidP="009F455B">
      <w:pPr>
        <w:rPr>
          <w:b/>
          <w:bCs/>
          <w:i/>
          <w:iCs/>
        </w:rPr>
      </w:pPr>
    </w:p>
    <w:p w14:paraId="10AC1FC3" w14:textId="77777777" w:rsidR="009F455B" w:rsidRDefault="009F455B" w:rsidP="009F455B">
      <w:pPr>
        <w:rPr>
          <w:b/>
          <w:bCs/>
          <w:i/>
          <w:iCs/>
        </w:rPr>
      </w:pPr>
    </w:p>
    <w:p w14:paraId="364B2653" w14:textId="77777777" w:rsidR="009F455B" w:rsidRDefault="009F455B" w:rsidP="009F455B">
      <w:pPr>
        <w:rPr>
          <w:b/>
          <w:bCs/>
          <w:i/>
          <w:iCs/>
        </w:rPr>
      </w:pPr>
    </w:p>
    <w:p w14:paraId="7C0A179D" w14:textId="77777777" w:rsidR="009F455B" w:rsidRDefault="009F455B" w:rsidP="009F455B">
      <w:pPr>
        <w:rPr>
          <w:b/>
          <w:bCs/>
          <w:i/>
          <w:iCs/>
        </w:rPr>
      </w:pPr>
    </w:p>
    <w:p w14:paraId="2A38DD98" w14:textId="77777777" w:rsidR="009F455B" w:rsidRDefault="009F455B" w:rsidP="009F455B">
      <w:pPr>
        <w:rPr>
          <w:b/>
          <w:bCs/>
          <w:i/>
          <w:iCs/>
        </w:rPr>
      </w:pPr>
    </w:p>
    <w:p w14:paraId="6299D7EC" w14:textId="77777777" w:rsidR="009F455B" w:rsidRDefault="009F455B" w:rsidP="009F455B">
      <w:pPr>
        <w:rPr>
          <w:b/>
          <w:bCs/>
          <w:i/>
          <w:iCs/>
        </w:rPr>
      </w:pPr>
    </w:p>
    <w:p w14:paraId="42FD726B" w14:textId="77777777" w:rsidR="009F455B" w:rsidRDefault="009F455B" w:rsidP="009F455B">
      <w:pPr>
        <w:rPr>
          <w:b/>
          <w:bCs/>
          <w:i/>
          <w:iCs/>
        </w:rPr>
      </w:pPr>
    </w:p>
    <w:p w14:paraId="101B4C1D" w14:textId="77777777" w:rsidR="009F455B" w:rsidRDefault="009F455B" w:rsidP="009F455B">
      <w:pPr>
        <w:rPr>
          <w:b/>
          <w:bCs/>
          <w:i/>
          <w:iCs/>
        </w:rPr>
      </w:pPr>
    </w:p>
    <w:p w14:paraId="0243B4D4" w14:textId="77777777" w:rsidR="009F455B" w:rsidRDefault="009F455B" w:rsidP="009F455B">
      <w:pPr>
        <w:rPr>
          <w:b/>
          <w:bCs/>
          <w:i/>
          <w:iCs/>
        </w:rPr>
      </w:pPr>
    </w:p>
    <w:p w14:paraId="7A7CD6A5" w14:textId="77777777" w:rsidR="009F455B" w:rsidRDefault="009F455B" w:rsidP="009F455B">
      <w:pPr>
        <w:rPr>
          <w:b/>
          <w:bCs/>
          <w:i/>
          <w:iCs/>
        </w:rPr>
      </w:pPr>
    </w:p>
    <w:p w14:paraId="2243698A" w14:textId="77777777" w:rsidR="009F455B" w:rsidRDefault="009F455B" w:rsidP="009F455B">
      <w:pPr>
        <w:rPr>
          <w:b/>
          <w:bCs/>
          <w:i/>
          <w:iCs/>
        </w:rPr>
      </w:pPr>
    </w:p>
    <w:p w14:paraId="0F34856A" w14:textId="77777777" w:rsidR="009F455B" w:rsidRDefault="009F455B" w:rsidP="009F455B">
      <w:pPr>
        <w:rPr>
          <w:b/>
          <w:bCs/>
          <w:i/>
          <w:iCs/>
        </w:rPr>
      </w:pPr>
    </w:p>
    <w:p w14:paraId="6CEEE269" w14:textId="77777777" w:rsidR="009F455B" w:rsidRDefault="009F455B" w:rsidP="009F455B">
      <w:pPr>
        <w:rPr>
          <w:b/>
          <w:bCs/>
          <w:i/>
          <w:iCs/>
        </w:rPr>
      </w:pPr>
    </w:p>
    <w:p w14:paraId="2370CB1C" w14:textId="77777777" w:rsidR="009F455B" w:rsidRDefault="009F455B" w:rsidP="009F455B">
      <w:pPr>
        <w:rPr>
          <w:b/>
          <w:bCs/>
          <w:i/>
          <w:iCs/>
        </w:rPr>
      </w:pPr>
    </w:p>
    <w:p w14:paraId="392CB97A" w14:textId="77777777" w:rsidR="009F455B" w:rsidRDefault="009F455B" w:rsidP="009F455B">
      <w:pPr>
        <w:rPr>
          <w:b/>
          <w:bCs/>
          <w:i/>
          <w:iCs/>
        </w:rPr>
      </w:pPr>
    </w:p>
    <w:p w14:paraId="03D46207" w14:textId="77777777" w:rsidR="009F455B" w:rsidRDefault="009F455B" w:rsidP="009F455B">
      <w:pPr>
        <w:rPr>
          <w:b/>
          <w:bCs/>
          <w:i/>
          <w:iCs/>
        </w:rPr>
      </w:pPr>
    </w:p>
    <w:p w14:paraId="05C15ED1" w14:textId="77777777" w:rsidR="009F455B" w:rsidRDefault="009F455B" w:rsidP="009F455B">
      <w:pPr>
        <w:rPr>
          <w:b/>
          <w:bCs/>
          <w:i/>
          <w:iCs/>
        </w:rPr>
      </w:pPr>
    </w:p>
    <w:p w14:paraId="665F3B36" w14:textId="77777777" w:rsidR="009F455B" w:rsidRDefault="009F455B" w:rsidP="009F455B">
      <w:pPr>
        <w:rPr>
          <w:b/>
          <w:bCs/>
          <w:i/>
          <w:iCs/>
        </w:rPr>
      </w:pPr>
    </w:p>
    <w:p w14:paraId="6E6F64CD" w14:textId="77777777" w:rsidR="009F455B" w:rsidRDefault="009F455B" w:rsidP="009F455B">
      <w:pPr>
        <w:rPr>
          <w:b/>
          <w:bCs/>
          <w:i/>
          <w:iCs/>
        </w:rPr>
      </w:pPr>
    </w:p>
    <w:p w14:paraId="427AF2AD" w14:textId="77777777" w:rsidR="009F455B" w:rsidRDefault="009F455B" w:rsidP="009F455B">
      <w:pPr>
        <w:rPr>
          <w:b/>
          <w:bCs/>
          <w:i/>
          <w:iCs/>
        </w:rPr>
      </w:pPr>
    </w:p>
    <w:p w14:paraId="01BCA766" w14:textId="77777777" w:rsidR="009F455B" w:rsidRDefault="009F455B" w:rsidP="009F455B">
      <w:pPr>
        <w:rPr>
          <w:b/>
          <w:bCs/>
          <w:i/>
          <w:iCs/>
        </w:rPr>
      </w:pPr>
    </w:p>
    <w:p w14:paraId="3D6EB1A5" w14:textId="0A1DA2E9" w:rsidR="009F455B" w:rsidRPr="00B41CFA" w:rsidRDefault="009F455B" w:rsidP="009F455B">
      <w:pPr>
        <w:rPr>
          <w:b/>
          <w:bCs/>
          <w:sz w:val="20"/>
          <w:szCs w:val="20"/>
        </w:rPr>
      </w:pPr>
      <w:r w:rsidRPr="00B41CFA">
        <w:rPr>
          <w:b/>
          <w:bCs/>
          <w:sz w:val="20"/>
          <w:szCs w:val="20"/>
        </w:rPr>
        <w:t xml:space="preserve">Figure </w:t>
      </w:r>
      <w:r w:rsidR="004740E7">
        <w:rPr>
          <w:b/>
          <w:bCs/>
          <w:sz w:val="20"/>
          <w:szCs w:val="20"/>
        </w:rPr>
        <w:t>6</w:t>
      </w:r>
      <w:r w:rsidRPr="00B41CFA">
        <w:rPr>
          <w:b/>
          <w:bCs/>
          <w:sz w:val="20"/>
          <w:szCs w:val="20"/>
        </w:rPr>
        <w:t xml:space="preserve">. Modelled relationships between commodity price predictors and the allocation of new economic land concessions in Cambodia between 1993 – 2015. </w:t>
      </w:r>
      <w:r w:rsidR="004740E7">
        <w:rPr>
          <w:b/>
          <w:bCs/>
          <w:sz w:val="20"/>
          <w:szCs w:val="20"/>
        </w:rPr>
        <w:t>Points are the observed data, black lines are model predictions, and coloured ribbons are 95% confidence intervals.</w:t>
      </w:r>
      <w:r w:rsidR="004740E7" w:rsidRPr="00B41CFA">
        <w:rPr>
          <w:b/>
          <w:bCs/>
          <w:sz w:val="20"/>
          <w:szCs w:val="20"/>
        </w:rPr>
        <w:t xml:space="preserve"> </w:t>
      </w:r>
      <w:r w:rsidRPr="00B41CFA">
        <w:rPr>
          <w:b/>
          <w:bCs/>
          <w:sz w:val="20"/>
          <w:szCs w:val="20"/>
        </w:rPr>
        <w:t>Top two rows: no time lag between predictor and response; third row: 1-year time lag between predictor and response; bottom row: 2-year time lag between predictor and response.</w:t>
      </w:r>
      <w:r w:rsidR="00DE2591">
        <w:rPr>
          <w:b/>
          <w:bCs/>
          <w:sz w:val="20"/>
          <w:szCs w:val="20"/>
        </w:rPr>
        <w:t xml:space="preserve"> </w:t>
      </w:r>
      <w:r w:rsidR="003D5F3C">
        <w:rPr>
          <w:b/>
          <w:bCs/>
          <w:sz w:val="20"/>
          <w:szCs w:val="20"/>
        </w:rPr>
        <w:t>Models had Poisson error structures with a log link; points and predictions were back-transformed to the original scale for plotting above.</w:t>
      </w:r>
    </w:p>
    <w:p w14:paraId="5AA1EC9F" w14:textId="77777777" w:rsidR="009F455B" w:rsidRDefault="009F455B" w:rsidP="009F455B">
      <w:pPr>
        <w:rPr>
          <w:b/>
          <w:bCs/>
          <w:i/>
          <w:iCs/>
        </w:rPr>
      </w:pPr>
    </w:p>
    <w:p w14:paraId="10FF6CE7" w14:textId="77777777" w:rsidR="009F455B" w:rsidRDefault="009F455B" w:rsidP="009F455B">
      <w:pPr>
        <w:rPr>
          <w:b/>
          <w:bCs/>
          <w:i/>
          <w:iCs/>
        </w:rPr>
      </w:pPr>
    </w:p>
    <w:p w14:paraId="320184EE" w14:textId="77777777" w:rsidR="009F455B" w:rsidRDefault="009F455B" w:rsidP="009F455B">
      <w:pPr>
        <w:rPr>
          <w:b/>
          <w:bCs/>
          <w:i/>
          <w:iCs/>
        </w:rPr>
      </w:pPr>
    </w:p>
    <w:p w14:paraId="7F555BF9" w14:textId="77777777" w:rsidR="009F455B" w:rsidRDefault="009F455B" w:rsidP="009F455B">
      <w:pPr>
        <w:rPr>
          <w:b/>
          <w:bCs/>
          <w:i/>
          <w:iCs/>
        </w:rPr>
      </w:pPr>
    </w:p>
    <w:p w14:paraId="08B66489" w14:textId="77777777" w:rsidR="009F455B" w:rsidRDefault="009F455B" w:rsidP="009F455B">
      <w:pPr>
        <w:rPr>
          <w:b/>
          <w:bCs/>
          <w:i/>
          <w:iCs/>
        </w:rPr>
      </w:pPr>
    </w:p>
    <w:p w14:paraId="583B7FA9" w14:textId="77777777" w:rsidR="009F455B" w:rsidRDefault="009F455B" w:rsidP="009F455B">
      <w:pPr>
        <w:rPr>
          <w:b/>
          <w:bCs/>
          <w:i/>
          <w:iCs/>
        </w:rPr>
      </w:pPr>
      <w:r>
        <w:rPr>
          <w:noProof/>
        </w:rPr>
        <w:drawing>
          <wp:anchor distT="0" distB="0" distL="114300" distR="114300" simplePos="0" relativeHeight="251663360" behindDoc="1" locked="0" layoutInCell="1" allowOverlap="1" wp14:anchorId="1440E833" wp14:editId="19189FA2">
            <wp:simplePos x="0" y="0"/>
            <wp:positionH relativeFrom="margin">
              <wp:posOffset>0</wp:posOffset>
            </wp:positionH>
            <wp:positionV relativeFrom="paragraph">
              <wp:posOffset>-635</wp:posOffset>
            </wp:positionV>
            <wp:extent cx="5882640" cy="5882640"/>
            <wp:effectExtent l="0" t="0" r="3810" b="3810"/>
            <wp:wrapNone/>
            <wp:docPr id="14" name="Picture 14"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 engineering drawing&#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82640" cy="5882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9D5074" w14:textId="77777777" w:rsidR="009F455B" w:rsidRDefault="009F455B" w:rsidP="009F455B">
      <w:pPr>
        <w:rPr>
          <w:b/>
          <w:bCs/>
          <w:i/>
          <w:iCs/>
        </w:rPr>
      </w:pPr>
    </w:p>
    <w:p w14:paraId="17247F15" w14:textId="77777777" w:rsidR="009F455B" w:rsidRDefault="009F455B" w:rsidP="009F455B">
      <w:pPr>
        <w:rPr>
          <w:b/>
          <w:bCs/>
          <w:i/>
          <w:iCs/>
        </w:rPr>
      </w:pPr>
    </w:p>
    <w:p w14:paraId="6E2C15BA" w14:textId="77777777" w:rsidR="009F455B" w:rsidRDefault="009F455B" w:rsidP="009F455B">
      <w:pPr>
        <w:rPr>
          <w:b/>
          <w:bCs/>
          <w:i/>
          <w:iCs/>
        </w:rPr>
      </w:pPr>
    </w:p>
    <w:p w14:paraId="2C4A7D41" w14:textId="77777777" w:rsidR="009F455B" w:rsidRDefault="009F455B" w:rsidP="009F455B">
      <w:pPr>
        <w:rPr>
          <w:b/>
          <w:bCs/>
          <w:i/>
          <w:iCs/>
        </w:rPr>
      </w:pPr>
    </w:p>
    <w:p w14:paraId="40B3E3AE" w14:textId="77777777" w:rsidR="009F455B" w:rsidRDefault="009F455B" w:rsidP="009F455B">
      <w:pPr>
        <w:rPr>
          <w:b/>
          <w:bCs/>
          <w:i/>
          <w:iCs/>
        </w:rPr>
      </w:pPr>
    </w:p>
    <w:p w14:paraId="50326579" w14:textId="77777777" w:rsidR="009F455B" w:rsidRDefault="009F455B" w:rsidP="009F455B">
      <w:pPr>
        <w:rPr>
          <w:b/>
          <w:bCs/>
          <w:i/>
          <w:iCs/>
        </w:rPr>
      </w:pPr>
    </w:p>
    <w:p w14:paraId="386BB5F0" w14:textId="77777777" w:rsidR="009F455B" w:rsidRDefault="009F455B" w:rsidP="009F455B">
      <w:pPr>
        <w:rPr>
          <w:b/>
          <w:bCs/>
          <w:i/>
          <w:iCs/>
        </w:rPr>
      </w:pPr>
    </w:p>
    <w:p w14:paraId="172F9002" w14:textId="77777777" w:rsidR="009F455B" w:rsidRDefault="009F455B" w:rsidP="009F455B">
      <w:pPr>
        <w:rPr>
          <w:b/>
          <w:bCs/>
          <w:i/>
          <w:iCs/>
        </w:rPr>
      </w:pPr>
    </w:p>
    <w:p w14:paraId="16B44BB6" w14:textId="77777777" w:rsidR="009F455B" w:rsidRDefault="009F455B" w:rsidP="009F455B">
      <w:pPr>
        <w:rPr>
          <w:b/>
          <w:bCs/>
          <w:i/>
          <w:iCs/>
        </w:rPr>
      </w:pPr>
    </w:p>
    <w:p w14:paraId="1DC93453" w14:textId="77777777" w:rsidR="009F455B" w:rsidRDefault="009F455B" w:rsidP="009F455B">
      <w:pPr>
        <w:rPr>
          <w:b/>
          <w:bCs/>
          <w:i/>
          <w:iCs/>
        </w:rPr>
      </w:pPr>
    </w:p>
    <w:p w14:paraId="4AE91843" w14:textId="77777777" w:rsidR="009F455B" w:rsidRDefault="009F455B" w:rsidP="009F455B">
      <w:pPr>
        <w:rPr>
          <w:b/>
          <w:bCs/>
          <w:i/>
          <w:iCs/>
        </w:rPr>
      </w:pPr>
    </w:p>
    <w:p w14:paraId="6B54A073" w14:textId="77777777" w:rsidR="009F455B" w:rsidRDefault="009F455B" w:rsidP="009F455B">
      <w:pPr>
        <w:rPr>
          <w:b/>
          <w:bCs/>
          <w:i/>
          <w:iCs/>
        </w:rPr>
      </w:pPr>
    </w:p>
    <w:p w14:paraId="289C3B03" w14:textId="77777777" w:rsidR="009F455B" w:rsidRDefault="009F455B" w:rsidP="009F455B">
      <w:pPr>
        <w:rPr>
          <w:b/>
          <w:bCs/>
          <w:i/>
          <w:iCs/>
        </w:rPr>
      </w:pPr>
    </w:p>
    <w:p w14:paraId="0C90B6D6" w14:textId="77777777" w:rsidR="009F455B" w:rsidRDefault="009F455B" w:rsidP="009F455B">
      <w:pPr>
        <w:rPr>
          <w:b/>
          <w:bCs/>
          <w:i/>
          <w:iCs/>
        </w:rPr>
      </w:pPr>
    </w:p>
    <w:p w14:paraId="26C2F3EE" w14:textId="77777777" w:rsidR="009F455B" w:rsidRDefault="009F455B" w:rsidP="009F455B">
      <w:pPr>
        <w:rPr>
          <w:b/>
          <w:bCs/>
          <w:i/>
          <w:iCs/>
        </w:rPr>
      </w:pPr>
    </w:p>
    <w:p w14:paraId="2014B02E" w14:textId="77777777" w:rsidR="009F455B" w:rsidRDefault="009F455B" w:rsidP="009F455B">
      <w:pPr>
        <w:rPr>
          <w:b/>
          <w:bCs/>
          <w:i/>
          <w:iCs/>
        </w:rPr>
      </w:pPr>
    </w:p>
    <w:p w14:paraId="54B78976" w14:textId="77777777" w:rsidR="009F455B" w:rsidRDefault="009F455B" w:rsidP="009F455B">
      <w:pPr>
        <w:rPr>
          <w:b/>
          <w:bCs/>
          <w:i/>
          <w:iCs/>
        </w:rPr>
      </w:pPr>
    </w:p>
    <w:p w14:paraId="202148EA" w14:textId="77777777" w:rsidR="009F455B" w:rsidRDefault="009F455B" w:rsidP="009F455B">
      <w:pPr>
        <w:rPr>
          <w:b/>
          <w:bCs/>
          <w:i/>
          <w:iCs/>
        </w:rPr>
      </w:pPr>
    </w:p>
    <w:p w14:paraId="37F6F2B4" w14:textId="77777777" w:rsidR="009F455B" w:rsidRDefault="009F455B" w:rsidP="009F455B">
      <w:pPr>
        <w:rPr>
          <w:b/>
          <w:bCs/>
          <w:i/>
          <w:iCs/>
        </w:rPr>
      </w:pPr>
    </w:p>
    <w:p w14:paraId="17C9B7FD" w14:textId="77777777" w:rsidR="009F455B" w:rsidRDefault="009F455B" w:rsidP="009F455B">
      <w:pPr>
        <w:rPr>
          <w:b/>
          <w:bCs/>
          <w:i/>
          <w:iCs/>
        </w:rPr>
      </w:pPr>
    </w:p>
    <w:p w14:paraId="30A41B29" w14:textId="25E5B11B" w:rsidR="009F455B" w:rsidRPr="00B41CFA" w:rsidRDefault="009F455B" w:rsidP="009F455B">
      <w:pPr>
        <w:rPr>
          <w:b/>
          <w:bCs/>
          <w:sz w:val="20"/>
          <w:szCs w:val="20"/>
        </w:rPr>
      </w:pPr>
      <w:r w:rsidRPr="00B41CFA">
        <w:rPr>
          <w:b/>
          <w:bCs/>
          <w:sz w:val="20"/>
          <w:szCs w:val="20"/>
        </w:rPr>
        <w:t xml:space="preserve">Figure </w:t>
      </w:r>
      <w:r w:rsidR="004740E7">
        <w:rPr>
          <w:b/>
          <w:bCs/>
          <w:sz w:val="20"/>
          <w:szCs w:val="20"/>
        </w:rPr>
        <w:t>7</w:t>
      </w:r>
      <w:r w:rsidRPr="00B41CFA">
        <w:rPr>
          <w:b/>
          <w:bCs/>
          <w:sz w:val="20"/>
          <w:szCs w:val="20"/>
        </w:rPr>
        <w:t xml:space="preserve">. Modelled relationships between producer price predictors and the allocation of new economic land concessions Cambodia between 1993 – 2015. </w:t>
      </w:r>
      <w:r w:rsidR="004740E7">
        <w:rPr>
          <w:b/>
          <w:bCs/>
          <w:sz w:val="20"/>
          <w:szCs w:val="20"/>
        </w:rPr>
        <w:t>Points are the observed data, black lines are model predictions, and coloured ribbons are 95% confidence intervals.</w:t>
      </w:r>
      <w:r w:rsidR="004740E7" w:rsidRPr="00B41CFA">
        <w:rPr>
          <w:b/>
          <w:bCs/>
          <w:sz w:val="20"/>
          <w:szCs w:val="20"/>
        </w:rPr>
        <w:t xml:space="preserve"> </w:t>
      </w:r>
      <w:r w:rsidRPr="00B41CFA">
        <w:rPr>
          <w:b/>
          <w:bCs/>
          <w:sz w:val="20"/>
          <w:szCs w:val="20"/>
        </w:rPr>
        <w:t xml:space="preserve">Top row: no time lag between predictor and response; </w:t>
      </w:r>
      <w:r>
        <w:rPr>
          <w:b/>
          <w:bCs/>
          <w:sz w:val="20"/>
          <w:szCs w:val="20"/>
        </w:rPr>
        <w:t>middle</w:t>
      </w:r>
      <w:r w:rsidRPr="00B41CFA">
        <w:rPr>
          <w:b/>
          <w:bCs/>
          <w:sz w:val="20"/>
          <w:szCs w:val="20"/>
        </w:rPr>
        <w:t xml:space="preserve"> row: 1-year time lag between predictor and response; bottom row: 2-year time lag between predictor and response.</w:t>
      </w:r>
      <w:r w:rsidR="00DE2591">
        <w:rPr>
          <w:b/>
          <w:bCs/>
          <w:sz w:val="20"/>
          <w:szCs w:val="20"/>
        </w:rPr>
        <w:t xml:space="preserve"> Models had Poisson error structures with a log link</w:t>
      </w:r>
      <w:r w:rsidR="003D5F3C">
        <w:rPr>
          <w:b/>
          <w:bCs/>
          <w:sz w:val="20"/>
          <w:szCs w:val="20"/>
        </w:rPr>
        <w:t>;</w:t>
      </w:r>
      <w:r w:rsidR="00DE2591">
        <w:rPr>
          <w:b/>
          <w:bCs/>
          <w:sz w:val="20"/>
          <w:szCs w:val="20"/>
        </w:rPr>
        <w:t xml:space="preserve"> points and predictions were back-transformed to the original scale for plotting above.</w:t>
      </w:r>
      <w:r w:rsidR="003D5F3C">
        <w:rPr>
          <w:b/>
          <w:bCs/>
          <w:sz w:val="20"/>
          <w:szCs w:val="20"/>
        </w:rPr>
        <w:t xml:space="preserve"> </w:t>
      </w:r>
    </w:p>
    <w:p w14:paraId="695F9DBA" w14:textId="2BA93BB3" w:rsidR="000A46B5" w:rsidRDefault="000A46B5" w:rsidP="000A46B5"/>
    <w:p w14:paraId="5F6C1434" w14:textId="77777777" w:rsidR="002E4677" w:rsidRDefault="002E4677" w:rsidP="000A46B5">
      <w:pPr>
        <w:rPr>
          <w:b/>
          <w:bCs/>
        </w:rPr>
      </w:pPr>
      <w:r w:rsidRPr="002E4677">
        <w:rPr>
          <w:b/>
          <w:bCs/>
        </w:rPr>
        <w:t>Discussion</w:t>
      </w:r>
    </w:p>
    <w:p w14:paraId="389FB073" w14:textId="268B2982" w:rsidR="006F2311" w:rsidRDefault="006F2311" w:rsidP="006F2311">
      <w:r>
        <w:t>In this study, we have modelled the relationships between macroeconomic variables and forest loss</w:t>
      </w:r>
      <w:r w:rsidR="00381FF1">
        <w:t xml:space="preserve"> </w:t>
      </w:r>
      <w:r>
        <w:t xml:space="preserve">and the development of </w:t>
      </w:r>
      <w:r w:rsidR="001B2E6F">
        <w:t>industrial-scale agriculture</w:t>
      </w:r>
      <w:r>
        <w:t>. We</w:t>
      </w:r>
      <w:r w:rsidR="00381FF1">
        <w:t xml:space="preserve"> were unable to detect any significant effects of</w:t>
      </w:r>
      <w:r w:rsidR="007C7AA3">
        <w:t xml:space="preserve"> </w:t>
      </w:r>
      <w:r w:rsidR="00381FF1">
        <w:t>macroeconomic variables</w:t>
      </w:r>
      <w:r w:rsidR="007C7AA3">
        <w:t xml:space="preserve"> on</w:t>
      </w:r>
      <w:r w:rsidR="001B2E6F">
        <w:t xml:space="preserve"> direct</w:t>
      </w:r>
      <w:r w:rsidR="007C7AA3">
        <w:t xml:space="preserve"> forest loss, yet we</w:t>
      </w:r>
      <w:r>
        <w:t xml:space="preserve"> have revealed some important </w:t>
      </w:r>
      <w:r>
        <w:lastRenderedPageBreak/>
        <w:t>relationships</w:t>
      </w:r>
      <w:r w:rsidR="007C7AA3">
        <w:t xml:space="preserve"> between macroeconomics and the development of new ELCs,</w:t>
      </w:r>
      <w:r>
        <w:t xml:space="preserve"> from which we can make inferences regarding indirect drivers of forest loss.</w:t>
      </w:r>
      <w:r w:rsidR="00381FF1">
        <w:t xml:space="preserve"> </w:t>
      </w:r>
      <w:r w:rsidR="007C7AA3">
        <w:t>Understanding the relationships between economic development and deforestation is</w:t>
      </w:r>
      <w:r w:rsidR="001B2E6F">
        <w:t xml:space="preserve"> critical in countries that are undergoing rapid economic and social development such as Cambodia </w:t>
      </w:r>
      <w:r w:rsidR="001B2E6F">
        <w:fldChar w:fldCharType="begin"/>
      </w:r>
      <w:r w:rsidR="001B2E6F">
        <w:instrText xml:space="preserve"> ADDIN ZOTERO_ITEM CSL_CITATION {"citationID":"E1ISxbwp","properties":{"formattedCitation":"(Hughes &amp; Un 2011)","plainCitation":"(Hughes &amp; Un 2011)","noteIndex":0},"citationItems":[{"id":2448,"uris":["http://zotero.org/users/2170232/items/IRTUHWES"],"uri":["http://zotero.org/users/2170232/items/IRTUHWES"],"itemData":{"id":2448,"type":"report","collection-title":"NIAS Studies in Asian Topic","event-place":"Leifsgade 33, DK-2300 Copenhagen S, Denmark","number":"49","publisher":"Nordic Institute of Asian Studies","publisher-place":"Leifsgade 33, DK-2300 Copenhagen S, Denmark","title":"Cambodia's Economic Transformation","author":[{"family":"Hughes","given":"C"},{"family":"Un","given":"K"}],"issued":{"date-parts":[["2011"]]}}}],"schema":"https://github.com/citation-style-language/schema/raw/master/csl-citation.json"} </w:instrText>
      </w:r>
      <w:r w:rsidR="001B2E6F">
        <w:fldChar w:fldCharType="separate"/>
      </w:r>
      <w:r w:rsidR="001B2E6F" w:rsidRPr="001B2E6F">
        <w:rPr>
          <w:rFonts w:ascii="Calibri" w:hAnsi="Calibri" w:cs="Calibri"/>
        </w:rPr>
        <w:t>(Hughes &amp; Un 2011)</w:t>
      </w:r>
      <w:r w:rsidR="001B2E6F">
        <w:fldChar w:fldCharType="end"/>
      </w:r>
      <w:r w:rsidR="001B2E6F">
        <w:t xml:space="preserve">, as it is within these conditions of socioeconomic transition that forest loss is often accelerated </w:t>
      </w:r>
      <w:r w:rsidR="001B2E6F">
        <w:fldChar w:fldCharType="begin"/>
      </w:r>
      <w:r w:rsidR="001B2E6F">
        <w:instrText xml:space="preserve"> ADDIN ZOTERO_ITEM CSL_CITATION {"citationID":"3e6VsjPn","properties":{"formattedCitation":"(Imai et al. 2018)","plainCitation":"(Imai et al. 2018)","noteIndex":0},"citationItems":[{"id":2735,"uris":["http://zotero.org/users/2170232/items/NRDB68R8"],"uri":["http://zotero.org/users/2170232/items/NRDB68R8"],"itemData":{"id":2735,"type":"article-journal","abstract":"While many tropical countries are experiencing rapid deforestation, some have experienced forest transition (FT) from net deforestation to net reforestation. Numerous studies have identified causative factors of FT, among which forest scarcity has been considered as a prerequisite for FT. In fact, in SE Asia, the Philippines, Thailand and Viet Nam, which experienced FT since 1990, exhibited a lower remaining forest area (30±8%) than the other five countries (68±6%, Cambodia, Indonesia, Laos, Malaysia, and Myanmar) where forest loss continues. In this study, we examined 1) the factors associated with forest scarcity, 2) the proximate and/or underlying factors that have driven forest area change, and 3) whether causative factors changed across FT phases (from deforestation to net forest gain) during 1980–2010 in the eight SE Asian countries. We used production of wood, food, and export-oriented food commodities as proximate causes and demographic, social, economic and environmental factors, as well as land-use efficiency, and wood and food trade as underlying causes that affect forest area change. Remaining forest area in 1990 was negatively correlated with population density and potential land area of lowland forests, while positively correlated with per capita wood production. This implies that countries rich in accessible and productive forests, and higher population pressures are the ones that have experienced forest scarcity, and eventually FT. Food production and agricultural input were negatively and positively correlated, respectively, with forest area change during 1980–2009. This indicates that more food production drives deforestation, but higher efficiency of agriculture is correlated with forest gain. We also found a U-shaped response of forest area change to social openness, suggesting that forest gain can be achieved in both open and closed countries, but deforestation might be accelerated in countries undergoing societal transition. These results indicate the importance of environmental, agricultural and social variables on forest area dynamics, and have important implications for predicting future tropical forest change.","container-title":"PLOS ONE","DOI":"10.1371/journal.pone.0197391","ISSN":"1932-6203","issue":"5","journalAbbreviation":"PLOS ONE","language":"en","note":"publisher: Public Library of Science","page":"e0197391","source":"PLoS Journals","title":"Factors affecting forest area change in Southeast Asia during 1980-2010","volume":"13","author":[{"family":"Imai","given":"Nobuo"},{"family":"Furukawa","given":"Takuya"},{"family":"Tsujino","given":"Riyou"},{"family":"Kitamura","given":"Shumpei"},{"family":"Yumoto","given":"Takakazu"}],"issued":{"date-parts":[["2018",5,15]]}}}],"schema":"https://github.com/citation-style-language/schema/raw/master/csl-citation.json"} </w:instrText>
      </w:r>
      <w:r w:rsidR="001B2E6F">
        <w:fldChar w:fldCharType="separate"/>
      </w:r>
      <w:r w:rsidR="001B2E6F" w:rsidRPr="001B2E6F">
        <w:rPr>
          <w:rFonts w:ascii="Calibri" w:hAnsi="Calibri" w:cs="Calibri"/>
        </w:rPr>
        <w:t>(Imai et al. 2018)</w:t>
      </w:r>
      <w:r w:rsidR="001B2E6F">
        <w:fldChar w:fldCharType="end"/>
      </w:r>
      <w:r w:rsidR="001B2E6F">
        <w:t>.</w:t>
      </w:r>
      <w:r w:rsidR="00947237">
        <w:t xml:space="preserve"> Knowledge of these relationships can be used to develop land use policies that can guide a country through forest transition periods towards sustainable forestry </w:t>
      </w:r>
      <w:r w:rsidR="00947237">
        <w:fldChar w:fldCharType="begin"/>
      </w:r>
      <w:r w:rsidR="00947237">
        <w:instrText xml:space="preserve"> ADDIN ZOTERO_ITEM CSL_CITATION {"citationID":"DhVThW0z","properties":{"formattedCitation":"(Culas 2012)","plainCitation":"(Culas 2012)","noteIndex":0},"citationItems":[{"id":2143,"uris":["http://zotero.org/users/2170232/items/TPIWN6QK"],"uri":["http://zotero.org/users/2170232/items/TPIWN6QK"],"itemData":{"id":2143,"type":"article-journal","abstract":"International attention is focused on finding ways to reduce emissions from deforestation because of the emerging concerns over climate change. However the causes of deforestation are rooted in current economic and development paradigms. The causes of deforestation also vary across different geographical regions and have implications for the forest transition. Attempts to reach an international agreement on curbing deforestation have achieved little success despite over 30years of UN negotiations. New initiatives from REDD (Reducing Emissions from Deforestation and forest Degradation) could provide financial incentives to curb deforestation. Hence, alternative development paths for forest cover changes and forest transition are analyzed for the REDD policy within the framework of an environmental Kuznets curve (EKC) for deforestation. The EKC models are estimated for geographical regions of Latin America, Africa and Asia. The results based on the panel data analysis of 43 countries, covering the period 1970–1994, provides evidence that an inverted U-shaped EKC fits for Latin America and Africa, while a U-shaped EKC applies to Asia. The results also indicate that strengthening agricultural and forestry sector policies are important for curbing deforestation. The EKC models' estimates could provide guidance for decisions on financing the REDD policy as specific to each region.","container-title":"Ecological Economics","DOI":"10.1016/j.ecolecon.2012.04.015","ISSN":"0921-8009","journalAbbreviation":"Ecological Economics","language":"en","page":"44-51","source":"ScienceDirect","title":"REDD and forest transition: Tunneling through the environmental Kuznets curve","title-short":"REDD and forest transition","volume":"79","author":[{"family":"Culas","given":"Richard J."}],"issued":{"date-parts":[["2012",7,1]]}}}],"schema":"https://github.com/citation-style-language/schema/raw/master/csl-citation.json"} </w:instrText>
      </w:r>
      <w:r w:rsidR="00947237">
        <w:fldChar w:fldCharType="separate"/>
      </w:r>
      <w:r w:rsidR="00947237" w:rsidRPr="00947237">
        <w:rPr>
          <w:rFonts w:ascii="Calibri" w:hAnsi="Calibri" w:cs="Calibri"/>
        </w:rPr>
        <w:t>(Culas 2012)</w:t>
      </w:r>
      <w:r w:rsidR="00947237">
        <w:fldChar w:fldCharType="end"/>
      </w:r>
      <w:r w:rsidR="00947237">
        <w:t xml:space="preserve">. </w:t>
      </w:r>
    </w:p>
    <w:p w14:paraId="600B1431" w14:textId="69DABDA8" w:rsidR="00AD3F12" w:rsidRPr="00AD3F12" w:rsidRDefault="00AD3F12" w:rsidP="006F2311">
      <w:pPr>
        <w:rPr>
          <w:b/>
          <w:bCs/>
        </w:rPr>
      </w:pPr>
      <w:r w:rsidRPr="00AD3F12">
        <w:rPr>
          <w:b/>
          <w:bCs/>
          <w:i/>
          <w:iCs/>
        </w:rPr>
        <w:t>Direct forest loss</w:t>
      </w:r>
    </w:p>
    <w:p w14:paraId="135FC9CB" w14:textId="4967F73F" w:rsidR="00046338" w:rsidRDefault="006F2311" w:rsidP="006F2311">
      <w:r>
        <w:t xml:space="preserve">There were very few significant effects </w:t>
      </w:r>
      <w:r w:rsidR="00F55680">
        <w:t>from the models</w:t>
      </w:r>
      <w:r>
        <w:t xml:space="preserve"> with forest loss as the response variable. Some of the predictor variables have been shown to correlate with LUC in other studies, such as GDP </w:t>
      </w:r>
      <w:r>
        <w:fldChar w:fldCharType="begin"/>
      </w:r>
      <w:r w:rsidR="007739D7">
        <w:instrText xml:space="preserve"> ADDIN ZOTERO_ITEM CSL_CITATION {"citationID":"OCVMnIfZ","properties":{"formattedCitation":"(Ewers 2006; Gong et al. 2013; Kuang et al. 2016; Fan &amp; Ding 2016)","plainCitation":"(Ewers 2006; Gong et al. 2013; Kuang et al. 2016; Fan &amp; Ding 2016)","noteIndex":0},"citationItems":[{"id":2120,"uris":["http://zotero.org/users/2170232/items/SQR23FC7"],"uri":["http://zotero.org/users/2170232/items/SQR23FC7"],"itemData":{"id":2120,"type":"article-journal","abstract":"Recent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id":1613,"uris":["http://zotero.org/users/2170232/items/EWIWA67A"],"uri":["http://zotero.org/users/2170232/items/EWIWA67A"],"itemData":{"id":1613,"type":"article-journal","abstract":"The past two decades saw rapid and massive urbanization and industrialization in China. Despite much research has been reportedly done at local and regional scales, little has been reported on the trajectories, patterns, and drivers of these two intertwining processes at the national level. This is mainly due to the fact that until recently, high resolution spatial data of land use and land cover change were not available at national level. The research reported in this paper aimed to fill this knowledge gap. Employing the China Land Use/Cover Dataset (CLUD), a national land use/cover change database our research team developed over the past decade, we analyzed the two intertwining processes at a 5 year interval from 1990 to 2010 to identify their trajectories, spatiotemporal patterns, and driving forces. Among out key findings are that (1) the nation's urban and industrial land areas increased from 4.85×104km2 in 1990 to 9.08×104km2 in 2010; (2) compared to those in the 1990s, the expansion rates of urban land and industrial land in the 2000s were respectively 2.15 and 5.79 times higher; (3) the expansion rates varied significantly across regions, revealing a distinctive spatial pattern with coastal regions being the fastest and the northeastern the slowest; (4) national development strategies and regional land-use policies had prominent impacts on land expansions; while (5) socioeconomic factors along with local and regional land-use policies explained the regional variations.","container-title":"Landscape and Urban Planning","DOI":"10.1016/j.landurbplan.2015.10.001","ISSN":"0169-2046","journalAbbreviation":"Landscape and Urban Planning","page":"21-33","source":"ScienceDirect","title":"The rapid and massive urban and industrial land expansions in China between 1990 and 2010: A CLUD-based analysis of their trajectories, patterns, and drivers","title-short":"The rapid and massive urban and industrial land expansions in China between 1990 and 2010","volume":"145","author":[{"family":"Kuang","given":"Wenhui"},{"family":"Liu","given":"Jiyuan"},{"family":"Dong","given":"Jinwei"},{"family":"Chi","given":"Wenfeng"},{"family":"Zhang","given":"Chi"}],"issued":{"date-parts":[["2016",1,1]]}}}],"schema":"https://github.com/citation-style-language/schema/raw/master/csl-citation.json"} </w:instrText>
      </w:r>
      <w:r>
        <w:fldChar w:fldCharType="separate"/>
      </w:r>
      <w:r w:rsidR="007739D7" w:rsidRPr="007739D7">
        <w:rPr>
          <w:rFonts w:ascii="Calibri" w:hAnsi="Calibri" w:cs="Calibri"/>
        </w:rPr>
        <w:t>(Ewers 2006; Gong et al. 2013; Kuang et al. 2016; Fan &amp; Ding 2016)</w:t>
      </w:r>
      <w:r>
        <w:fldChar w:fldCharType="end"/>
      </w:r>
      <w:r>
        <w:t xml:space="preserve">, the contribution of economic sectors to national GDP </w:t>
      </w:r>
      <w:r>
        <w:fldChar w:fldCharType="begin"/>
      </w:r>
      <w:r w:rsidR="007739D7">
        <w:instrText xml:space="preserve"> ADDIN ZOTERO_ITEM CSL_CITATION {"citationID":"hP2XH5Gb","properties":{"formattedCitation":"(Gong et al. 2013)","plainCitation":"(Gong et al. 2013)","noteIndex":0},"citationItems":[{"id":1526,"uris":["http://zotero.org/users/2170232/items/2LSJZH7A"],"uri":["http://zotero.org/users/2170232/items/2LSJZH7A"],"itemData":{"id":1526,"type":"article-journal","abstract":"Urban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schema":"https://github.com/citation-style-language/schema/raw/master/csl-citation.json"} </w:instrText>
      </w:r>
      <w:r>
        <w:fldChar w:fldCharType="separate"/>
      </w:r>
      <w:r w:rsidR="007739D7" w:rsidRPr="007739D7">
        <w:rPr>
          <w:rFonts w:ascii="Calibri" w:hAnsi="Calibri" w:cs="Calibri"/>
        </w:rPr>
        <w:t>(Gong et al. 2013)</w:t>
      </w:r>
      <w:r>
        <w:fldChar w:fldCharType="end"/>
      </w:r>
      <w:r>
        <w:t xml:space="preserve">, human population growth and density </w:t>
      </w:r>
      <w:r>
        <w:fldChar w:fldCharType="begin"/>
      </w:r>
      <w:r w:rsidR="007739D7">
        <w:instrText xml:space="preserve"> ADDIN ZOTERO_ITEM CSL_CITATION {"citationID":"FgOAx51a","properties":{"formattedCitation":"(Fan &amp; Ding 2016; Bonilla-Bedoya et al. 2018)","plainCitation":"(Fan &amp; Ding 2016; Bonilla-Bedoya et al. 2018)","noteIndex":0},"citationItems":[{"id":179,"uris":["http://zotero.org/users/2170232/items/WZLMGHYE"],"uri":["http://zotero.org/users/2170232/items/WZLMGHYE"],"itemData":{"id":179,"type":"article-journal","abstract":"The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scale","volume":"137","author":[{"family":"Fan","given":"Qindong"},{"family":"Ding","given":"Shengyan"}],"issued":{"date-parts":[["2016",2,1]]}}}],"schema":"https://github.com/citation-style-language/schema/raw/master/csl-citation.json"} </w:instrText>
      </w:r>
      <w:r>
        <w:fldChar w:fldCharType="separate"/>
      </w:r>
      <w:r w:rsidR="007739D7" w:rsidRPr="007739D7">
        <w:rPr>
          <w:rFonts w:ascii="Calibri" w:hAnsi="Calibri" w:cs="Calibri"/>
        </w:rPr>
        <w:t>(Fan &amp; Ding 2016; Bonilla-Bedoya et al. 2018)</w:t>
      </w:r>
      <w:r>
        <w:fldChar w:fldCharType="end"/>
      </w:r>
      <w:r>
        <w:t xml:space="preserve">, and agricultural output </w:t>
      </w:r>
      <w:r>
        <w:fldChar w:fldCharType="begin"/>
      </w:r>
      <w:r w:rsidR="007739D7">
        <w:instrText xml:space="preserve"> ADDIN ZOTERO_ITEM CSL_CITATION {"citationID":"gGsXQX2h","properties":{"formattedCitation":"(Fan &amp; Ding 2016)","plainCitation":"(Fan &amp; Ding 2016)","noteIndex":0},"citationItems":[{"id":2638,"uris":["http://zotero.org/users/2170232/items/AXZEYZ6Z"],"uri":["http://zotero.org/users/2170232/items/AXZEYZ6Z"],"itemData":{"id":2638,"type":"article-journal","abstract":"Human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scale","volume":"137","author":[{"family":"Fan","given":"Qindong"},{"family":"Ding","given":"Shengyan"}],"issued":{"date-parts":[["2016",2,1]]}}}],"schema":"https://github.com/citation-style-language/schema/raw/master/csl-citation.json"} </w:instrText>
      </w:r>
      <w:r>
        <w:fldChar w:fldCharType="separate"/>
      </w:r>
      <w:r w:rsidR="007739D7" w:rsidRPr="007739D7">
        <w:rPr>
          <w:rFonts w:ascii="Calibri" w:hAnsi="Calibri" w:cs="Calibri"/>
        </w:rPr>
        <w:t>(Fan &amp; Ding 2016)</w:t>
      </w:r>
      <w:r>
        <w:fldChar w:fldCharType="end"/>
      </w:r>
      <w:r>
        <w:t xml:space="preserve">. There are several possible explanations for the lack of effects in this study. First, previous studies have been at different scales to this study, such as global </w:t>
      </w:r>
      <w:r>
        <w:fldChar w:fldCharType="begin"/>
      </w:r>
      <w:r>
        <w:instrText xml:space="preserve"> ADDIN ZOTERO_ITEM CSL_CITATION {"citationID":"eXCVVRX8","properties":{"formattedCitation":"(Ewers, 2006)","plainCitation":"(Ewers, 2006)","dontUpdate":true,"noteIndex":0},"citationItems":[{"id":2120,"uris":["http://zotero.org/users/2170232/items/SQR23FC7"],"uri":["http://zotero.org/users/2170232/items/SQR23FC7"],"itemData":{"id":2120,"type":"article-journal","abstract":"Recent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M."}],"issued":{"date-parts":[["2006",5,1]]}}}],"schema":"https://github.com/citation-style-language/schema/raw/master/csl-citation.json"} </w:instrText>
      </w:r>
      <w:r>
        <w:fldChar w:fldCharType="separate"/>
      </w:r>
      <w:r w:rsidRPr="000467D9">
        <w:rPr>
          <w:rFonts w:ascii="Calibri" w:hAnsi="Calibri" w:cs="Calibri"/>
        </w:rPr>
        <w:t>(</w:t>
      </w:r>
      <w:r>
        <w:rPr>
          <w:rFonts w:ascii="Calibri" w:hAnsi="Calibri" w:cs="Calibri"/>
        </w:rPr>
        <w:t xml:space="preserve">e.g., </w:t>
      </w:r>
      <w:r w:rsidRPr="000467D9">
        <w:rPr>
          <w:rFonts w:ascii="Calibri" w:hAnsi="Calibri" w:cs="Calibri"/>
        </w:rPr>
        <w:t>Ewers, 2006)</w:t>
      </w:r>
      <w:r>
        <w:fldChar w:fldCharType="end"/>
      </w:r>
      <w:r>
        <w:t xml:space="preserve">, or sub-national </w:t>
      </w:r>
      <w:r>
        <w:fldChar w:fldCharType="begin"/>
      </w:r>
      <w:r>
        <w:instrText xml:space="preserve"> ADDIN ZOTERO_ITEM CSL_CITATION {"citationID":"Of4G75wQ","properties":{"formattedCitation":"(Gong et al., 2013)","plainCitation":"(Gong et al., 2013)","dontUpdate":true,"noteIndex":0},"citationItems":[{"id":1526,"uris":["http://zotero.org/users/2170232/items/2LSJZH7A"],"uri":["http://zotero.org/users/2170232/items/2LSJZH7A"],"itemData":{"id":1526,"type":"article-journal","abstract":"Urban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schema":"https://github.com/citation-style-language/schema/raw/master/csl-citation.json"} </w:instrText>
      </w:r>
      <w:r>
        <w:fldChar w:fldCharType="separate"/>
      </w:r>
      <w:r w:rsidRPr="000C6D7F">
        <w:rPr>
          <w:rFonts w:ascii="Calibri" w:hAnsi="Calibri" w:cs="Calibri"/>
        </w:rPr>
        <w:t>(</w:t>
      </w:r>
      <w:r>
        <w:rPr>
          <w:rFonts w:ascii="Calibri" w:hAnsi="Calibri" w:cs="Calibri"/>
        </w:rPr>
        <w:t xml:space="preserve">e.g., </w:t>
      </w:r>
      <w:r w:rsidRPr="000C6D7F">
        <w:rPr>
          <w:rFonts w:ascii="Calibri" w:hAnsi="Calibri" w:cs="Calibri"/>
        </w:rPr>
        <w:t>Gong et al., 2013)</w:t>
      </w:r>
      <w:r>
        <w:fldChar w:fldCharType="end"/>
      </w:r>
      <w:r>
        <w:t xml:space="preserve">, and therefore the drivers which are operating at those scales may be different to the drivers operating at the national scale in Cambodia. Second, Cambodia’s economy is </w:t>
      </w:r>
      <w:r w:rsidR="003D5F3C">
        <w:t>a rare example</w:t>
      </w:r>
      <w:r>
        <w:t xml:space="preserve"> of civil unrest and war</w:t>
      </w:r>
      <w:r w:rsidR="003D5F3C">
        <w:t xml:space="preserve"> </w:t>
      </w:r>
      <w:r w:rsidR="00406839">
        <w:t>resulting in</w:t>
      </w:r>
      <w:r>
        <w:t xml:space="preserve"> economic collapse, </w:t>
      </w:r>
      <w:r w:rsidR="00406839">
        <w:t>followed by</w:t>
      </w:r>
      <w:r>
        <w:t xml:space="preserve"> subsequent rapid economic revival</w:t>
      </w:r>
      <w:r w:rsidR="003D5F3C">
        <w:t xml:space="preserve"> </w:t>
      </w:r>
      <w:r w:rsidR="003D5F3C">
        <w:fldChar w:fldCharType="begin"/>
      </w:r>
      <w:r w:rsidR="0036712C">
        <w:instrText xml:space="preserve"> ADDIN ZOTERO_ITEM CSL_CITATION {"citationID":"jip8FHXz","properties":{"formattedCitation":"(Hamada &amp; Kasuya 1992; Riedel &amp; Turley 1999)","plainCitation":"(Hamada &amp; Kasuya 1992; Riedel &amp; Turley 1999)","dontUpdate":true,"noteIndex":0},"citationItems":[{"id":2884,"uris":["http://zotero.org/users/2170232/items/QTF3RFFE"],"uri":["http://zotero.org/users/2170232/items/QTF3RFFE"],"itemData":{"id":2884,"type":"report","event-place":"New Haven, CT","genre":"Center Discussion Paper","number":"672","publisher":"Yale University Economic Growth Center","publisher-place":"New Haven, CT","title":"The reconstruction and stbilization of the postwar Japanese economy: Possible lessons for Eastern Europe?","author":[{"family":"Hamada","given":"Koichi"},{"family":"Kasuya","given":"Munehisa"}],"issued":{"date-parts":[["1992"]]}}},{"id":2883,"uris":["http://zotero.org/users/2170232/items/98D7PRSN"],"uri":["http://zotero.org/users/2170232/items/98D7PRSN"],"itemData":{"id":2883,"type":"report","abstract":"Reform in Viet Nam is a protracted process. Beginning in 1979, it experienced both advances and reversals until 1986, a sudden acceleration in 1989-91, then gradualism hampered by a deepening entrenchment of interests in positions both for and against further liberalisation. A stop-go cycle has developed in which the new incentives and opportunities resulting from reform are sufficient to block broad reversion to earlier phases, but comprehensive advances would seem to depend on the occurrence of deeply unfavourable shocks. When crisis has seriously undermined performance, leaders have embraced reform to shore up legitimacy, while in good times they have tended to disagree over the long-term risks of reform and how to deal with those risks ...","event-place":"Paris","language":"en","note":"DOI: 10.1787/634117557525","publisher":"OECD","publisher-place":"Paris","source":"OECD iLibrary","title":"The Politics and Economics of Transition to an Open Market Economy in Viet Nam","URL":"https://www.oecd-ilibrary.org/content/paper/634117557525","author":[{"family":"Riedel","given":"James"},{"family":"Turley","given":"William S."}],"accessed":{"date-parts":[["2021",10,16]]},"issued":{"date-parts":[["1999",9,1]]}}}],"schema":"https://github.com/citation-style-language/schema/raw/master/csl-citation.json"} </w:instrText>
      </w:r>
      <w:r w:rsidR="003D5F3C">
        <w:fldChar w:fldCharType="separate"/>
      </w:r>
      <w:r w:rsidR="00046338" w:rsidRPr="00046338">
        <w:rPr>
          <w:rFonts w:ascii="Calibri" w:hAnsi="Calibri" w:cs="Calibri"/>
        </w:rPr>
        <w:t>(</w:t>
      </w:r>
      <w:r w:rsidR="00046338">
        <w:rPr>
          <w:rFonts w:ascii="Calibri" w:hAnsi="Calibri" w:cs="Calibri"/>
        </w:rPr>
        <w:t xml:space="preserve">other Asian examples include Japan and Vietnam, see </w:t>
      </w:r>
      <w:r w:rsidR="00046338" w:rsidRPr="00046338">
        <w:rPr>
          <w:rFonts w:ascii="Calibri" w:hAnsi="Calibri" w:cs="Calibri"/>
        </w:rPr>
        <w:t>Hamada &amp; Kasuya 1992</w:t>
      </w:r>
      <w:r w:rsidR="00046338">
        <w:rPr>
          <w:rFonts w:ascii="Calibri" w:hAnsi="Calibri" w:cs="Calibri"/>
        </w:rPr>
        <w:t xml:space="preserve"> and</w:t>
      </w:r>
      <w:r w:rsidR="00046338" w:rsidRPr="00046338">
        <w:rPr>
          <w:rFonts w:ascii="Calibri" w:hAnsi="Calibri" w:cs="Calibri"/>
        </w:rPr>
        <w:t xml:space="preserve"> Riedel &amp; Turley 1999)</w:t>
      </w:r>
      <w:r w:rsidR="003D5F3C">
        <w:fldChar w:fldCharType="end"/>
      </w:r>
      <w:r>
        <w:t xml:space="preserve">. This may render comparison of macroeconomic drivers of forest loss and LUC with other Asian countries ineffective. For example, Cambodia’s economy is in its infancy relative to many other countries in the region, and therefore forest loss during the study period may have been driven more by local drivers such as poverty, insecure land tenure, and land speculation by migrants, rather than national-level economics. Third, we did not include predictor variables covering institutional factors, land rights or tenure, or environmental policies, which have been shown to be important </w:t>
      </w:r>
      <w:r>
        <w:fldChar w:fldCharType="begin"/>
      </w:r>
      <w:r w:rsidR="007739D7">
        <w:instrText xml:space="preserve"> ADDIN ZOTERO_ITEM CSL_CITATION {"citationID":"W2OIhhpT","properties":{"formattedCitation":"(Culas 2007)","plainCitation":"(Culas 2007)","noteIndex":0},"citationItems":[{"id":2123,"uris":["http://zotero.org/users/2170232/items/GFXZ4GUN"],"uri":["http://zotero.org/users/2170232/items/GFXZ4GUN"],"itemData":{"id":2123,"type":"article-journal","abstract":"Institutions for secure property rights and better environmental policies for moving the system towards a sustainable growth path can reduce the height of an environmental Kuznets curve (EKC) relationship between income and deforestation. This study examines the impact of these specific institutional factors on the EKC relationship for deforestation across Latin American, African and Asian countries. The factors related to agricultural production, population, economy and governmental policies of each country are hypothesised to affect deforestation. Results of the Latin American countries show significant evidence of an EKC relationship for deforestation and also relevance of the institutional factors to reduce the rate of deforestation. Improvements in institutions for secure property rights and better environmental policies can thus significantly reduce the rate of deforestation without hindering the level of economic growth. Evidence also suggests that the effect of agricultural production on deforestation could be halted by strengthening institutional factors. There was found to be complementarity between the institutional factors and forest sector polices, and an additive effect between the institutional factors and forest products export promotion policies, which could also eventually reduce the rate of deforestation.","container-title":"Ecological Economics","DOI":"10.1016/j.ecolecon.2006.03.014","ISSN":"0921-8009","issue":"2","journalAbbreviation":"Ecological Economics","language":"en","page":"429-437","source":"ScienceDirect","title":"Deforestation and the environmental Kuznets curve: An institutional perspective","title-short":"Deforestation and the environmental Kuznets curve","volume":"61","author":[{"family":"Culas","given":"Richard J."}],"issued":{"date-parts":[["2007",3,1]]}}}],"schema":"https://github.com/citation-style-language/schema/raw/master/csl-citation.json"} </w:instrText>
      </w:r>
      <w:r>
        <w:fldChar w:fldCharType="separate"/>
      </w:r>
      <w:r w:rsidR="007739D7" w:rsidRPr="007739D7">
        <w:rPr>
          <w:rFonts w:ascii="Calibri" w:hAnsi="Calibri" w:cs="Calibri"/>
        </w:rPr>
        <w:t>(Culas 2007)</w:t>
      </w:r>
      <w:r>
        <w:fldChar w:fldCharType="end"/>
      </w:r>
      <w:r>
        <w:t>. F</w:t>
      </w:r>
      <w:r w:rsidR="00406839">
        <w:t>inally</w:t>
      </w:r>
      <w:r>
        <w:t>, we only investigated up to two years of time lag between changes in predictor variables and changes in forest cover.</w:t>
      </w:r>
      <w:r w:rsidR="00046338">
        <w:t xml:space="preserve"> It is possible that changes in certain macroeconomics take longer than two years to have a significant effect on forest cover. For example, </w:t>
      </w:r>
      <w:r w:rsidR="008B3DA9">
        <w:t>the “trickle down” effect of foreign investment, whereby the local economies of the host nation see increased</w:t>
      </w:r>
      <w:r w:rsidR="00046338">
        <w:t xml:space="preserve"> </w:t>
      </w:r>
      <w:r w:rsidR="008B3DA9">
        <w:t xml:space="preserve">productivity and profitability which in turn may drive land use change and forest loss at the local scale, is smaller and more fragile than usually assumed </w:t>
      </w:r>
      <w:r w:rsidR="008B3DA9">
        <w:fldChar w:fldCharType="begin"/>
      </w:r>
      <w:r w:rsidR="008B3DA9">
        <w:instrText xml:space="preserve"> ADDIN ZOTERO_ITEM CSL_CITATION {"citationID":"O4QciKqb","properties":{"formattedCitation":"(Jensen 2006)","plainCitation":"(Jensen 2006)","noteIndex":0},"citationItems":[{"id":2885,"uris":["http://zotero.org/users/2170232/items/2MW4TFCV"],"uri":["http://zotero.org/users/2170232/items/2MW4TFCV"],"itemData":{"id":2885,"type":"article-journal","abstract":"This article sets out to make an assessment of the relationship between Foreign Direct Investment (FDI) and economic growth in transition countries through a review of the empirical record to date. The first part reviews the phases of transition in combination with policy efforts to attract FDI. In the second part, different growth studies across levels of analysis are juxtaposed to better understand the overall growth impact of FDI in transition countries. Since foreign firms have a large direct effect on performance at the level of the firm it is often assumed that they automatically contribute to the economic growth of host countries. The missing link in this discussion is the concept of ‘trickle down’. Superior direct effects in terms of productivity and profitability are hypothesised to trickle down to the host country both as spillovers, or catalysing effects on local firms, and through the expected increase in income that such direct and indirect effects in combination will generate through labour income and taxes. The review shows that such trickle down effects are quite fragile in terms of being demonstrated to exist in transition countries. Combined with widespread usage of tax holidays, subsidies and acquisition discounts, it is not certain that positive direct effects equate with economic growth in these countries.","container-title":"Europe-Asia Studies","DOI":"10.1080/09668130600831084","ISSN":"0966-8136","issue":"6","note":"publisher: Routledge\n_eprint: https://doi.org/10.1080/09668130600831084","page":"881-902","source":"Taylor and Francis+NEJM","title":"Foreign Direct Investment and economic transition: Panacea or pain killer?","title-short":"Foreign Direct Investment and economic transition","volume":"58","author":[{"family":"Jensen","given":"Camilla"}],"issued":{"date-parts":[["2006",9,1]]}}}],"schema":"https://github.com/citation-style-language/schema/raw/master/csl-citation.json"} </w:instrText>
      </w:r>
      <w:r w:rsidR="008B3DA9">
        <w:fldChar w:fldCharType="separate"/>
      </w:r>
      <w:r w:rsidR="008B3DA9" w:rsidRPr="008B3DA9">
        <w:rPr>
          <w:rFonts w:ascii="Calibri" w:hAnsi="Calibri" w:cs="Calibri"/>
        </w:rPr>
        <w:t>(Jensen 2006)</w:t>
      </w:r>
      <w:r w:rsidR="008B3DA9">
        <w:fldChar w:fldCharType="end"/>
      </w:r>
      <w:r w:rsidR="008B3DA9">
        <w:t>.</w:t>
      </w:r>
      <w:r w:rsidR="00F55680">
        <w:t xml:space="preserve"> </w:t>
      </w:r>
      <w:r w:rsidR="003205E2">
        <w:t xml:space="preserve">Therefore, if there is an indirect effect of foreign investment on forest loss, it may take </w:t>
      </w:r>
      <w:r w:rsidR="00406839">
        <w:t>several</w:t>
      </w:r>
      <w:r w:rsidR="003205E2">
        <w:t xml:space="preserve"> years for this effect to trickle down to forests at local levels. </w:t>
      </w:r>
      <w:r w:rsidR="00F55680">
        <w:t xml:space="preserve">  </w:t>
      </w:r>
      <w:r w:rsidR="00046338">
        <w:t xml:space="preserve"> </w:t>
      </w:r>
    </w:p>
    <w:p w14:paraId="3C8E1423" w14:textId="3798BDD3" w:rsidR="00AD3F12" w:rsidRPr="00AD3F12" w:rsidRDefault="00AD3F12" w:rsidP="006F2311">
      <w:pPr>
        <w:rPr>
          <w:b/>
          <w:bCs/>
          <w:i/>
          <w:iCs/>
        </w:rPr>
      </w:pPr>
      <w:r w:rsidRPr="00AD3F12">
        <w:rPr>
          <w:b/>
          <w:bCs/>
          <w:i/>
          <w:iCs/>
        </w:rPr>
        <w:t>New ELCs</w:t>
      </w:r>
    </w:p>
    <w:p w14:paraId="79089BA6" w14:textId="7DE2BC4D" w:rsidR="003205E2" w:rsidRDefault="006F2311" w:rsidP="006F2311">
      <w:r>
        <w:t xml:space="preserve">In contrast, the macroeconomic variables were effective at predicting the allocation of new ELCs. Although ELCs do not guarantee deforestation (indeed not all ELCs are awarded on forested land), the deforestation rates within ELCs are up to 105% higher than comparable areas with no ELCs </w:t>
      </w:r>
      <w:r>
        <w:fldChar w:fldCharType="begin"/>
      </w:r>
      <w:r w:rsidR="007739D7">
        <w:instrText xml:space="preserve"> ADDIN ZOTERO_ITEM CSL_CITATION {"citationID":"d0P6J01P","properties":{"formattedCitation":"(Davis et al. 2015)","plainCitation":"(Davis et al. 2015)","noteIndex":0},"citationItems":[{"id":2465,"uris":["http://zotero.org/users/2170232/items/BM9FJ8GU"],"uri":["http://zotero.org/users/2170232/items/BM9FJ8GU"],"itemData":{"id":2465,"type":"article-journal","abstract":"Investment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fldChar w:fldCharType="separate"/>
      </w:r>
      <w:r w:rsidR="007739D7" w:rsidRPr="007739D7">
        <w:rPr>
          <w:rFonts w:ascii="Calibri" w:hAnsi="Calibri" w:cs="Calibri"/>
        </w:rPr>
        <w:t>(Davis et al. 2015)</w:t>
      </w:r>
      <w:r>
        <w:fldChar w:fldCharType="end"/>
      </w:r>
      <w:r>
        <w:t xml:space="preserve">. There has also been widespread allocation of ELCs within forested community land and protected areas, resulting in the loss of important forest habitat, rural livelihoods, and indigenous land rights </w:t>
      </w:r>
      <w:r>
        <w:fldChar w:fldCharType="begin"/>
      </w:r>
      <w:r w:rsidR="007739D7">
        <w:instrText xml:space="preserve"> ADDIN ZOTERO_ITEM CSL_CITATION {"citationID":"kZPn6vLD","properties":{"formattedCitation":"(Global Witness 2013; Watson et al. 2014)","plainCitation":"(Global Witness 2013; Watson et al. 2014)","noteIndex":0},"citationItems":[{"id":2447,"uris":["http://zotero.org/users/2170232/items/UWK5XCYU"],"uri":["http://zotero.org/users/2170232/items/UWK5XCYU"],"itemData":{"id":2447,"type":"report","publisher":"Global Witness","title":"Rubber Barons: How Vietnamese companies and international financiers are driving a land grabbing crisis in Cambodia and Laos","title-short":"Rubber Barons","URL":"https://www.globalwitness.org/en-gb/campaigns/land-deals/rubberbarons/","author":[{"family":"Global Witness","given":""}],"issued":{"date-parts":[["2013"]]}}},{"id":2042,"uris":["http://zotero.org/users/2170232/items/PKUNSUBE"],"uri":["http://zotero.org/users/2170232/items/PKUNSUBE"],"itemData":{"id":2042,"type":"article-journal","abstract":"Originally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potential.","container-title":"Nature","DOI":"10.1038/nature13947","ISSN":"1476-4687","issue":"7525","language":"en","page":"67-73","source":"www.nature.com","title":"The performance and potential of protected areas","volume":"515","author":[{"family":"Watson","given":"James E. M."},{"family":"Dudley","given":"Nigel"},{"family":"Segan","given":"Daniel B."},{"family":"Hockings","given":"Marc"}],"issued":{"date-parts":[["2014",11]]}}}],"schema":"https://github.com/citation-style-language/schema/raw/master/csl-citation.json"} </w:instrText>
      </w:r>
      <w:r>
        <w:fldChar w:fldCharType="separate"/>
      </w:r>
      <w:r w:rsidR="007739D7" w:rsidRPr="007739D7">
        <w:rPr>
          <w:rFonts w:ascii="Calibri" w:hAnsi="Calibri" w:cs="Calibri"/>
        </w:rPr>
        <w:t>(Global Witness 2013; Watson et al. 2014)</w:t>
      </w:r>
      <w:r>
        <w:fldChar w:fldCharType="end"/>
      </w:r>
      <w:r>
        <w:t xml:space="preserve">. Therefore, ELCs themselves can be considered direct drivers of forest loss, rendering the macroeconomic predictors indirect drivers. Our results have demonstrated that during the study period, the </w:t>
      </w:r>
      <w:r w:rsidR="000E32E5">
        <w:t>national economy and economic development</w:t>
      </w:r>
      <w:r>
        <w:t xml:space="preserve"> of the country</w:t>
      </w:r>
      <w:r w:rsidR="00B66116">
        <w:t>, including increases in foreign investment, changes in the structure of national GDP, and fluctuations in agricultural commodity prices,</w:t>
      </w:r>
      <w:r>
        <w:t xml:space="preserve"> w</w:t>
      </w:r>
      <w:r w:rsidR="000E32E5">
        <w:t>ere</w:t>
      </w:r>
      <w:r>
        <w:t xml:space="preserve"> closely linked to the increase in ELCs, which in turn have</w:t>
      </w:r>
      <w:r w:rsidR="00B66116">
        <w:t xml:space="preserve"> been shown to</w:t>
      </w:r>
      <w:r>
        <w:t xml:space="preserve"> driv</w:t>
      </w:r>
      <w:r w:rsidR="00B66116">
        <w:t>e</w:t>
      </w:r>
      <w:r>
        <w:t xml:space="preserve"> forest loss</w:t>
      </w:r>
      <w:r w:rsidR="00B66116">
        <w:t xml:space="preserve"> </w:t>
      </w:r>
      <w:r w:rsidR="00B66116">
        <w:fldChar w:fldCharType="begin"/>
      </w:r>
      <w:r w:rsidR="003D5F3C">
        <w:instrText xml:space="preserve"> ADDIN ZOTERO_ITEM CSL_CITATION {"citationID":"s3W9z4mt","properties":{"formattedCitation":"(Davis et al. 2015)","plainCitation":"(Davis et al. 2015)","dontUpdate":true,"noteIndex":0},"citationItems":[{"id":2465,"uris":["http://zotero.org/users/2170232/items/BM9FJ8GU"],"uri":["http://zotero.org/users/2170232/items/BM9FJ8GU"],"itemData":{"id":2465,"type":"article-journal","abstract":"Investment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rsidR="00B66116">
        <w:fldChar w:fldCharType="separate"/>
      </w:r>
      <w:r w:rsidR="00B66116" w:rsidRPr="007739D7">
        <w:rPr>
          <w:rFonts w:ascii="Calibri" w:hAnsi="Calibri" w:cs="Calibri"/>
        </w:rPr>
        <w:t>(Davis et al. 2015; Watson et al. 2014)</w:t>
      </w:r>
      <w:r w:rsidR="00B66116">
        <w:fldChar w:fldCharType="end"/>
      </w:r>
      <w:r>
        <w:t xml:space="preserve">. </w:t>
      </w:r>
    </w:p>
    <w:p w14:paraId="2B72F5CE" w14:textId="6340E90C" w:rsidR="0089542A" w:rsidRPr="0089542A" w:rsidRDefault="0089542A" w:rsidP="00801E63">
      <w:pPr>
        <w:rPr>
          <w:i/>
          <w:iCs/>
        </w:rPr>
      </w:pPr>
      <w:r w:rsidRPr="0089542A">
        <w:rPr>
          <w:i/>
          <w:iCs/>
        </w:rPr>
        <w:lastRenderedPageBreak/>
        <w:t xml:space="preserve">Economics </w:t>
      </w:r>
    </w:p>
    <w:p w14:paraId="2DECDAB0" w14:textId="285EC17D" w:rsidR="006F2311" w:rsidRDefault="006F2311" w:rsidP="006F2311">
      <w:r>
        <w:t xml:space="preserve">There were clear relationships between the size of the agricultural sector, the rates of foreign investment, and the number of new ELCs. </w:t>
      </w:r>
      <w:r w:rsidR="00B82439">
        <w:t xml:space="preserve">When the agricultural sector’s contribution to national GDP increases, so do the predicted number of new ELCs. </w:t>
      </w:r>
      <w:r w:rsidR="00801E63">
        <w:t xml:space="preserve">For example, when the agricultural sector’s </w:t>
      </w:r>
      <w:r w:rsidR="00B82439">
        <w:t>GDP proportion</w:t>
      </w:r>
      <w:r w:rsidR="00801E63">
        <w:t xml:space="preserve"> decreases by 3% in a given year relative to the previous year, the number of new ELCs allocated that year is predicted to be approximately 2, whereas when the sector’s</w:t>
      </w:r>
      <w:r w:rsidR="00B82439">
        <w:t xml:space="preserve"> GDP</w:t>
      </w:r>
      <w:r w:rsidR="00801E63">
        <w:t xml:space="preserve"> proportion</w:t>
      </w:r>
      <w:r w:rsidR="00B82439">
        <w:t xml:space="preserve"> </w:t>
      </w:r>
      <w:r w:rsidR="00801E63">
        <w:t xml:space="preserve">increases in a given year by 1% relative to the previous year, the number of new ELCs is predicted to be 6. </w:t>
      </w:r>
      <w:r w:rsidR="00B82439">
        <w:t>Likewise, when foreign investment into the country increases, so do the predicted number of new ELCs. For example, w</w:t>
      </w:r>
      <w:r w:rsidR="00801E63">
        <w:t xml:space="preserve">hen the amount of foreign investment decreases by approximately $10 million relative to the previous year, the number of new ELCs one year later is predicted to be 3. Conversely, when foreign investment in a given year increases by approximately $300 million relative to the previous year, then one year later the number of new ELCs is predicted to be 10. </w:t>
      </w:r>
      <w:r w:rsidR="00B82439">
        <w:t>Although our results do not describe causation, it is clear that there are important relationships between foreign investment, agriculture, and the development of new ELCs.</w:t>
      </w:r>
      <w:r w:rsidR="00131C5D">
        <w:t xml:space="preserve"> Cambodia is likely to continue prioritising growth within the agricultural sector </w:t>
      </w:r>
      <w:r w:rsidR="00131C5D">
        <w:fldChar w:fldCharType="begin"/>
      </w:r>
      <w:r w:rsidR="00131C5D">
        <w:instrText xml:space="preserve"> ADDIN ZOTERO_ITEM CSL_CITATION {"citationID":"d0gRFWeG","properties":{"formattedCitation":"(Eliste &amp; Zorya 2015)","plainCitation":"(Eliste &amp; Zorya 2015)","noteIndex":0},"citationItems":[{"id":2752,"uris":["http://zotero.org/users/2170232/items/U2ZTSPR5"],"uri":["http://zotero.org/users/2170232/items/U2ZTSPR5"],"itemData":{"id":2752,"type":"report","event-place":"Washington DC, USA","publisher":"World Bank Group","publisher-place":"Washington DC, USA","title":"Cambodian agriculture in transition: Opportunities and risks","URL":"http://documents.worldbank.org/curated/en/805091467993504209/Cambodian-agriculture-in-transition-opportunities-and-risks","author":[{"family":"Eliste","given":"Paavo"},{"family":"Zorya","given":"Sergiy"}],"issued":{"date-parts":[["2015"]]}}}],"schema":"https://github.com/citation-style-language/schema/raw/master/csl-citation.json"} </w:instrText>
      </w:r>
      <w:r w:rsidR="00131C5D">
        <w:fldChar w:fldCharType="separate"/>
      </w:r>
      <w:r w:rsidR="00131C5D" w:rsidRPr="00131C5D">
        <w:rPr>
          <w:rFonts w:ascii="Calibri" w:hAnsi="Calibri" w:cs="Calibri"/>
        </w:rPr>
        <w:t>(</w:t>
      </w:r>
      <w:proofErr w:type="spellStart"/>
      <w:r w:rsidR="00131C5D" w:rsidRPr="00131C5D">
        <w:rPr>
          <w:rFonts w:ascii="Calibri" w:hAnsi="Calibri" w:cs="Calibri"/>
        </w:rPr>
        <w:t>Eliste</w:t>
      </w:r>
      <w:proofErr w:type="spellEnd"/>
      <w:r w:rsidR="00131C5D" w:rsidRPr="00131C5D">
        <w:rPr>
          <w:rFonts w:ascii="Calibri" w:hAnsi="Calibri" w:cs="Calibri"/>
        </w:rPr>
        <w:t xml:space="preserve"> &amp; </w:t>
      </w:r>
      <w:proofErr w:type="spellStart"/>
      <w:r w:rsidR="00131C5D" w:rsidRPr="00131C5D">
        <w:rPr>
          <w:rFonts w:ascii="Calibri" w:hAnsi="Calibri" w:cs="Calibri"/>
        </w:rPr>
        <w:t>Zorya</w:t>
      </w:r>
      <w:proofErr w:type="spellEnd"/>
      <w:r w:rsidR="00131C5D" w:rsidRPr="00131C5D">
        <w:rPr>
          <w:rFonts w:ascii="Calibri" w:hAnsi="Calibri" w:cs="Calibri"/>
        </w:rPr>
        <w:t xml:space="preserve"> 2015)</w:t>
      </w:r>
      <w:r w:rsidR="00131C5D">
        <w:fldChar w:fldCharType="end"/>
      </w:r>
      <w:r w:rsidR="00131C5D">
        <w:t xml:space="preserve">, and neoliberal economic policies will continue to encourage foreign investment </w:t>
      </w:r>
      <w:r w:rsidR="00131C5D">
        <w:fldChar w:fldCharType="begin"/>
      </w:r>
      <w:r w:rsidR="00131C5D">
        <w:instrText xml:space="preserve"> ADDIN ZOTERO_ITEM CSL_CITATION {"citationID":"4Srbtbpu","properties":{"formattedCitation":"(Hughes &amp; Un 2011; Green 2020; Phillips &amp; Davy 2021)","plainCitation":"(Hughes &amp; Un 2011; Green 2020; Phillips &amp; Davy 2021)","noteIndex":0},"citationItems":[{"id":2448,"uris":["http://zotero.org/users/2170232/items/IRTUHWES"],"uri":["http://zotero.org/users/2170232/items/IRTUHWES"],"itemData":{"id":2448,"type":"report","collection-title":"NIAS Studies in Asian Topic","event-place":"Leifsgade 33, DK-2300 Copenhagen S, Denmark","number":"49","publisher":"Nordic Institute of Asian Studies","publisher-place":"Leifsgade 33, DK-2300 Copenhagen S, Denmark","title":"Cambodia's Economic Transformation","author":[{"family":"Hughes","given":"C"},{"family":"Un","given":"K"}],"issued":{"date-parts":[["2011"]]}}},{"id":2901,"uris":["http://zotero.org/users/2170232/items/GEVSXNPE"],"uri":["http://zotero.org/users/2170232/items/GEVSXNPE"],"itemData":{"id":2901,"type":"article-journal","abstract":"In the context of neoliberal financialization, what is the role of debt in agrarian change? To address this question, I combine insights about debt from rural political ecology and development finance scholarship in order to analyze the relationship between changing agroecological practices and household indebtedness in a Cambodian rice- farming village. In the past two decades, Cambodians have borrowed from commercial microfinance institutions at the highest rate per capita of any country in the world. With fewer Cambodians farming, and agricultural production increasingly commodified, researchers have begun to study how the fast growth of Cambodia's microfinance industry contributes to these changes. By building upon the concept of financial landscapes, which highlights the diversity of social and material relations of debt in rural economies, I argue that agrarian change in Cambodia is entangled with rising household debts used to fund both agricultural production and social reproduction. I describe how non-monetary debt obligations underpinned labor-intensive rice agricultural practices in the 1980s and early 1990s, but have since been replaced by monetary debt used to fund household basic needs and commodified agricultural production. To make my argument, I draw upon 20 months of ethnographic research within a farming village in Kampot Province. This article contributes to rural political ecology and development finance scholarship by exploring debt in its diverse material and social forms at a time of deepening financialization, and how these debt relations in turn shape the economic and agroecological contours of contemporary agrarian change.","container-title":"Geoforum","DOI":"10.1016/j.geoforum.2020.02.001","ISSN":"0016-7185","journalAbbreviation":"Geoforum","language":"en","source":"ScienceDirect","title":"Financial landscapes of agrarian change in Cambodia","URL":"https://www.sciencedirect.com/science/article/pii/S0016718520300361","author":[{"family":"Green","given":"W. Nathan"}],"accessed":{"date-parts":[["2021",10,20]]},"issued":{"date-parts":[["2020",2,15]]}}},{"id":2903,"uris":["http://zotero.org/users/2170232/items/JHUW6T38"],"uri":["http://zotero.org/users/2170232/items/JHUW6T38"],"itemData":{"id":2903,"type":"chapter","abstract":"The main purpose of this chapter is to shine a light on transnational ‘neoliberalization’ of civil society. Transformations from authoritarian states to capitalist free-market economies are often linked to democratization, however the lack of welfare state structures and protective levels of regulation create avenues for exploitation. This exists in the growing number of hybridized civil society organizations in Southeast Asia. In order to demonstrate the impact of transnational neoliberalism on civil society, findings from a study about the microfinance sector in Cambodia, where the microfinance industry appeared to be creating serious consequences for Cambodian microfinance borrowers, are reported in this chapter. Based on interviews with workers within NGOs and UN agencies that operated to support people who have been released/freed from trafficking in persons, and those involved in the prevention of irregular migration and trafficking or policy initiatives, the study revealed the creation of highly vulnerable neoliberal subjects. The study also illuminated the impact of a privatized and marketized microfinance industry in Cambodia, thus demonstrating how the ‘neoliberalization’ of civil society’s social enterprise has in fact increased rather than prevented poverty.","container-title":"Transnational Civil Society in Asia","ISBN":"978-1-00-311048-4","note":"number-of-pages: 18","publisher":"Routledge","title":"Transnational neoliberalism in Asian civil society: Microfinance and poverty in Cambodia","title-short":"Transnational neoliberalism in Asian civil society","author":[{"family":"Phillips","given":"Ruth"},{"family":"Davy","given":"Deanna"}],"issued":{"date-parts":[["2021"]]}}}],"schema":"https://github.com/citation-style-language/schema/raw/master/csl-citation.json"} </w:instrText>
      </w:r>
      <w:r w:rsidR="00131C5D">
        <w:fldChar w:fldCharType="separate"/>
      </w:r>
      <w:r w:rsidR="00131C5D" w:rsidRPr="00131C5D">
        <w:rPr>
          <w:rFonts w:ascii="Calibri" w:hAnsi="Calibri" w:cs="Calibri"/>
        </w:rPr>
        <w:t>(Hughes &amp; Un 2011; Green 2020; Phillips &amp; Davy 2021)</w:t>
      </w:r>
      <w:r w:rsidR="00131C5D">
        <w:fldChar w:fldCharType="end"/>
      </w:r>
      <w:r w:rsidR="001D4CBF">
        <w:t xml:space="preserve">. Therefore, it is likely that the development of industrial-scale commercial agriculture will continue. </w:t>
      </w:r>
      <w:r>
        <w:t xml:space="preserve">The process of awarding ELC contracts in Cambodia has been criticised for lacking transparency and for corruption </w:t>
      </w:r>
      <w:r>
        <w:fldChar w:fldCharType="begin"/>
      </w:r>
      <w:r w:rsidR="007739D7">
        <w:instrText xml:space="preserve"> ADDIN ZOTERO_ITEM CSL_CITATION {"citationID":"ZEOqCtHg","properties":{"formattedCitation":"(Vrieze &amp; Kuch 2012; Neef et al. 2013)","plainCitation":"(Vrieze &amp; Kuch 2012; Neef et al. 2013)","noteIndex":0},"citationItems":[{"id":2486,"uris":["http://zotero.org/users/2170232/items/2HCRAVQT"],"uri":["http://zotero.org/users/2170232/items/2HCRAVQT"],"itemData":{"id":2486,"type":"article-journal","abstract":"In rural Cambodia the rampant allocation of state land to political elites and foreign investors in the form of “Economic Land Concessions (ELCs)”—estimated to cover an area equivalent to more than 50 % of the country’s arable land—has been associated with encroachment on farmland, community forests and indigenous territories and has contributed to a rapid increase of rural landlessness. By contrast, less than 7,000 ha of land have been allotted to land-poor and landless farmers under the pilot project for “Social Land Concessions (SLCs)” supported by various donor agencies. Drawing on fieldwork conducted in two research sites in Kratie Province, this article sheds light on the mechanisms and discourses surrounding the allocation of ELCs and SLCs. Our findings suggest that large-scale and non-transparent land leases in the form of ELCs are discursively justified as land policy measures supporting national development, creating employment opportunities in rural areas, and restoring “degraded” and “non-use” land, while SLCs are presented by the government and its international donors as a complementary policy to reduce landlessness, alleviate rural poverty, and ensure a more equitable land distribution. We argue that the SLC pilot project is a deliberate strategy deployed by the Cambodian ruling elite to instrumentalize international aid agencies in formalizing displacement and distributional injustices, in smoothing the adverse social impacts of their very own land policies and in minimizing resistance by dispossessed rural people.","container-title":"Journal of Agricultural and Environmental Ethics","DOI":"10.1007/s10806-013-9446-y","ISSN":"1573-322X","issue":"6","journalAbbreviation":"J Agric Environ Ethics","language":"en","page":"1085-1103","source":"Springer Link","title":"The Politics and Ethics of Land Concessions in Rural Cambodia","volume":"26","author":[{"family":"Neef","given":"Andreas"},{"family":"Touch","given":"Siphat"},{"family":"Chiengthong","given":"Jamaree"}],"issued":{"date-parts":[["2013",12,1]]}}},{"id":2053,"uris":["http://zotero.org/users/2170232/items/C9AXILM9"],"uri":["http://zotero.org/users/2170232/items/C9AXILM9"],"itemData":{"id":2053,"type":"article-newspaper","container-title":"The Cambodia Daily","page":"4-11","title":"Carving up Cambodia: One concesion at a time","author":[{"family":"Vrieze","given":"Paul"},{"family":"Kuch","given":"Naren"}],"issued":{"date-parts":[["2012"]]}}}],"schema":"https://github.com/citation-style-language/schema/raw/master/csl-citation.json"} </w:instrText>
      </w:r>
      <w:r>
        <w:fldChar w:fldCharType="separate"/>
      </w:r>
      <w:r w:rsidR="007739D7" w:rsidRPr="007739D7">
        <w:rPr>
          <w:rFonts w:ascii="Calibri" w:hAnsi="Calibri" w:cs="Calibri"/>
        </w:rPr>
        <w:t>(Vrieze &amp; Kuch 2012; Neef et al. 2013)</w:t>
      </w:r>
      <w:r>
        <w:fldChar w:fldCharType="end"/>
      </w:r>
      <w:r>
        <w:t>, and so it is not always possible to identify who owns a particular concession. Nevertheless, of those identified</w:t>
      </w:r>
      <w:r w:rsidR="00F513EE">
        <w:t xml:space="preserve"> (80% are identifiable)</w:t>
      </w:r>
      <w:r>
        <w:t xml:space="preserve">, 48% were foreign owned </w:t>
      </w:r>
      <w:r>
        <w:fldChar w:fldCharType="begin"/>
      </w:r>
      <w:r w:rsidR="007739D7">
        <w:instrText xml:space="preserve"> ADDIN ZOTERO_ITEM CSL_CITATION {"citationID":"FzYs6DA6","properties":{"formattedCitation":"(Licadho 2019)","plainCitation":"(Licadho 2019)","noteIndex":0},"citationItems":[{"id":2054,"uris":["http://zotero.org/users/2170232/items/4ICGYNM8"],"uri":["http://zotero.org/users/2170232/items/4ICGYNM8"],"itemData":{"id":2054,"type":"map","title":"Economic Land Concessions in Cambodia","URL":"http://www.licadho-cambodia.org","author":[{"family":"Licadho","given":""}],"accessed":{"date-parts":[["2019",9,24]]},"issued":{"date-parts":[["2019"]]}}}],"schema":"https://github.com/citation-style-language/schema/raw/master/csl-citation.json"} </w:instrText>
      </w:r>
      <w:r>
        <w:fldChar w:fldCharType="separate"/>
      </w:r>
      <w:r w:rsidR="007739D7" w:rsidRPr="007739D7">
        <w:rPr>
          <w:rFonts w:ascii="Calibri" w:hAnsi="Calibri" w:cs="Calibri"/>
        </w:rPr>
        <w:t>(Licadho 2019)</w:t>
      </w:r>
      <w:r>
        <w:fldChar w:fldCharType="end"/>
      </w:r>
      <w:r>
        <w:t>. Despite real and perceived benefits of attracting foreign investment and</w:t>
      </w:r>
      <w:r w:rsidR="00A54C9C">
        <w:t xml:space="preserve"> promoting the</w:t>
      </w:r>
      <w:r>
        <w:t xml:space="preserve"> expan</w:t>
      </w:r>
      <w:r w:rsidR="00A54C9C">
        <w:t>sion</w:t>
      </w:r>
      <w:r>
        <w:t xml:space="preserve"> of cash crops</w:t>
      </w:r>
      <w:r w:rsidR="00415058">
        <w:t xml:space="preserve"> </w:t>
      </w:r>
      <w:r w:rsidR="00415058">
        <w:fldChar w:fldCharType="begin"/>
      </w:r>
      <w:r w:rsidR="00D955C9">
        <w:instrText xml:space="preserve"> ADDIN ZOTERO_ITEM CSL_CITATION {"citationID":"IRyuBzHF","properties":{"formattedCitation":"(Li et al. 2018; Taylor et al. 2019)","plainCitation":"(Li et al. 2018; Taylor et al. 2019)","noteIndex":0},"citationItems":[{"id":2910,"uris":["http://zotero.org/users/2170232/items/EKRIK89S"],"uri":["http://zotero.org/users/2170232/items/EKRIK89S"],"itemData":{"id":2910,"type":"article-journal","abstract":"Cash crops have kept expanding at an accelerating rate across the globe during the last decades. It therefore requires elaborate efforts to examine the socioeconomic and ecological consequences of cash crop cultivation. With a case of the Hangzhou region in subtropical China, this paper investigated the dynamic patterns of four cash crop types (tea, fruit, mulberry and nursery) at town level by using aerial photos; and then quantified the subsequent socioeconomic and ecological consequences using spatial regression. In particular, the socioeconomic impacts were examined based on a set of socioeconomic indicators and the ecological consequences were described by ecosystem service values (ESV) and landscape pattern changes. Results indicated that the economic benefits of cash crop cultivation were evident, including raising household income, boosting rural economy, increasing fiscal revenues, and attracting foreign investment. Cash crop cultivation generally yielded positive social impacts (welfare promotion, infrastructure improvement and job creation), but the impacts also varied with crop types. Cash crop cultivation not only increased landscape fragmentation, isolation and irregularity, but also decreased the dominance, connectivity and aggregation of forest and farmland. Specifically, forest was more subjected to tea and fruit expansion, while farmland was more vulnerable to mulberry and nursery expansion. A significant negative relationship was identified between ESV changes and cash crop expansion. It implied that cash crop cultivation would impair the capacity of ecosystems to deliver services. Our study demonstrated an applicable framework to identify the essential indicators for land use policy makers to monitor the socioeconomic and ecological consequences of cash crop cultivation.","container-title":"Land Use Policy","DOI":"10.1016/j.landusepol.2018.04.009","ISSN":"0264-8377","journalAbbreviation":"Land Use Policy","language":"en","page":"46-57","source":"ScienceDirect","title":"Exploring the socioeconomic and ecological consequences of cash crop cultivation for policy implications","volume":"76","author":[{"family":"Li","given":"Jing"},{"family":"Zhang","given":"Zelie"},{"family":"Jin","given":"Xianfeng"},{"family":"Chen","given":"Jiaquan"},{"family":"Zhang","given":"Shaojia"},{"family":"He","given":"Zong"},{"family":"Li","given":"Sheng"},{"family":"He","given":"Zhiming"},{"family":"Zhang","given":"Haipeng"},{"family":"Xiao","given":"He"}],"issued":{"date-parts":[["2018",7,1]]}}},{"id":2914,"uris":["http://zotero.org/users/2170232/items/XPP5Z55A"],"uri":["http://zotero.org/users/2170232/items/XPP5Z55A"],"itemData":{"id":2914,"type":"report","abstract":"A number of studies have examined the direct impacts of cash crop production on producer households. This is the first to quantify the general equilibrium impacts of introducing a new cash crop into a poor isolated economy, including impacts on environmentally sensitive fishing activities. We find that the introduction of oil palm production explains the striking growth in income in Uganda’s Ssese Islands, including large-scale production spillovers to non-palm sectors, as well as a significant reduction in pressure on the Lake Victoria fishery. It appears that oil palm development, via a project that connected a commercial aggregator with small-scale farmers, enabled an economy at a low-level equilibrium to transition to a higher equilibrium state, with positive spillovers across households as well as across production sectors. Econometric evidence confirms results from simulations using an island-wide general equilibrium model parameterized from new micro survey data.","language":"English","publisher":"IFAD","source":"agris.fao.org","title":"Local-economy impacts of cash crop promotion","URL":"https://www.ifad.org/en/web/knowledge/publication/asset/41374221","author":[{"family":"Taylor","given":"J. E."},{"family":"Whitney","given":"E."},{"family":"Zhu","given":"H."}],"accessed":{"date-parts":[["2021",10,20]]},"issued":{"date-parts":[["2019"]]}}}],"schema":"https://github.com/citation-style-language/schema/raw/master/csl-citation.json"} </w:instrText>
      </w:r>
      <w:r w:rsidR="00415058">
        <w:fldChar w:fldCharType="separate"/>
      </w:r>
      <w:r w:rsidR="00D955C9" w:rsidRPr="00D955C9">
        <w:rPr>
          <w:rFonts w:ascii="Calibri" w:hAnsi="Calibri" w:cs="Calibri"/>
        </w:rPr>
        <w:t>(Li et al. 2018; Taylor et al. 2019)</w:t>
      </w:r>
      <w:r w:rsidR="00415058">
        <w:fldChar w:fldCharType="end"/>
      </w:r>
      <w:r>
        <w:t>, there are numerous negative effects on local people and the environment</w:t>
      </w:r>
      <w:r w:rsidR="00050B93">
        <w:t xml:space="preserve"> </w:t>
      </w:r>
      <w:r w:rsidR="00050B93">
        <w:fldChar w:fldCharType="begin"/>
      </w:r>
      <w:r w:rsidR="00A54C9C">
        <w:instrText xml:space="preserve"> ADDIN ZOTERO_ITEM CSL_CITATION {"citationID":"xeG3bkk0","properties":{"formattedCitation":"(Curtis et al. 2018; Zaehringer et al. 2020)","plainCitation":"(Curtis et al. 2018; Zaehringer et al. 2020)","noteIndex":0},"citationItems":[{"id":2375,"uris":["http://zotero.org/users/2170232/items/MGBJXYEN"],"uri":["http://zotero.org/users/2170232/items/MGBJXYEN"],"itemData":{"id":2375,"type":"article-journal","abstract":"Mapping global deforestation patterns\nForest loss is being driven by various factors, including commodity production, forestry, agriculture, wildfire, and urbanization. Curtis et al. used high-resolution Google Earth imagery to map and classify global forest loss since 2001. Just over a quarter of global forest loss is due to deforestation through permanent land use change for the production of commodities, including beef, soy, palm oil, and wood fiber. Despite regional differences and efforts by governments, conservationists, and corporations to stem the losses, the overall rate of commodity-driven deforestation has not declined since 2001.\nScience, this issue p. 1108\nGlobal maps of forest loss depict the scale and magnitude of forest disturbance, yet companies, governments, and nongovernmental organizations need to distinguish permanent conversion (i.e., deforestation) from temporary loss from forestry or wildfire. Using satellite imagery, we developed a forest loss classification model to determine a spatial attribution of forest disturbance to the dominant drivers of land cover and land use change over the period 2001 to 2015. Our results indicate that 27% of global forest loss can be attributed to deforestation through permanent land use change for commodity production. The remaining areas maintained the same land use over 15 years; in those areas, loss was attributed to forestry (26%), shifting agriculture (24%), and wildfire (23%). Despite corporate commitments, the rate of commodity-driven deforestation has not declined. To end deforestation, companies must eliminate 5 million hectares of conversion from supply chains each year.\nA high-resolution global map enables a classification of the main drivers of forest loss.\nA high-resolution global map enables a classification of the main drivers of forest loss.","container-title":"Science","DOI":"10.1126/science.aau3445","ISSN":"0036-8075, 1095-9203","issue":"6407","language":"en","note":"PMID: 30213911","page":"1108-1111","source":"science.sciencemag.org","title":"Classifying drivers of global forest loss","volume":"361","author":[{"family":"Curtis","given":"Philip G."},{"family":"Slay","given":"Christy M."},{"family":"Harris","given":"Nancy L."},{"family":"Tyukavina","given":"Alexandra"},{"family":"Hansen","given":"Matthew C."}],"issued":{"date-parts":[["2018"]]}}},{"id":2912,"uris":["http://zotero.org/users/2170232/items/RQKGBK7S"],"uri":["http://zotero.org/users/2170232/items/RQKGBK7S"],"itemData":{"id":2912,"type":"article-journal","abstract":"Tropical forest landscapes are undergoing vast transformations. Myanmar was long an exception to this trend – until recent policy reforms put economic development at the forefront. Under ambiguous land rights, commercial agriculture has spread rapidly, causing an unprecedented loss of biodiversity-rich forest. In south-eastern Myanmar, where land tenure is highly contested due to several decades of conflict, scientific evidence on these complex social-ecological processes is lacking. In the absence of past satellite data, we applied a participatory mapping approach and co-produced annual land use information with local land users between 1990 and 2017 for two case study landscapes. Results show that both landscapes have undergone a land use regime shift from small-scale farmers’ shifting cultivation to plantations of rubber, betel nut, cashew, and oil palm. These changes are likely to have long-term impacts on land users’ livelihoods and the environment. We call for a reconsideration of land governance arrangements and concerted land use planning that respects the rights of local land users and strengthens their role as environmental stewards. Applied with careful facilitation, participatory mapping could be an important tool to engage communities in the highly challenging process of transforming land governance to achieve more sustainable outcomes in this post-conflict context.","container-title":"Ecosystems and People","DOI":"10.1080/26395916.2019.1699164","ISSN":"2639-5908","issue":"1","note":"publisher: Taylor &amp; Francis\n_eprint: https://doi.org/10.1080/26395916.2019.1699164","page":"36-49","source":"Taylor and Francis+NEJM","title":"The cash crop boom in southern Myanmar: tracing land use regime shifts through participatory mapping","title-short":"The cash crop boom in southern Myanmar","volume":"16","author":[{"family":"Zaehringer","given":"Julie G."},{"family":"Lundsgaard-Hansen","given":"Lara"},{"family":"Thein","given":"Tun Tun"},{"family":"Llopis","given":"Jorge C."},{"family":"Tun","given":"Nwe Nwe"},{"family":"Myint","given":"Win"},{"family":"Schneider","given":"Flurina"}],"issued":{"date-parts":[["2020",1,1]]}}}],"schema":"https://github.com/citation-style-language/schema/raw/master/csl-citation.json"} </w:instrText>
      </w:r>
      <w:r w:rsidR="00050B93">
        <w:fldChar w:fldCharType="separate"/>
      </w:r>
      <w:r w:rsidR="00A54C9C" w:rsidRPr="00A54C9C">
        <w:rPr>
          <w:rFonts w:ascii="Calibri" w:hAnsi="Calibri" w:cs="Calibri"/>
        </w:rPr>
        <w:t xml:space="preserve">(Curtis et al. 2018; </w:t>
      </w:r>
      <w:proofErr w:type="spellStart"/>
      <w:r w:rsidR="00A54C9C" w:rsidRPr="00A54C9C">
        <w:rPr>
          <w:rFonts w:ascii="Calibri" w:hAnsi="Calibri" w:cs="Calibri"/>
        </w:rPr>
        <w:t>Zaehringer</w:t>
      </w:r>
      <w:proofErr w:type="spellEnd"/>
      <w:r w:rsidR="00A54C9C" w:rsidRPr="00A54C9C">
        <w:rPr>
          <w:rFonts w:ascii="Calibri" w:hAnsi="Calibri" w:cs="Calibri"/>
        </w:rPr>
        <w:t xml:space="preserve"> et al. 2020)</w:t>
      </w:r>
      <w:r w:rsidR="00050B93">
        <w:fldChar w:fldCharType="end"/>
      </w:r>
      <w:r>
        <w:t xml:space="preserve">. Development of potential agricultural land by investors comes with opportunity costs for local people, who otherwise may have had access to the land, water, and other resources, and could have developed agriculture </w:t>
      </w:r>
      <w:r w:rsidR="00F513EE">
        <w:t xml:space="preserve">themselves </w:t>
      </w:r>
      <w:r>
        <w:t>that would have alleviated poverty more effectively than a</w:t>
      </w:r>
      <w:r w:rsidR="00F513EE">
        <w:t>n externally owned</w:t>
      </w:r>
      <w:r>
        <w:t xml:space="preserve"> commercial agricultural enterprise. </w:t>
      </w:r>
    </w:p>
    <w:p w14:paraId="029DC42A" w14:textId="11CEF49B" w:rsidR="00AD3F12" w:rsidRPr="0089542A" w:rsidRDefault="00AD3F12" w:rsidP="006F2311">
      <w:pPr>
        <w:rPr>
          <w:i/>
          <w:iCs/>
        </w:rPr>
      </w:pPr>
      <w:r w:rsidRPr="0089542A">
        <w:rPr>
          <w:i/>
          <w:iCs/>
        </w:rPr>
        <w:t>Commodity</w:t>
      </w:r>
      <w:r w:rsidR="0089542A" w:rsidRPr="0089542A">
        <w:rPr>
          <w:i/>
          <w:iCs/>
        </w:rPr>
        <w:t xml:space="preserve"> and producer</w:t>
      </w:r>
      <w:r w:rsidRPr="0089542A">
        <w:rPr>
          <w:i/>
          <w:iCs/>
        </w:rPr>
        <w:t xml:space="preserve"> prices</w:t>
      </w:r>
    </w:p>
    <w:p w14:paraId="1B34C37E" w14:textId="26B7F1B4" w:rsidR="00801E63" w:rsidRDefault="006F2311" w:rsidP="006F2311">
      <w:r>
        <w:t xml:space="preserve">Changes in new ELC allocation can be effectively predicted by several key agricultural commodity prices, both on the international market and internally at the </w:t>
      </w:r>
      <w:r w:rsidR="001D4CBF">
        <w:t>scale of the individual producer</w:t>
      </w:r>
      <w:r>
        <w:t>. Rubber, sugar, corn, and rice we all important variables in the models, and increases in the market prices</w:t>
      </w:r>
      <w:r w:rsidR="00F1302E">
        <w:t xml:space="preserve"> and producer prices</w:t>
      </w:r>
      <w:r>
        <w:t xml:space="preserve"> of these commodities can predict increases in the allocation of ELCs. </w:t>
      </w:r>
      <w:r w:rsidR="00801E63">
        <w:t>Economic land concessions in Cambodia are predominantly agro-industrial concessions, and therefore the positive relationships between the price of agricultural commodities and new ELC allocations is not surprising. Rubber and rice are the most valuable market commodities within the variable set</w:t>
      </w:r>
      <w:r w:rsidR="00050B93">
        <w:t xml:space="preserve"> (</w:t>
      </w:r>
      <w:r w:rsidR="00050B93" w:rsidRPr="00050B93">
        <w:rPr>
          <w:highlight w:val="yellow"/>
        </w:rPr>
        <w:t xml:space="preserve">Table </w:t>
      </w:r>
      <w:proofErr w:type="spellStart"/>
      <w:r w:rsidR="00050B93" w:rsidRPr="00050B93">
        <w:rPr>
          <w:highlight w:val="yellow"/>
        </w:rPr>
        <w:t>Sx</w:t>
      </w:r>
      <w:proofErr w:type="spellEnd"/>
      <w:r w:rsidR="00050B93">
        <w:t>)</w:t>
      </w:r>
      <w:r w:rsidR="00801E63">
        <w:t xml:space="preserve">, and we can see this reflected in the model; </w:t>
      </w:r>
      <w:r w:rsidR="001D4CBF">
        <w:t xml:space="preserve">if international rubber prices increase by </w:t>
      </w:r>
      <w:r w:rsidR="00FB65AB">
        <w:t>$1500/ton</w:t>
      </w:r>
      <w:r w:rsidR="00FB65AB">
        <w:t>, the model predicts an additional</w:t>
      </w:r>
      <w:r w:rsidR="00FB65AB">
        <w:t xml:space="preserve"> </w:t>
      </w:r>
      <w:r w:rsidR="001D4CBF">
        <w:t>2</w:t>
      </w:r>
      <w:r w:rsidR="00FB65AB">
        <w:t>9</w:t>
      </w:r>
      <w:r w:rsidR="001D4CBF">
        <w:t xml:space="preserve"> new ELCs </w:t>
      </w:r>
      <w:r w:rsidR="00FB65AB">
        <w:t>the following year, compared with</w:t>
      </w:r>
      <w:r w:rsidR="001D4CBF">
        <w:t xml:space="preserve"> </w:t>
      </w:r>
      <w:r w:rsidR="00FB65AB">
        <w:t xml:space="preserve">an additional 4 if rubber prices do not change. Likewise, when the producer price of rubber decreases in value, very few new ELCs are predicted in the following year, but when prices increase by for example, </w:t>
      </w:r>
      <w:r w:rsidR="00FB65AB">
        <w:t>$30/ton</w:t>
      </w:r>
      <w:r w:rsidR="00FB65AB">
        <w:t xml:space="preserve">, in the following year 12 new ELCs are predicted. </w:t>
      </w:r>
      <w:r w:rsidR="00F1302E">
        <w:t xml:space="preserve">This suggests that producers are highly influenced by sale prices of commodities, particularly of high value products such as rubber, and that they will act quickly when there is the potential for financial gain. </w:t>
      </w:r>
      <w:r w:rsidR="00801E63">
        <w:t xml:space="preserve">Similarly, if there is no change in the market price of rice between two given years, then approximately 5 new ELCs are predicted. If the market value increases by $300/ton then in year </w:t>
      </w:r>
      <w:r w:rsidR="00801E63">
        <w:rPr>
          <w:i/>
          <w:iCs/>
        </w:rPr>
        <w:t>t+1</w:t>
      </w:r>
      <w:r w:rsidR="00801E63">
        <w:t xml:space="preserve"> approximately 80 new ELCs are predicted. Interestingly the effect of changes in sugar price were weak when there was no time lag, but the effect was stronger when both a one-year and two-year time lag were introduced.</w:t>
      </w:r>
    </w:p>
    <w:p w14:paraId="3553016D" w14:textId="0762C7F5" w:rsidR="00050B93" w:rsidRDefault="00F1302E" w:rsidP="006F2311">
      <w:r>
        <w:lastRenderedPageBreak/>
        <w:t>T</w:t>
      </w:r>
      <w:r w:rsidR="006F2311">
        <w:t>he differences in the effects of commodity and producer prices on ELC allocation at different time lags</w:t>
      </w:r>
      <w:r>
        <w:t xml:space="preserve"> is interesting</w:t>
      </w:r>
      <w:r w:rsidR="006F2311">
        <w:t>,</w:t>
      </w:r>
      <w:r>
        <w:t xml:space="preserve"> as it</w:t>
      </w:r>
      <w:r w:rsidR="006F2311">
        <w:t xml:space="preserve"> suggest</w:t>
      </w:r>
      <w:r>
        <w:t>s</w:t>
      </w:r>
      <w:r w:rsidR="006F2311">
        <w:t xml:space="preserve"> that either investors will delay investing in a new crop for up to two years after the prices increase, or that the process of purchasing land and establishing an ELC venture can in some cases be a slow process. International market forces are known to drive LUC</w:t>
      </w:r>
      <w:r w:rsidR="00D90A79">
        <w:t xml:space="preserve"> in Cambodia </w:t>
      </w:r>
      <w:r w:rsidR="00C16DA9">
        <w:fldChar w:fldCharType="begin"/>
      </w:r>
      <w:r w:rsidR="00C16DA9">
        <w:instrText xml:space="preserve"> ADDIN ZOTERO_ITEM CSL_CITATION {"citationID":"n8dQr1yr","properties":{"formattedCitation":"(Grogan et al. 2019)","plainCitation":"(Grogan et al. 2019)","noteIndex":0},"citationItems":[{"id":2891,"uris":["http://zotero.org/users/2170232/items/Y4LY68EV"],"uri":["http://zotero.org/users/2170232/items/Y4LY68EV"],"itemData":{"id":2891,"type":"article-journal","abstract":"Tropical forests continue to undergo a rapid transformation. The expansion of rubber tree (Hevea brasiliensis) plantations has been reported as a major driver of forest loss, linked to a boom in market demand. Distant commodity markets have spurred a surge of large-scale economic land concessions granted throughout tropical Southeast Asia. Using satellite imagery, we show the impact of rubber tree plantations on Cambodian forest cover and analyse how annual forest-to-rubber conversion rates relate to global rubber prices from 2001 to 2015. We found that 23.5 ± 1.8% of national forest cover was cleared in this period, with 23.2 ± 3.6% of cleared forest converted to rubber plantations. Annual forest-to-rubber conversion rates closely correlated with global rubber prices, with a time lag of 8–9 months (Pearson’s r = 0.93). Our results reveal a strong link between global commodity markets and tropical forest loss, particularly in countries with land policies geared towards rapid development.","container-title":"Nature Plants","DOI":"10.1038/s41477-018-0325-4","ISSN":"2055-0278","issue":"1","language":"en","note":"Bandiera_abtest: a\nCg_type: Nature Research Journals\nnumber: 1\nPrimary_atype: Research\npublisher: Nature Publishing Group\nSubject_term: Climate-change mitigation;Climate-change policy;Environmental economics;Forestry;Tropical ecology\nSubject_term_id: climate-change-mitigation;climate-change-policy;environmental-economics;forestry;tropical-ecology","page":"47-53","source":"www.nature.com","title":"Unravelling the link between global rubber price and tropical deforestation in Cambodia","volume":"5","author":[{"family":"Grogan","given":"Kenneth"},{"family":"Pflugmacher","given":"Dirk"},{"family":"Hostert","given":"Patrick"},{"family":"Mertz","given":"Ole"},{"family":"Fensholt","given":"Rasmus"}],"issued":{"date-parts":[["2019",1]]}}}],"schema":"https://github.com/citation-style-language/schema/raw/master/csl-citation.json"} </w:instrText>
      </w:r>
      <w:r w:rsidR="00C16DA9">
        <w:fldChar w:fldCharType="separate"/>
      </w:r>
      <w:r w:rsidR="00C16DA9" w:rsidRPr="00C16DA9">
        <w:rPr>
          <w:rFonts w:ascii="Calibri" w:hAnsi="Calibri" w:cs="Calibri"/>
        </w:rPr>
        <w:t>(Grogan et al. 2019)</w:t>
      </w:r>
      <w:r w:rsidR="00C16DA9">
        <w:fldChar w:fldCharType="end"/>
      </w:r>
      <w:r w:rsidR="006F2311">
        <w:t xml:space="preserve">, and globally, land conversion for commodity production is the single largest driver of deforestation </w:t>
      </w:r>
      <w:r w:rsidR="006F2311">
        <w:fldChar w:fldCharType="begin"/>
      </w:r>
      <w:r w:rsidR="007739D7">
        <w:instrText xml:space="preserve"> ADDIN ZOTERO_ITEM CSL_CITATION {"citationID":"MSxMEiBc","properties":{"formattedCitation":"(Curtis et al. 2018)","plainCitation":"(Curtis et al. 2018)","noteIndex":0},"citationItems":[{"id":2375,"uris":["http://zotero.org/users/2170232/items/MGBJXYEN"],"uri":["http://zotero.org/users/2170232/items/MGBJXYEN"],"itemData":{"id":2375,"type":"article-journal","abstract":"Mapping global deforestation patterns\nForest loss is being driven by various factors, including commodity production, forestry, agriculture, wildfire, and urbanization. Curtis et al. used high-resolution Google Earth imagery to map and classify global forest loss since 2001. Just over a quarter of global forest loss is due to deforestation through permanent land use change for the production of commodities, including beef, soy, palm oil, and wood fiber. Despite regional differences and efforts by governments, conservationists, and corporations to stem the losses, the overall rate of commodity-driven deforestation has not declined since 2001.\nScience, this issue p. 1108\nGlobal maps of forest loss depict the scale and magnitude of forest disturbance, yet companies, governments, and nongovernmental organizations need to distinguish permanent conversion (i.e., deforestation) from temporary loss from forestry or wildfire. Using satellite imagery, we developed a forest loss classification model to determine a spatial attribution of forest disturbance to the dominant drivers of land cover and land use change over the period 2001 to 2015. Our results indicate that 27% of global forest loss can be attributed to deforestation through permanent land use change for commodity production. The remaining areas maintained the same land use over 15 years; in those areas, loss was attributed to forestry (26%), shifting agriculture (24%), and wildfire (23%). Despite corporate commitments, the rate of commodity-driven deforestation has not declined. To end deforestation, companies must eliminate 5 million hectares of conversion from supply chains each year.\nA high-resolution global map enables a classification of the main drivers of forest loss.\nA high-resolution global map enables a classification of the main drivers of forest loss.","container-title":"Science","DOI":"10.1126/science.aau3445","ISSN":"0036-8075, 1095-9203","issue":"6407","language":"en","note":"PMID: 30213911","page":"1108-1111","source":"science.sciencemag.org","title":"Classifying drivers of global forest loss","volume":"361","author":[{"family":"Curtis","given":"Philip G."},{"family":"Slay","given":"Christy M."},{"family":"Harris","given":"Nancy L."},{"family":"Tyukavina","given":"Alexandra"},{"family":"Hansen","given":"Matthew C."}],"issued":{"date-parts":[["2018"]]}}}],"schema":"https://github.com/citation-style-language/schema/raw/master/csl-citation.json"} </w:instrText>
      </w:r>
      <w:r w:rsidR="006F2311">
        <w:fldChar w:fldCharType="separate"/>
      </w:r>
      <w:r w:rsidR="007739D7" w:rsidRPr="007739D7">
        <w:rPr>
          <w:rFonts w:ascii="Calibri" w:hAnsi="Calibri" w:cs="Calibri"/>
        </w:rPr>
        <w:t>(Curtis et al. 2018)</w:t>
      </w:r>
      <w:r w:rsidR="006F2311">
        <w:fldChar w:fldCharType="end"/>
      </w:r>
      <w:r w:rsidR="006F2311">
        <w:t xml:space="preserve">. </w:t>
      </w:r>
      <w:commentRangeStart w:id="19"/>
      <w:commentRangeStart w:id="20"/>
      <w:r w:rsidR="006F2311">
        <w:fldChar w:fldCharType="begin"/>
      </w:r>
      <w:r w:rsidR="006F2311">
        <w:instrText xml:space="preserve"> ADDIN ZOTERO_ITEM CSL_CITATION {"citationID":"CwlwQmVP","properties":{"formattedCitation":"(Grogan et al., 2015)","plainCitation":"(Grogan et al., 2015)","dontUpdate":true,"noteIndex":0},"citationItems":[{"id":2760,"uris":["http://zotero.org/users/2170232/items/RPYSN4I3"],"uri":["http://zotero.org/users/2170232/items/RPYSN4I3"],"itemData":{"id":2760,"type":"article-journal","abstract":"The recent rise in global demand for natural rubber (Hevea brasiliensis) has led to expansive areas of natural forest being transformed into monoculture plantations. This paper explores the utility of annual Landsat time series for monitoring forest disturbance and the role of natural rubber in mainland Southeast Asia from 2000 to 2012. A region on the Cambodian–Vietnamese border was chosen for this study considering four primary questions: 1) how accurately can annual Landsat time series map the location and timing of forest disturbances in evergreen and seasonal tropical forests, 2) are there cross-border differences in frontier and non-frontier forest disturbance rates between Cambodia and Vietnam, 3) what proportion of disturbances in frontier and non-frontier forests can be accounted for by the impact of rubber plantations, and 4) is there a relationship between global market prices for natural rubber and the annual rate of frontier forest clearing for rubber plantations on both sides of the border. We used LandTrendr (Landsat-based detection of trends in disturbance and recovery) for temporal segmentation of the Landsat time series and disturbance mapping. Our results show that this approach can provide accurate forest disturbance maps but that accuracy is affected by forest type. Highest accuracies were found in evergreen forest (91%), with lower accuracies in mixed (82%) and dry-deciduous forest types (86%). Our final map considering all forest types yielded an overall accuracy of 86%. Forest disturbance rates were generally higher on the Cambodian side of the border. Frontier forest disturbance rates averaged 3.8%/year in Cambodia compared to 2.5%/year in Vietnam. Conversion to rubber was the dominant form of frontier forest change in both countries (42% in Cambodia and 84% in Vietnam). Non-frontier forest disturbances averaged 4.0% and 2.5% in Cambodia and Vietnam, respectively, with most disturbances likewise linked with rubber plantations. Although rates of frontier forest disturbance differed in both countries, they each displayed similar correlations between disturbance rates related to rubber plantation expansion and price fluctuations of natural rubber. This suggests links between localized land cover/use change and international market forces, irrespective of differing political and socioeconomic backgrounds. Our study underlines the value of using dense Landsat time series when exploring the dynamics of human-induced land cover change.","container-title":"Remote Sensing of Environment","DOI":"10.1016/j.rse.2015.03.001","ISSN":"0034-4257","journalAbbreviation":"Remote Sensing of Environment","language":"en","page":"438-453","source":"ScienceDirect","title":"Cross-border forest disturbance and the role of natural rubber in mainland Southeast Asia using annual Landsat time series","volume":"169","author":[{"family":"Grogan","given":"Kenneth"},{"family":"Pflugmacher","given":"Dirk"},{"family":"Hostert","given":"Patrick"},{"family":"Kennedy","given":"Robert"},{"family":"Fensholt","given":"Rasmus"}],"issued":{"date-parts":[["2015",11,1]]}}}],"schema":"https://github.com/citation-style-language/schema/raw/master/csl-citation.json"} </w:instrText>
      </w:r>
      <w:r w:rsidR="006F2311">
        <w:fldChar w:fldCharType="separate"/>
      </w:r>
      <w:r w:rsidR="006F2311" w:rsidRPr="00C00A42">
        <w:rPr>
          <w:rFonts w:ascii="Calibri" w:hAnsi="Calibri" w:cs="Calibri"/>
        </w:rPr>
        <w:t xml:space="preserve">Grogan et al </w:t>
      </w:r>
      <w:r w:rsidR="006F2311">
        <w:rPr>
          <w:rFonts w:ascii="Calibri" w:hAnsi="Calibri" w:cs="Calibri"/>
        </w:rPr>
        <w:t>(</w:t>
      </w:r>
      <w:r w:rsidR="006F2311" w:rsidRPr="00C00A42">
        <w:rPr>
          <w:rFonts w:ascii="Calibri" w:hAnsi="Calibri" w:cs="Calibri"/>
        </w:rPr>
        <w:t>2015)</w:t>
      </w:r>
      <w:r w:rsidR="006F2311">
        <w:fldChar w:fldCharType="end"/>
      </w:r>
      <w:r w:rsidR="006F2311">
        <w:t xml:space="preserve"> provide an empirical example of how the international market price of rubber can drive deforestation in frontier areas of Cambodia and Vietnam</w:t>
      </w:r>
      <w:commentRangeEnd w:id="19"/>
      <w:r w:rsidR="006F2311">
        <w:rPr>
          <w:rStyle w:val="CommentReference"/>
        </w:rPr>
        <w:commentReference w:id="19"/>
      </w:r>
      <w:commentRangeEnd w:id="20"/>
      <w:r w:rsidR="001E2F1B">
        <w:rPr>
          <w:rStyle w:val="CommentReference"/>
        </w:rPr>
        <w:commentReference w:id="20"/>
      </w:r>
      <w:r w:rsidR="006F2311">
        <w:t>.</w:t>
      </w:r>
      <w:r w:rsidR="000E32E5">
        <w:t xml:space="preserve"> Our study reinforces this link between commodity and producer prices of key agricultural products and development activities which reduce forest cover.</w:t>
      </w:r>
      <w:r w:rsidR="006F2311">
        <w:t xml:space="preserve"> </w:t>
      </w:r>
    </w:p>
    <w:p w14:paraId="41414D33" w14:textId="3035C5AA" w:rsidR="00050B93" w:rsidRPr="00050B93" w:rsidRDefault="00050B93" w:rsidP="006F2311">
      <w:pPr>
        <w:rPr>
          <w:b/>
          <w:bCs/>
          <w:i/>
          <w:iCs/>
        </w:rPr>
      </w:pPr>
      <w:r>
        <w:rPr>
          <w:b/>
          <w:bCs/>
          <w:i/>
          <w:iCs/>
        </w:rPr>
        <w:t xml:space="preserve">Conclusions </w:t>
      </w:r>
    </w:p>
    <w:p w14:paraId="6486437E" w14:textId="141E1569" w:rsidR="008E0F3D" w:rsidRDefault="00316ABA" w:rsidP="006F2311">
      <w:r>
        <w:t>Cambodia’s post-war economic recovery has been remarkably swi</w:t>
      </w:r>
      <w:r w:rsidR="00822264">
        <w:t xml:space="preserve">ft, boasting growth rates greater than any other Asian country excluding China </w:t>
      </w:r>
      <w:r w:rsidR="00822264">
        <w:fldChar w:fldCharType="begin"/>
      </w:r>
      <w:r w:rsidR="00822264">
        <w:instrText xml:space="preserve"> ADDIN ZOTERO_ITEM CSL_CITATION {"citationID":"gFvHPy2T","properties":{"formattedCitation":"(Solcomb 2010)","plainCitation":"(Solcomb 2010)","noteIndex":0},"citationItems":[{"id":2762,"uris":["http://zotero.org/users/2170232/items/JRA2X9H8"],"uri":["http://zotero.org/users/2170232/items/JRA2X9H8"],"itemData":{"id":2762,"type":"book","event-place":"National University of Singapore","ISBN":"978-9971-69-499-9","publisher":"NUS Press","publisher-place":"National University of Singapore","title":"An economic histroy of Cambodia in the twentieth century","URL":"https://library.oapen.org/handle/20.500.12657/26109","author":[{"family":"Solcomb","given":"Margaret"}],"issued":{"date-parts":[["2010"]]}}}],"schema":"https://github.com/citation-style-language/schema/raw/master/csl-citation.json"} </w:instrText>
      </w:r>
      <w:r w:rsidR="00822264">
        <w:fldChar w:fldCharType="separate"/>
      </w:r>
      <w:r w:rsidR="00822264" w:rsidRPr="00822264">
        <w:rPr>
          <w:rFonts w:ascii="Calibri" w:hAnsi="Calibri" w:cs="Calibri"/>
        </w:rPr>
        <w:t>(Solcomb 2010)</w:t>
      </w:r>
      <w:r w:rsidR="00822264">
        <w:fldChar w:fldCharType="end"/>
      </w:r>
      <w:r w:rsidR="00822264">
        <w:t xml:space="preserve">. On one hand this has benefited the Cambodian people through poverty reduction and improved access to services </w:t>
      </w:r>
      <w:r w:rsidR="00822264">
        <w:fldChar w:fldCharType="begin"/>
      </w:r>
      <w:r w:rsidR="00822264">
        <w:instrText xml:space="preserve"> ADDIN ZOTERO_ITEM CSL_CITATION {"citationID":"xEpxrEoO","properties":{"formattedCitation":"(World Bank 2014)","plainCitation":"(World Bank 2014)","noteIndex":0},"citationItems":[{"id":2763,"uris":["http://zotero.org/users/2170232/items/DHPTZUDX"],"uri":["http://zotero.org/users/2170232/items/DHPTZUDX"],"itemData":{"id":2763,"type":"report","event-place":"Washington DC, USA","publisher":"World Bank Group","publisher-place":"Washington DC, USA","title":"Where have all the poor gone? Cambodia poverty assessment 2013","author":[{"family":"World Bank","given":""}],"issued":{"date-parts":[["2014"]]}}}],"schema":"https://github.com/citation-style-language/schema/raw/master/csl-citation.json"} </w:instrText>
      </w:r>
      <w:r w:rsidR="00822264">
        <w:fldChar w:fldCharType="separate"/>
      </w:r>
      <w:r w:rsidR="00822264" w:rsidRPr="00822264">
        <w:rPr>
          <w:rFonts w:ascii="Calibri" w:hAnsi="Calibri" w:cs="Calibri"/>
        </w:rPr>
        <w:t>(World Bank 2014)</w:t>
      </w:r>
      <w:r w:rsidR="00822264">
        <w:fldChar w:fldCharType="end"/>
      </w:r>
      <w:r w:rsidR="00822264">
        <w:t xml:space="preserve">, yet on the other hand much of this economic growth has been built upon natural resource exploitation </w:t>
      </w:r>
      <w:r w:rsidR="00822264">
        <w:fldChar w:fldCharType="begin"/>
      </w:r>
      <w:r w:rsidR="006E1ED5">
        <w:instrText xml:space="preserve"> ADDIN ZOTERO_ITEM CSL_CITATION {"citationID":"soau9CXL","properties":{"formattedCitation":"(Davis et al. 2015; Eliste &amp; Zorya 2015)","plainCitation":"(Davis et al. 2015; Eliste &amp; Zorya 2015)","noteIndex":0},"citationItems":[{"id":2465,"uris":["http://zotero.org/users/2170232/items/BM9FJ8GU"],"uri":["http://zotero.org/users/2170232/items/BM9FJ8GU"],"itemData":{"id":2465,"type":"article-journal","abstract":"Investment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id":2752,"uris":["http://zotero.org/users/2170232/items/U2ZTSPR5"],"uri":["http://zotero.org/users/2170232/items/U2ZTSPR5"],"itemData":{"id":2752,"type":"report","event-place":"Washington DC, USA","publisher":"World Bank Group","publisher-place":"Washington DC, USA","title":"Cambodian agriculture in transition: Opportunities and risks","URL":"http://documents.worldbank.org/curated/en/805091467993504209/Cambodian-agriculture-in-transition-opportunities-and-risks","author":[{"family":"Eliste","given":"Paavo"},{"family":"Zorya","given":"Sergiy"}],"issued":{"date-parts":[["2015"]]}}}],"schema":"https://github.com/citation-style-language/schema/raw/master/csl-citation.json"} </w:instrText>
      </w:r>
      <w:r w:rsidR="00822264">
        <w:fldChar w:fldCharType="separate"/>
      </w:r>
      <w:r w:rsidR="006E1ED5" w:rsidRPr="006E1ED5">
        <w:rPr>
          <w:rFonts w:ascii="Calibri" w:hAnsi="Calibri" w:cs="Calibri"/>
        </w:rPr>
        <w:t>(Davis et al. 2015; Eliste &amp; Zorya 2015)</w:t>
      </w:r>
      <w:r w:rsidR="00822264">
        <w:fldChar w:fldCharType="end"/>
      </w:r>
      <w:r w:rsidR="006E1ED5">
        <w:t xml:space="preserve"> which has had negative effects on protected areas, forests, and local people </w:t>
      </w:r>
      <w:r w:rsidR="006E1ED5">
        <w:fldChar w:fldCharType="begin"/>
      </w:r>
      <w:r w:rsidR="006E1ED5">
        <w:instrText xml:space="preserve"> ADDIN ZOTERO_ITEM CSL_CITATION {"citationID":"3mZmTFHj","properties":{"formattedCitation":"(Vrieze &amp; Kuch 2012; Global Witness 2013; Watson et al. 2014)","plainCitation":"(Vrieze &amp; Kuch 2012; Global Witness 2013; Watson et al. 2014)","noteIndex":0},"citationItems":[{"id":2053,"uris":["http://zotero.org/users/2170232/items/C9AXILM9"],"uri":["http://zotero.org/users/2170232/items/C9AXILM9"],"itemData":{"id":2053,"type":"article-newspaper","container-title":"The Cambodia Daily","page":"4-11","title":"Carving up Cambodia: One concesion at a time","author":[{"family":"Vrieze","given":"Paul"},{"family":"Kuch","given":"Naren"}],"issued":{"date-parts":[["2012"]]}}},{"id":2447,"uris":["http://zotero.org/users/2170232/items/UWK5XCYU"],"uri":["http://zotero.org/users/2170232/items/UWK5XCYU"],"itemData":{"id":2447,"type":"report","publisher":"Global Witness","title":"Rubber Barons: How Vietnamese companies and international financiers are driving a land grabbing crisis in Cambodia and Laos","title-short":"Rubber Barons","URL":"https://www.globalwitness.org/en-gb/campaigns/land-deals/rubberbarons/","author":[{"family":"Global Witness","given":""}],"issued":{"date-parts":[["2013"]]}}},{"id":2042,"uris":["http://zotero.org/users/2170232/items/PKUNSUBE"],"uri":["http://zotero.org/users/2170232/items/PKUNSUBE"],"itemData":{"id":2042,"type":"article-journal","abstract":"Originally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potential.","container-title":"Nature","DOI":"10.1038/nature13947","ISSN":"1476-4687","issue":"7525","language":"en","page":"67-73","source":"www.nature.com","title":"The performance and potential of protected areas","volume":"515","author":[{"family":"Watson","given":"James E. M."},{"family":"Dudley","given":"Nigel"},{"family":"Segan","given":"Daniel B."},{"family":"Hockings","given":"Marc"}],"issued":{"date-parts":[["2014",11]]}}}],"schema":"https://github.com/citation-style-language/schema/raw/master/csl-citation.json"} </w:instrText>
      </w:r>
      <w:r w:rsidR="006E1ED5">
        <w:fldChar w:fldCharType="separate"/>
      </w:r>
      <w:r w:rsidR="006E1ED5" w:rsidRPr="006E1ED5">
        <w:rPr>
          <w:rFonts w:ascii="Calibri" w:hAnsi="Calibri" w:cs="Calibri"/>
        </w:rPr>
        <w:t>(Vrieze &amp; Kuch 2012; Global Witness 2013; Watson et al. 2014)</w:t>
      </w:r>
      <w:r w:rsidR="006E1ED5">
        <w:fldChar w:fldCharType="end"/>
      </w:r>
      <w:r w:rsidR="006E1ED5">
        <w:t>. Economic land concessions have proved a popular mechanism with which to direct foreign investment, expand industrial-scale commercial agriculture, and boost economic activity, yet have also been a key driver in deforestation. H</w:t>
      </w:r>
      <w:r w:rsidR="006E1ED5" w:rsidRPr="006E1ED5">
        <w:t xml:space="preserve">igh rates of deforestation, in the context of Cambodia’s economic status and the rural population’s reliance on natural resources </w:t>
      </w:r>
      <w:r w:rsidR="006E1ED5" w:rsidRPr="006E1ED5">
        <w:fldChar w:fldCharType="begin"/>
      </w:r>
      <w:r w:rsidR="00FE1CFD">
        <w:instrText xml:space="preserve"> ADDIN ZOTERO_ITEM CSL_CITATION {"citationID":"KJycbkPj","properties":{"formattedCitation":"(Nguyen et al. 2015)","plainCitation":"(Nguyen et al. 2015)","noteIndex":0},"citationItems":[{"id":1658,"uris":["http://zotero.org/users/2170232/items/UKV6TVYW"],"uri":["http://zotero.org/users/2170232/items/UKV6TVYW"],"itemData":{"id":1658,"type":"article-journal","abstract":"Understanding rural livelihood strategies and environmental resource dependence can help to reduce and prevent livelihood stresses induced by environmental resource degradation. This study identifies livelihood strategies of farm households in rural Cambodia and explores their determinants with a focus on environmental resource dependence. The data are derived from a survey of 580 households in 30 villages of Stung Treng province in Cambodia undertaken in 2013. An activity-based two-step cluster analysis is conducted to identify different livelihood clusters and regression models are performed to determine the major factors affecting the choice of livelihood strategies and the extraction of environmental resources. The results demonstrate how different levels of environmental and household capital influence livelihood strategies. Environmental resources contribute a significant portion of household income (27%) and act as a means to reduce income inequality (7%) among households. The absolute environmental income is positively correlated with the total income but the relative environmental income decreases with an increase in total income. Thus, it appears that low income households are not to be blamed for environmental degradation, because they are unable to undertake activities with high return. The findings of this study suggest that promoting off-farm employment, education and social networking reduces the extraction of environmental resources.","container-title":"Ecological Economics","DOI":"10.1016/j.ecolecon.2015.11.001","ISSN":"0921-8009","journalAbbreviation":"Ecological Economics","page":"282-295","source":"ScienceDirect","title":"Rural livelihoods and environmental resource dependence in Cambodia","volume":"120","author":[{"family":"Nguyen","given":"Trung Thanh"},{"family":"Do","given":"Truong Lam"},{"family":"Bühler","given":"Dorothee"},{"family":"Hartje","given":"Rebecca"},{"family":"Grote","given":"Ulrike"}],"issued":{"date-parts":[["2015",12,1]]}}}],"schema":"https://github.com/citation-style-language/schema/raw/master/csl-citation.json"} </w:instrText>
      </w:r>
      <w:r w:rsidR="006E1ED5" w:rsidRPr="006E1ED5">
        <w:fldChar w:fldCharType="separate"/>
      </w:r>
      <w:r w:rsidR="00FE1CFD" w:rsidRPr="00FE1CFD">
        <w:rPr>
          <w:rFonts w:ascii="Calibri" w:hAnsi="Calibri" w:cs="Calibri"/>
        </w:rPr>
        <w:t>(Nguyen et al. 2015)</w:t>
      </w:r>
      <w:r w:rsidR="006E1ED5" w:rsidRPr="006E1ED5">
        <w:fldChar w:fldCharType="end"/>
      </w:r>
      <w:r w:rsidR="006E1ED5" w:rsidRPr="006E1ED5">
        <w:t>, suggests that the country is on the increasing</w:t>
      </w:r>
      <w:r w:rsidR="00FE1CFD">
        <w:t xml:space="preserve"> deforestation</w:t>
      </w:r>
      <w:r w:rsidR="006E1ED5" w:rsidRPr="006E1ED5">
        <w:t xml:space="preserve"> trajectory of the Environmental </w:t>
      </w:r>
      <w:proofErr w:type="spellStart"/>
      <w:r w:rsidR="006E1ED5" w:rsidRPr="006E1ED5">
        <w:t>Kuznet’s</w:t>
      </w:r>
      <w:proofErr w:type="spellEnd"/>
      <w:r w:rsidR="006E1ED5" w:rsidRPr="006E1ED5">
        <w:t xml:space="preserve"> Curve</w:t>
      </w:r>
      <w:r w:rsidR="00FE1CFD">
        <w:t xml:space="preserve"> (</w:t>
      </w:r>
      <w:r w:rsidR="00FE1CFD">
        <w:fldChar w:fldCharType="begin"/>
      </w:r>
      <w:r w:rsidR="0036712C">
        <w:instrText xml:space="preserve"> ADDIN ZOTERO_ITEM CSL_CITATION {"citationID":"bgRulRm2","properties":{"formattedCitation":"(Bhattarai &amp; Hammig 2004)","plainCitation":"(Bhattarai &amp; Hammig 2004)","dontUpdate":true,"noteIndex":0},"citationItems":[{"id":2122,"uris":["http://zotero.org/users/2170232/items/NINHSHM7"],"uri":["http://zotero.org/users/2170232/items/NINHSHM7"],"itemData":{"id":2122,"type":"article-journal","abstract":"This paper reports the results of an empirical analysis of the relationship between income and the rate of deforestation of tropical natural forests. The inverted U-shaped relationship known as the environmental Kuznets curve is confirmed. The study focuses on the role of institutions and macroeconomic policy in the deforestation process. Results indicate that the quality of governance is an important determinant of forest resource preservation, and that rural population pressure is not as important as suggested by other studies. Agricultural technology improvement and enhanced educational attainment also lead to reductions of deforestation rates.","container-title":"Environment and Development Economics","DOI":"10.1017/S1355770X03001293","ISSN":"1469-4395, 1355-770X","issue":"3","language":"en","page":"367-382","source":"Cambridge Core","title":"Governance, economic policy, and the environmental Kuznets curve for natural tropical forests","volume":"9","author":[{"family":"Bhattarai","given":"Madhusudan"},{"family":"Hammig","given":"Michael"}],"issued":{"date-parts":[["2004",7]]}}}],"schema":"https://github.com/citation-style-language/schema/raw/master/csl-citation.json"} </w:instrText>
      </w:r>
      <w:r w:rsidR="00FE1CFD">
        <w:fldChar w:fldCharType="separate"/>
      </w:r>
      <w:r w:rsidR="00FE1CFD" w:rsidRPr="00FE1CFD">
        <w:rPr>
          <w:rFonts w:ascii="Calibri" w:hAnsi="Calibri" w:cs="Calibri"/>
        </w:rPr>
        <w:t>Bhattarai &amp; Hammig 2004)</w:t>
      </w:r>
      <w:r w:rsidR="00FE1CFD">
        <w:fldChar w:fldCharType="end"/>
      </w:r>
      <w:r w:rsidR="006E1ED5" w:rsidRPr="006E1ED5">
        <w:t xml:space="preserve">, whereby national economic development is improved at the expense of forest cover </w:t>
      </w:r>
      <w:r w:rsidR="006E1ED5" w:rsidRPr="006E1ED5">
        <w:fldChar w:fldCharType="begin"/>
      </w:r>
      <w:r w:rsidR="00FE1CFD">
        <w:instrText xml:space="preserve"> ADDIN ZOTERO_ITEM CSL_CITATION {"citationID":"5w1othVf","properties":{"formattedCitation":"(Stern 2004)","plainCitation":"(Stern 2004)","noteIndex":0},"citationItems":[{"id":2756,"uris":["http://zotero.org/users/2170232/items/Y74YDBYE"],"uri":["http://zotero.org/users/2170232/items/Y74YDBYE"],"itemData":{"id":2756,"type":"article-journal","abstract":"This paper presents a critical history of the environmental Kuznets curve (EKC). The EKC proposes that indicators of environmental degradation first rise, and then fall with increasing income per capita. Recent evidence shows however, that developing countries are addressing environmental issues, sometimes adopting developed country standards with a short time lag and sometimes performing better than some wealthy countries, and that the EKC results have a very flimsy statistical foundation. A new generation of decomposition and efficient frontier models can help disentangle the true relations between development and the environment and may lead to the demise of the classic EKC.","container-title":"World Development","DOI":"10.1016/j.worlddev.2004.03.004","ISSN":"0305-750X","issue":"8","journalAbbreviation":"World Development","language":"en","page":"1419-1439","source":"ScienceDirect","title":"The Rise and Fall of the Environmental Kuznets Curve","volume":"32","author":[{"family":"Stern","given":"David I"}],"issued":{"date-parts":[["2004",8,1]]}}}],"schema":"https://github.com/citation-style-language/schema/raw/master/csl-citation.json"} </w:instrText>
      </w:r>
      <w:r w:rsidR="006E1ED5" w:rsidRPr="006E1ED5">
        <w:fldChar w:fldCharType="separate"/>
      </w:r>
      <w:r w:rsidR="00FE1CFD" w:rsidRPr="00FE1CFD">
        <w:rPr>
          <w:rFonts w:ascii="Calibri" w:hAnsi="Calibri" w:cs="Calibri"/>
        </w:rPr>
        <w:t>(Stern 2004)</w:t>
      </w:r>
      <w:r w:rsidR="006E1ED5" w:rsidRPr="006E1ED5">
        <w:fldChar w:fldCharType="end"/>
      </w:r>
      <w:r w:rsidR="006E1ED5" w:rsidRPr="006E1ED5">
        <w:t xml:space="preserve">. </w:t>
      </w:r>
      <w:r w:rsidR="0093383C">
        <w:t>To</w:t>
      </w:r>
      <w:r w:rsidR="00A8102F">
        <w:t xml:space="preserve"> eliminate forest loss, and begin moving towards possible afforestation, Cambodia will need to experience a forest transition. </w:t>
      </w:r>
    </w:p>
    <w:p w14:paraId="793DAE13" w14:textId="414ED87A" w:rsidR="00050B93" w:rsidRDefault="008E0F3D" w:rsidP="00BF6BF7">
      <w:r>
        <w:t xml:space="preserve">Perhaps the most relevant case study to compare with Cambodia is that of its neighbour Vietnam, which underwent a forest transition in the 1990s, and over the </w:t>
      </w:r>
      <w:r w:rsidR="00CD4BBD">
        <w:t>next</w:t>
      </w:r>
      <w:r>
        <w:t xml:space="preserve"> two decades national forest cover</w:t>
      </w:r>
      <w:r w:rsidR="00CD4BBD">
        <w:t xml:space="preserve"> increased</w:t>
      </w:r>
      <w:r>
        <w:t xml:space="preserve"> </w:t>
      </w:r>
      <w:r>
        <w:fldChar w:fldCharType="begin"/>
      </w:r>
      <w:r>
        <w:instrText xml:space="preserve"> ADDIN ZOTERO_ITEM CSL_CITATION {"citationID":"LqBGD9Ms","properties":{"formattedCitation":"(Meyfroidt &amp; Lambin 2008)","plainCitation":"(Meyfroidt &amp; Lambin 2008)","noteIndex":0},"citationItems":[{"id":2114,"uris":["http://zotero.org/users/2170232/items/KWASIK3G"],"uri":["http://zotero.org/users/2170232/items/KWASIK3G"],"itemData":{"id":2114,"type":"article-journal","abstract":"This study assesses the presence of a forest transition – that is, a shift from net deforestation to net reforestation – in Vietnam during the 1990s, and describes its key attributes relevant for global environmental change issues. Using Fuzzy Kappa and other indicators, we compared forest cover estimates and spatial patterns from global and national land cover maps from the early and late 1990s, and compiled other available statistics for years before and after that period. This showed that a forest transition indeed occurred in Vietnam: the forest cover dropped to 25–31% of the country area in 1991–1993, and then increased to 32–37% in 1999–2001. The reforestation occurred at a higher rate than deforestation in the previous decades, and was due in similar proportions, to natural forest regeneration and to planted forests. The carbon stock in forests followed a similar transition, decreasing to 903 (770–1307) Tg C in 1991–1993, and then increasing to 1374 (1058–1744) Tg C in 2005. However, forest density declined during the same period, with an increasing proportion of young and degraded forests. The effects on habitats measured with landscape pattern indices were contrasted: in several regions, the reforestation decreased forest fragmentation, while in others, clearing of old-growth forests continued and/or forest fragmentation increased. This shows that a transition in forest area is not sufficient to rehabilitate the different ecosystem functions and services of forests. Other forest transitions exist in Tropical Asia and in Latin America. Knowledge about the causes, pattern and environmental impacts of the forest transition in Vietnam is therefore relevant to understand possible emerging regional trends that would have implications for global environmental change.","container-title":"Global Change Biology","DOI":"10.1111/j.1365-2486.2008.01575.x","ISSN":"1365-2486","issue":"6","language":"en","page":"1319-1336","source":"Wiley Online Library","title":"Forest transition in Vietnam and its environmental impacts","volume":"14","author":[{"family":"Meyfroidt","given":"Patrick"},{"family":"Lambin","given":"Eric F."}],"issued":{"date-parts":[["2008"]]}}}],"schema":"https://github.com/citation-style-language/schema/raw/master/csl-citation.json"} </w:instrText>
      </w:r>
      <w:r>
        <w:fldChar w:fldCharType="separate"/>
      </w:r>
      <w:r w:rsidRPr="008E0F3D">
        <w:rPr>
          <w:rFonts w:ascii="Calibri" w:hAnsi="Calibri" w:cs="Calibri"/>
        </w:rPr>
        <w:t>(Meyfroidt &amp; Lambin 2008)</w:t>
      </w:r>
      <w:r>
        <w:fldChar w:fldCharType="end"/>
      </w:r>
      <w:r>
        <w:t xml:space="preserve">. </w:t>
      </w:r>
      <w:r w:rsidR="00E64AFA">
        <w:t xml:space="preserve">Vietnam’s forest transition was driven by a combination of factors including land scarcity due to increasing human populations, reductions in hillside cultivation owing to land degradation and land use policies, increased productivity in existing agricultural lands, government policies that promoted smallholder forestry, increased demand for timber, and a scarcity of forest products that provided incentives for reforestation </w:t>
      </w:r>
      <w:r w:rsidR="00E64AFA">
        <w:fldChar w:fldCharType="begin"/>
      </w:r>
      <w:r w:rsidR="00C16DA9">
        <w:instrText xml:space="preserve"> ADDIN ZOTERO_ITEM CSL_CITATION {"citationID":"RGxpSC1u","properties":{"formattedCitation":"(Meyfroidt &amp; Lambin 2008)","plainCitation":"(Meyfroidt &amp; Lambin 2008)","noteIndex":0},"citationItems":[{"id":2114,"uris":["http://zotero.org/users/2170232/items/KWASIK3G"],"uri":["http://zotero.org/users/2170232/items/KWASIK3G"],"itemData":{"id":2114,"type":"article-journal","abstract":"This study assesses the presence of a forest transition – that is, a shift from net deforestation to net reforestation – in Vietnam during the 1990s, and describes its key attributes relevant for global environmental change issues. Using Fuzzy Kappa and other indicators, we compared forest cover estimates and spatial patterns from global and national land cover maps from the early and late 1990s, and compiled other available statistics for years before and after that period. This showed that a forest transition indeed occurred in Vietnam: the forest cover dropped to 25–31% of the country area in 1991–1993, and then increased to 32–37% in 1999–2001. The reforestation occurred at a higher rate than deforestation in the previous decades, and was due in similar proportions, to natural forest regeneration and to planted forests. The carbon stock in forests followed a similar transition, decreasing to 903 (770–1307) Tg C in 1991–1993, and then increasing to 1374 (1058–1744) Tg C in 2005. However, forest density declined during the same period, with an increasing proportion of young and degraded forests. The effects on habitats measured with landscape pattern indices were contrasted: in several regions, the reforestation decreased forest fragmentation, while in others, clearing of old-growth forests continued and/or forest fragmentation increased. This shows that a transition in forest area is not sufficient to rehabilitate the different ecosystem functions and services of forests. Other forest transitions exist in Tropical Asia and in Latin America. Knowledge about the causes, pattern and environmental impacts of the forest transition in Vietnam is therefore relevant to understand possible emerging regional trends that would have implications for global environmental change.","container-title":"Global Change Biology","DOI":"10.1111/j.1365-2486.2008.01575.x","ISSN":"1365-2486","issue":"6","language":"en","page":"1319-1336","source":"Wiley Online Library","title":"Forest transition in Vietnam and its environmental impacts","volume":"14","author":[{"family":"Meyfroidt","given":"Patrick"},{"family":"Lambin","given":"Eric F."}],"issued":{"date-parts":[["2008"]]}}}],"schema":"https://github.com/citation-style-language/schema/raw/master/csl-citation.json"} </w:instrText>
      </w:r>
      <w:r w:rsidR="00E64AFA">
        <w:fldChar w:fldCharType="separate"/>
      </w:r>
      <w:r w:rsidR="00E64AFA" w:rsidRPr="008E0F3D">
        <w:rPr>
          <w:rFonts w:ascii="Calibri" w:hAnsi="Calibri" w:cs="Calibri"/>
        </w:rPr>
        <w:t>(Meyfroidt &amp; Lambin 2008)</w:t>
      </w:r>
      <w:r w:rsidR="00E64AFA">
        <w:fldChar w:fldCharType="end"/>
      </w:r>
      <w:r w:rsidR="00E64AFA">
        <w:t xml:space="preserve">. </w:t>
      </w:r>
      <w:r w:rsidR="00E23AF3">
        <w:t xml:space="preserve">Recent studies have highlighted Cambodia’s readiness for a forest transition; all of the necessary econometric milestones have been reached including strongly worded government policies and laws, the promotion and expansion of tourism, integration into global markets for capital, commodities, and labour, and prevalent international conservation ideologies, yet deforestation rates are not decreasing </w:t>
      </w:r>
      <w:r w:rsidR="00E23AF3">
        <w:fldChar w:fldCharType="begin"/>
      </w:r>
      <w:r w:rsidR="00E23AF3">
        <w:instrText xml:space="preserve"> ADDIN ZOTERO_ITEM CSL_CITATION {"citationID":"0RJ11nKw","properties":{"formattedCitation":"(Riggs et al. 2018)","plainCitation":"(Riggs et al. 2018)","noteIndex":0},"citationItems":[{"id":2893,"uris":["http://zotero.org/users/2170232/items/KKQQZNQG"],"uri":["http://zotero.org/users/2170232/items/KKQQZNQG"],"itemData":{"id":2893,"type":"article-journal","abstract":"Academic inquiry into forest transitions has produced a rich body of literature examining the shift from net deforestation to net reforestation at multiple land use scales. However, researchers, practitioners, and policy analysts question the utility of current forest transition theory. Does it accurately describe and provide insight into strategies to influence patterns of forest change in countries where forest cover continues to decline? Forest transition theory has provided important insights into the ‘necessary but not sufficient’ conditions for countries shifting from net deforestation to net reforestation. To advance forest transition theory, scholars should recognize forests as complex and dynamic social-ecological systems and use analytical methods that accommodate that complexity. Transdisciplinary research that incorporates a broader range of qualitative and quantitative methods and tools is required. We analyzed the historical, social, and political factors influencing forest transition pathways in Cambodia. Cambodia exhibits similar economic pre-conditions to its neighbors, which have passed through a forest transition, yet deforestation rates remain high with no indication of slowing. We found that complex governance arrangements at multiple scales negatively influences Cambodia's forest cover and development trajectory. Attempts to nurture Cambodia's forest transition will require strengthening governance and institutions across all of the natural resource sectors. Further research that incorporates governance into forest transition frameworks is required to improve policy responses for post-transition forest outcomes.","container-title":"Forest Policy and Economics","DOI":"10.1016/j.forpol.2018.08.003","ISSN":"1389-9341","journalAbbreviation":"Forest Policy and Economics","language":"en","page":"19-27","source":"ScienceDirect","title":"Incorporating governance into forest transition frameworks to understand and influence Cambodia's forest landscapes","volume":"96","author":[{"family":"Riggs","given":"Rebecca Anne"},{"family":"Langston","given":"James Douglas"},{"family":"Sayer","given":"Jeffrey"}],"issued":{"date-parts":[["2018",11,1]]}}}],"schema":"https://github.com/citation-style-language/schema/raw/master/csl-citation.json"} </w:instrText>
      </w:r>
      <w:r w:rsidR="00E23AF3">
        <w:fldChar w:fldCharType="separate"/>
      </w:r>
      <w:r w:rsidR="00E23AF3" w:rsidRPr="00E23AF3">
        <w:rPr>
          <w:rFonts w:ascii="Calibri" w:hAnsi="Calibri" w:cs="Calibri"/>
        </w:rPr>
        <w:t>(Riggs et al. 2018)</w:t>
      </w:r>
      <w:r w:rsidR="00E23AF3">
        <w:fldChar w:fldCharType="end"/>
      </w:r>
      <w:r w:rsidR="00E23AF3">
        <w:t xml:space="preserve">. </w:t>
      </w:r>
      <w:r w:rsidR="00CD4BBD">
        <w:t>C</w:t>
      </w:r>
      <w:r w:rsidR="00BF6BF7">
        <w:t>ase studies of</w:t>
      </w:r>
      <w:r w:rsidR="00CD4BBD">
        <w:t xml:space="preserve"> other</w:t>
      </w:r>
      <w:r w:rsidR="00BF6BF7">
        <w:t xml:space="preserve"> Asian countries that have gone through forest transitions</w:t>
      </w:r>
      <w:r w:rsidR="007760EE">
        <w:t>, including Vietnam,</w:t>
      </w:r>
      <w:r w:rsidR="00BF6BF7">
        <w:t xml:space="preserve"> have highlighted the need for at least one element of effective governance</w:t>
      </w:r>
      <w:r w:rsidR="00C3282B">
        <w:t xml:space="preserve"> </w:t>
      </w:r>
      <w:r w:rsidR="00C3282B">
        <w:fldChar w:fldCharType="begin"/>
      </w:r>
      <w:r w:rsidR="00C95BE8">
        <w:instrText xml:space="preserve"> ADDIN ZOTERO_ITEM CSL_CITATION {"citationID":"EJiphXO8","properties":{"formattedCitation":"(Clement et al. 2009; Bhattacharya et al. 2010; He et al. 2014)","plainCitation":"(Clement et al. 2009; Bhattacharya et al. 2010; He et al. 2014)","noteIndex":0},"citationItems":[{"id":2906,"uris":["http://zotero.org/users/2170232/items/2IP7689X"],"uri":["http://zotero.org/users/2170232/items/2IP7689X"],"itemData":{"id":2906,"type":"article-journal","abstract":"This article identifies drivers of forest transition in a province of Northern Vietnam between 1993 and 2000 by applying geographically weighted regression (GWR) analysis to remotely sensed and statistical data. The regression model highlighted the spatial variation of the relationship between the percentage of land afforested and its proximate causes. Factors identified as having a major impact on afforestation are: the presence or proximity of a wood-processing industry, the distance to highways, and land allocation to households. Whereas the two former variables are in most areas of the province positively correlated with afforestation, an unexpected negative correlation was observed for the latter. The analysis of these results, supported by an in-depth knowledge of the area and of the political context, leads to the conclusion that, during the time period considered, afforestation was largely driven by state organisations on protected state-owned land, and forestry was not a significant component of household economic activities.","container-title":"Applied Geography","DOI":"10.1016/j.apgeog.2009.01.003","ISSN":"0143-6228","issue":"4","journalAbbreviation":"Applied Geography","language":"en","page":"561-576","source":"ScienceDirect","title":"Drivers of afforestation in Northern Vietnam: Assessing local variations using geographically weighted regression","title-short":"Drivers of afforestation in Northern Vietnam","volume":"29","author":[{"family":"Clement","given":"Floriane"},{"family":"Orange","given":"Didier"},{"family":"Williams","given":"Meredith"},{"family":"Mulley","given":"Corinne"},{"family":"Epprecht","given":"Michael"}],"issued":{"date-parts":[["2009",12,1]]}}},{"id":2904,"uris":["http://zotero.org/users/2170232/items/8UIGWD3F"],"uri":["http://zotero.org/users/2170232/items/8UIGWD3F"],"itemData":{"id":2904,"type":"article-journal","abstract":"Joint Forest Management (JFM), embracing the philosophy of forest conservation and livelihood improvement through cooperation between state and civil society, has emerged over the past decades both as a specific paradigm of forest governance in India and as India's largest community forestry program. The JFM program, evolved during early 1970s covering a few forest villages as a model for reversing the trend of degraded forest ecosystem through the active protection by local villagers. The JFM program is implemented currently by 106,482 Joint Forest Management Committees (JFMC) and it covers 22 million ha of forests spread across 28 constituent states of India and union territories. JFM emerged against a backdrop of two centuries of centralised bureaucratic control over forest management in India. Centralized control during the 19th and 20th centuries failed either to conserve resources or to contribute substantially to the well-being of local populations. However, inconsistent persuasions from decentralization policies in India under present forest policy (1988) have prompted people to analyse the theoretical basis for accepting that decentralization would bring improvements in forest ecosystem management. Still others have contested the de facto rationale for decentralization (i.e., improved forest management) and have suggested that decentralization may be a manipulation by elites to serve their own interests or to shift power, for example from national to international agencies that have funded decentralization. Thirty years from its inception, there are now concerns for the recent effectiveness of JFM (over the past 20 years) because it is a group action that is getting old and is perhaps losing some of its pioneering drive and innovativeness. Although JFM has been administered nationally, decisions on implementation detail have been left to the individual states, resulting in different strategies. The long history of JFM has also provided scope for experiences with it to change over time as well as between places. Given the range of experiences with and perceptions of JFM, as well as the importance of the objectives JFM ostensibly serves, the time is ripe therefore for a retrospective evaluation to take stock of its actual achievements, its status and ways forward. The current paper seeks to provide such a review and analysis. The paper highlights design and implementation issues related to government resolutions, benefits-sharing and forest offences. It also assesses the critical design factors and key drivers responsible for institutional reforms. The paper evaluates impacts of protection on forest productivity and on the livelihoods of local communities. It highlights that the JFM program, by virtue of the diversity of its implementation, provides an ideal laboratory for exploring why similar reforms can lead to different outcomes. The paper argued that though there are supporting government policy and guideline and massive fund support, why there has been a low down of enthusiasm for JFM in the last two decades. From experiences, it suggests strategies for its revival and JFM can further contribute effective toward forest conservation and enhanced livelihood opportunities in the future.","container-title":"Resources, Conservation and Recycling","DOI":"10.1016/j.resconrec.2009.10.003","ISSN":"0921-3449","issue":"8","journalAbbreviation":"Resources, Conservation and Recycling","language":"en","page":"469-480","source":"ScienceDirect","title":"Joint forest management in India: Experiences of two decades","title-short":"Joint forest management in India","volume":"54","author":[{"family":"Bhattacharya","given":"Prodyut"},{"family":"Pradhan","given":"Lolita"},{"family":"Yadav","given":"Ganesh"}],"issued":{"date-parts":[["2010",6,1]]}}},{"id":2908,"uris":["http://zotero.org/users/2170232/items/GI3GI4ET"],"uri":["http://zotero.org/users/2170232/items/GI3GI4ET"],"itemData":{"id":2908,"type":"article-journal","abstract":"China has experienced extensive forest transition, from net deforestation to net forestation. Existing theories have highlighted economic growth, the intensification of agriculture and forest scarcity as the pathways of this transition, and studies, in particular from China, have also highlighted the contribution of a huge state afforestation program and the improved implementation and enforcement of forest protection policy and law. However, few studies have paid attention to local dynamics to provide a contextualized understanding of how forest transition has taken place at the local level and the significance of local factors in this change. This paper examines forest transition pathways in two villages in China. We consider the historical perspective and compare their local dynamics and variations to reach an understanding of the process of forest recovery at the local level. The results show that state forestry policies, including afforestation policy and tenure reform, arguably contribute to forest increase, while local processes including livelihood change and institutional factors play a key role in driving and shaping forest transition. We argue that there is a need for local-level studies and recommend including local institutions in forest transition analysis, contextualizing the socio-ecological interactions within the broader concept of political economy.","container-title":"Forests","DOI":"10.3390/f5020214","issue":"2","language":"en","note":"number: 2\npublisher: Multidisciplinary Digital Publishing Institute","page":"214-233","source":"www.mdpi.com","title":"Local Dynamics Driving Forest Transition: Insights from Upland Villages in Southwest China","title-short":"Local Dynamics Driving Forest Transition","volume":"5","author":[{"family":"He","given":"Jun"},{"family":"Lang","given":"Rong"},{"family":"Xu","given":"Jianchu"}],"issued":{"date-parts":[["2014",2]]}}}],"schema":"https://github.com/citation-style-language/schema/raw/master/csl-citation.json"} </w:instrText>
      </w:r>
      <w:r w:rsidR="00C3282B">
        <w:fldChar w:fldCharType="separate"/>
      </w:r>
      <w:r w:rsidR="00C95BE8" w:rsidRPr="00C95BE8">
        <w:rPr>
          <w:rFonts w:ascii="Calibri" w:hAnsi="Calibri" w:cs="Calibri"/>
        </w:rPr>
        <w:t>(Clement et al. 2009; Bhattacharya et al. 2010; He et al. 2014)</w:t>
      </w:r>
      <w:r w:rsidR="00C3282B">
        <w:fldChar w:fldCharType="end"/>
      </w:r>
      <w:r w:rsidR="00BF6BF7" w:rsidRPr="00BF6BF7">
        <w:t>.</w:t>
      </w:r>
      <w:r w:rsidR="00BF6BF7">
        <w:t xml:space="preserve"> </w:t>
      </w:r>
      <w:r w:rsidR="007760EE">
        <w:t xml:space="preserve">Governance failures at all levels in Cambodia </w:t>
      </w:r>
      <w:r w:rsidR="00C3282B">
        <w:t>are</w:t>
      </w:r>
      <w:r w:rsidR="007760EE">
        <w:t xml:space="preserve"> likely hindering progress towards more sustainable forest management and ultimately a forest transition </w:t>
      </w:r>
      <w:r w:rsidR="007760EE">
        <w:fldChar w:fldCharType="begin"/>
      </w:r>
      <w:r w:rsidR="007760EE">
        <w:instrText xml:space="preserve"> ADDIN ZOTERO_ITEM CSL_CITATION {"citationID":"eSkdnFdw","properties":{"formattedCitation":"(Milne &amp; Mahanty 2015; Riggs et al. 2018)","plainCitation":"(Milne &amp; Mahanty 2015; Riggs et al. 2018)","noteIndex":0},"citationItems":[{"id":2899,"uris":["http://zotero.org/users/2170232/items/HVLX9C67"],"uri":["http://zotero.org/users/2170232/items/HVLX9C67"],"itemData":{"id":2899,"type":"book","abstract":"Written by leading authorities from Australasia, Europe and North America, this book examines the dynamic conflicts and synergies between nature conservation and human development in contemporary Cambodia. After suffering conflict and stagnation in the late twentieth century, Cambodia has experienced an economic transformation in the last decade, with growth averaging almost ten per cent per year, partly through investment from China. However this rush for development has been coupled with tremendous social and environmental change which, although positive in some aspects, has led to rising inequality and profound shifts in the condition, ownership and management of natural resources. High deforestation rates, declining fish stocks, biodiversity loss, and alienation of indigenous and rural people from their land and traditional livelihoods are now matters of increasing local and international concern. The book explores the social and political dimensions of these environmental changes in Cambodia, and of efforts to intervene in and ‘improve’ current trajectories for conservation and development. It provides a compelling analysis of the connections between nature, state and society, pointing to the key role of grassroots and non-state actors in shaping Cambodia’s frontiers of change. These insights will be of great interest to scholars of Southeast Asia and environment-development issues in general.","ISBN":"978-1-134-58109-2","language":"en","note":"Google-Books-ID: B6mgBgAAQBAJ","number-of-pages":"311","publisher":"Routledge","source":"Google Books","title":"Conservation and Development in Cambodia: Exploring frontiers of change in nature, state and society","title-short":"Conservation and Development in Cambodia","author":[{"family":"Milne","given":"Sarah"},{"family":"Mahanty","given":"Sango"}],"issued":{"date-parts":[["2015",2,11]]}}},{"id":2893,"uris":["http://zotero.org/users/2170232/items/KKQQZNQG"],"uri":["http://zotero.org/users/2170232/items/KKQQZNQG"],"itemData":{"id":2893,"type":"article-journal","abstract":"Academic inquiry into forest transitions has produced a rich body of literature examining the shift from net deforestation to net reforestation at multiple land use scales. However, researchers, practitioners, and policy analysts question the utility of current forest transition theory. Does it accurately describe and provide insight into strategies to influence patterns of forest change in countries where forest cover continues to decline? Forest transition theory has provided important insights into the ‘necessary but not sufficient’ conditions for countries shifting from net deforestation to net reforestation. To advance forest transition theory, scholars should recognize forests as complex and dynamic social-ecological systems and use analytical methods that accommodate that complexity. Transdisciplinary research that incorporates a broader range of qualitative and quantitative methods and tools is required. We analyzed the historical, social, and political factors influencing forest transition pathways in Cambodia. Cambodia exhibits similar economic pre-conditions to its neighbors, which have passed through a forest transition, yet deforestation rates remain high with no indication of slowing. We found that complex governance arrangements at multiple scales negatively influences Cambodia's forest cover and development trajectory. Attempts to nurture Cambodia's forest transition will require strengthening governance and institutions across all of the natural resource sectors. Further research that incorporates governance into forest transition frameworks is required to improve policy responses for post-transition forest outcomes.","container-title":"Forest Policy and Economics","DOI":"10.1016/j.forpol.2018.08.003","ISSN":"1389-9341","journalAbbreviation":"Forest Policy and Economics","language":"en","page":"19-27","source":"ScienceDirect","title":"Incorporating governance into forest transition frameworks to understand and influence Cambodia's forest landscapes","volume":"96","author":[{"family":"Riggs","given":"Rebecca Anne"},{"family":"Langston","given":"James Douglas"},{"family":"Sayer","given":"Jeffrey"}],"issued":{"date-parts":[["2018",11,1]]}}}],"schema":"https://github.com/citation-style-language/schema/raw/master/csl-citation.json"} </w:instrText>
      </w:r>
      <w:r w:rsidR="007760EE">
        <w:fldChar w:fldCharType="separate"/>
      </w:r>
      <w:r w:rsidR="007760EE" w:rsidRPr="007760EE">
        <w:rPr>
          <w:rFonts w:ascii="Calibri" w:hAnsi="Calibri" w:cs="Calibri"/>
        </w:rPr>
        <w:t>(Milne &amp; Mahanty 2015; Riggs et al. 2018)</w:t>
      </w:r>
      <w:r w:rsidR="007760EE">
        <w:fldChar w:fldCharType="end"/>
      </w:r>
      <w:r w:rsidR="007760EE">
        <w:t xml:space="preserve">. </w:t>
      </w:r>
    </w:p>
    <w:p w14:paraId="728E4EED" w14:textId="0B8BA0BC" w:rsidR="006F2311" w:rsidRDefault="006F2311" w:rsidP="006F2311">
      <w:r>
        <w:t xml:space="preserve">Understanding which </w:t>
      </w:r>
      <w:r w:rsidR="00CD4BBD">
        <w:t>macroeconomic factors and agricultural commodities</w:t>
      </w:r>
      <w:r>
        <w:t xml:space="preserve"> are driving land conversion</w:t>
      </w:r>
      <w:r w:rsidR="00CD4BBD">
        <w:t xml:space="preserve"> via ELCs</w:t>
      </w:r>
      <w:r>
        <w:t xml:space="preserve">, the strength of the effects, the time lags, and the legal and institutional mechanisms that facilitate the link between prices and forest loss, is critical </w:t>
      </w:r>
      <w:r w:rsidR="00CD4BBD">
        <w:t xml:space="preserve">both </w:t>
      </w:r>
      <w:r>
        <w:t>for predicting future forest loss</w:t>
      </w:r>
      <w:r w:rsidR="00CD4BBD">
        <w:t xml:space="preserve"> and identifying the appropriate institutional levels to target policy interventions</w:t>
      </w:r>
      <w:r>
        <w:t>. The opaque legal mechanisms and weak institutional frameworks that govern ELCs</w:t>
      </w:r>
      <w:r w:rsidR="00CD4BBD">
        <w:t>, natural resource management, and forest governance</w:t>
      </w:r>
      <w:r w:rsidR="0036712C">
        <w:t xml:space="preserve"> in Cambodia</w:t>
      </w:r>
      <w:r>
        <w:t xml:space="preserve"> are likely to continue to hinder the development </w:t>
      </w:r>
      <w:r>
        <w:lastRenderedPageBreak/>
        <w:t>of sustainable</w:t>
      </w:r>
      <w:r w:rsidR="0036712C">
        <w:t xml:space="preserve"> forest and</w:t>
      </w:r>
      <w:r>
        <w:t xml:space="preserve"> agricultural policies</w:t>
      </w:r>
      <w:r w:rsidR="00CD4BBD">
        <w:t xml:space="preserve"> </w:t>
      </w:r>
      <w:r w:rsidR="0036712C">
        <w:t>in the short term</w:t>
      </w:r>
      <w:r w:rsidR="00AF2607">
        <w:t xml:space="preserve"> </w:t>
      </w:r>
      <w:r w:rsidR="00AF2607">
        <w:fldChar w:fldCharType="begin"/>
      </w:r>
      <w:r w:rsidR="00AF2607">
        <w:instrText xml:space="preserve"> ADDIN ZOTERO_ITEM CSL_CITATION {"citationID":"jxSwETss","properties":{"formattedCitation":"(Milne &amp; Mahanty 2015)","plainCitation":"(Milne &amp; Mahanty 2015)","noteIndex":0},"citationItems":[{"id":2899,"uris":["http://zotero.org/users/2170232/items/HVLX9C67"],"uri":["http://zotero.org/users/2170232/items/HVLX9C67"],"itemData":{"id":2899,"type":"book","abstract":"Written by leading authorities from Australasia, Europe and North America, this book examines the dynamic conflicts and synergies between nature conservation and human development in contemporary Cambodia. After suffering conflict and stagnation in the late twentieth century, Cambodia has experienced an economic transformation in the last decade, with growth averaging almost ten per cent per year, partly through investment from China. However this rush for development has been coupled with tremendous social and environmental change which, although positive in some aspects, has led to rising inequality and profound shifts in the condition, ownership and management of natural resources. High deforestation rates, declining fish stocks, biodiversity loss, and alienation of indigenous and rural people from their land and traditional livelihoods are now matters of increasing local and international concern. The book explores the social and political dimensions of these environmental changes in Cambodia, and of efforts to intervene in and ‘improve’ current trajectories for conservation and development. It provides a compelling analysis of the connections between nature, state and society, pointing to the key role of grassroots and non-state actors in shaping Cambodia’s frontiers of change. These insights will be of great interest to scholars of Southeast Asia and environment-development issues in general.","ISBN":"978-1-134-58109-2","language":"en","note":"Google-Books-ID: B6mgBgAAQBAJ","number-of-pages":"311","publisher":"Routledge","source":"Google Books","title":"Conservation and Development in Cambodia: Exploring frontiers of change in nature, state and society","title-short":"Conservation and Development in Cambodia","author":[{"family":"Milne","given":"Sarah"},{"family":"Mahanty","given":"Sango"}],"issued":{"date-parts":[["2015",2,11]]}}}],"schema":"https://github.com/citation-style-language/schema/raw/master/csl-citation.json"} </w:instrText>
      </w:r>
      <w:r w:rsidR="00AF2607">
        <w:fldChar w:fldCharType="separate"/>
      </w:r>
      <w:r w:rsidR="00AF2607" w:rsidRPr="0036712C">
        <w:rPr>
          <w:rFonts w:ascii="Calibri" w:hAnsi="Calibri" w:cs="Calibri"/>
        </w:rPr>
        <w:t>(Milne &amp; Mahanty 2015)</w:t>
      </w:r>
      <w:r w:rsidR="00AF2607">
        <w:fldChar w:fldCharType="end"/>
      </w:r>
      <w:r>
        <w:t xml:space="preserve">. </w:t>
      </w:r>
      <w:r w:rsidR="00AF2607">
        <w:t xml:space="preserve">Industrial-scale agriculture in low income countries such as Cambodia are often criticised for failing to alleviate poverty or contribute to rural development, and often come with huge opportunity costs for local people, who would likely benefit more if they were given access to the land </w:t>
      </w:r>
      <w:r w:rsidR="00AF2607">
        <w:fldChar w:fldCharType="begin"/>
      </w:r>
      <w:r w:rsidR="00AF2607">
        <w:instrText xml:space="preserve"> ADDIN ZOTERO_ITEM CSL_CITATION {"citationID":"U0CT8V0U","properties":{"formattedCitation":"(De Schutter 2011)","plainCitation":"(De Schutter 2011)","noteIndex":0},"citationItems":[{"id":2758,"uris":["http://zotero.org/users/2170232/items/W4WVMKX6"],"uri":["http://zotero.org/users/2170232/items/W4WVMKX6"],"itemData":{"id":2758,"type":"article-journal","abstract":"Large-scale investments in farmland have been criticized, chiefly, because of questions about the capacity of the countries targeted by these land deals to effectively manage these investments in order to ensure that they contribute to rural development and poverty alleviation. This article questions the idea that this is the only or even the main problem raised by such investments. If weak governance were the only problem, then appropriate regulation—and incentives to manage such investments correctly—would indeed be a solution. However the real concern behind the development of large-scale investments in farmland is that giving land away to investors, having better access to capital to ‘develop’, implies huge opportunity costs, as it will result in a type of farming that will have much less powerful poverty-reducing impacts, than if access to land and water were improved for the local farming communities; that it directs agriculture towards crops for export markets, increasing the vulnerability to price shocks of the target countries; and that even where titling schemes seek to protect land users from eviction, it accelerates the development of a market for land rights with potentially destructive effects on the livelihoods, both of the current land users that will face increased commercial pressure on land, and of groups depending on the commons—grazing and fishing grounds, and forests. The article maps these various levels of critiques. It concludes that we need to do more than impose a discipline on land-grabbing: we need a real alternative to this kind of investment in land.","container-title":"The Journal of Peasant Studies","DOI":"10.1080/03066150.2011.559008","ISSN":"0306-6150","issue":"2","note":"publisher: Routledge\n_eprint: https://doi.org/10.1080/03066150.2011.559008","page":"249-279","source":"Taylor and Francis+NEJM","title":"How not to think of land-grabbing: three critiques of large-scale investments in farmland","title-short":"How not to think of land-grabbing","volume":"38","author":[{"family":"De Schutter","given":"Olivier"}],"issued":{"date-parts":[["2011",3,1]]}}}],"schema":"https://github.com/citation-style-language/schema/raw/master/csl-citation.json"} </w:instrText>
      </w:r>
      <w:r w:rsidR="00AF2607">
        <w:fldChar w:fldCharType="separate"/>
      </w:r>
      <w:r w:rsidR="00AF2607" w:rsidRPr="00AF2607">
        <w:rPr>
          <w:rFonts w:ascii="Calibri" w:hAnsi="Calibri" w:cs="Calibri"/>
        </w:rPr>
        <w:t>(De Schutter 2011)</w:t>
      </w:r>
      <w:r w:rsidR="00AF2607">
        <w:fldChar w:fldCharType="end"/>
      </w:r>
      <w:r w:rsidR="00AF2607">
        <w:t>.</w:t>
      </w:r>
      <w:r w:rsidR="007D5AEB">
        <w:t xml:space="preserve"> </w:t>
      </w:r>
      <w:r w:rsidR="00AF2607">
        <w:t xml:space="preserve">Furthermore, agro-industrial production of cash crops for international markets leaves the country open to price shocks and other suboptimal market fluctuations. </w:t>
      </w:r>
      <w:r w:rsidR="007D5AEB">
        <w:t xml:space="preserve">Nevertheless, the agricultural sector is still a fundamental part of the national economy and labour force, and further agricultural development </w:t>
      </w:r>
      <w:r w:rsidR="00FC0B89">
        <w:t>that embodies sustainability, increased productivity through improved technology, and value-addition via further processing</w:t>
      </w:r>
      <w:r w:rsidR="007D5AEB">
        <w:t xml:space="preserve"> </w:t>
      </w:r>
      <w:r w:rsidR="00FC0B89">
        <w:t xml:space="preserve">rather than land expansion, can continue to contribute to national development and poverty alleviation without the need for further deforestation </w:t>
      </w:r>
      <w:r w:rsidR="00FC0B89">
        <w:fldChar w:fldCharType="begin"/>
      </w:r>
      <w:r w:rsidR="00FC0B89">
        <w:instrText xml:space="preserve"> ADDIN ZOTERO_ITEM CSL_CITATION {"citationID":"YKMBcCcP","properties":{"formattedCitation":"(Eliste &amp; Zorya 2015)","plainCitation":"(Eliste &amp; Zorya 2015)","noteIndex":0},"citationItems":[{"id":2752,"uris":["http://zotero.org/users/2170232/items/U2ZTSPR5"],"uri":["http://zotero.org/users/2170232/items/U2ZTSPR5"],"itemData":{"id":2752,"type":"report","event-place":"Washington DC, USA","publisher":"World Bank Group","publisher-place":"Washington DC, USA","title":"Cambodian agriculture in transition: Opportunities and risks","URL":"http://documents.worldbank.org/curated/en/805091467993504209/Cambodian-agriculture-in-transition-opportunities-and-risks","author":[{"family":"Eliste","given":"Paavo"},{"family":"Zorya","given":"Sergiy"}],"issued":{"date-parts":[["2015"]]}}}],"schema":"https://github.com/citation-style-language/schema/raw/master/csl-citation.json"} </w:instrText>
      </w:r>
      <w:r w:rsidR="00FC0B89">
        <w:fldChar w:fldCharType="separate"/>
      </w:r>
      <w:r w:rsidR="00FC0B89" w:rsidRPr="00FC0B89">
        <w:rPr>
          <w:rFonts w:ascii="Calibri" w:hAnsi="Calibri" w:cs="Calibri"/>
        </w:rPr>
        <w:t>(Eliste &amp; Zorya 2015)</w:t>
      </w:r>
      <w:r w:rsidR="00FC0B89">
        <w:fldChar w:fldCharType="end"/>
      </w:r>
      <w:r w:rsidR="00FC0B89">
        <w:t xml:space="preserve">. </w:t>
      </w:r>
    </w:p>
    <w:p w14:paraId="76BAAAE4" w14:textId="723AF14C" w:rsidR="005C460B" w:rsidRDefault="005C460B" w:rsidP="000A46B5"/>
    <w:p w14:paraId="06DFD7BB" w14:textId="0ED56656" w:rsidR="00347783" w:rsidRPr="002E4677" w:rsidRDefault="00347783" w:rsidP="000A46B5">
      <w:pPr>
        <w:rPr>
          <w:b/>
          <w:bCs/>
        </w:rPr>
      </w:pPr>
    </w:p>
    <w:sectPr w:rsidR="00347783" w:rsidRPr="002E4677" w:rsidSect="009F455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Nuttall" w:date="2021-10-15T11:37:00Z" w:initials="MN">
    <w:p w14:paraId="6CAA9A42" w14:textId="22CD1322" w:rsidR="00667CED" w:rsidRDefault="00667CED">
      <w:pPr>
        <w:pStyle w:val="CommentText"/>
      </w:pPr>
      <w:r>
        <w:rPr>
          <w:rStyle w:val="CommentReference"/>
        </w:rPr>
        <w:annotationRef/>
      </w:r>
      <w:r>
        <w:t>Phil – in your comments on the previous draft (the combined version) you asked why these variables were chosen. I have included this sentence in response</w:t>
      </w:r>
    </w:p>
  </w:comment>
  <w:comment w:id="1" w:author="Katharine Abernethy" w:date="2021-09-29T13:10:00Z" w:initials="KA">
    <w:p w14:paraId="2D5FA456" w14:textId="77777777" w:rsidR="000A46B5" w:rsidRDefault="000A46B5" w:rsidP="000A46B5">
      <w:pPr>
        <w:pStyle w:val="CommentText"/>
      </w:pPr>
      <w:r>
        <w:rPr>
          <w:rStyle w:val="CommentReference"/>
        </w:rPr>
        <w:annotationRef/>
      </w:r>
      <w:r>
        <w:t xml:space="preserve">Was used or best fit the data? </w:t>
      </w:r>
    </w:p>
  </w:comment>
  <w:comment w:id="2" w:author="Matthew Nuttall" w:date="2021-10-16T09:31:00Z" w:initials="MN">
    <w:p w14:paraId="6CB6EAF2" w14:textId="20E84710" w:rsidR="001A6F37" w:rsidRDefault="001A6F37">
      <w:pPr>
        <w:pStyle w:val="CommentText"/>
      </w:pPr>
      <w:r>
        <w:rPr>
          <w:rStyle w:val="CommentReference"/>
        </w:rPr>
        <w:annotationRef/>
      </w:r>
      <w:r>
        <w:t>Was used. As the response was count data, it was the most appropriate distribution</w:t>
      </w:r>
    </w:p>
  </w:comment>
  <w:comment w:id="3" w:author="Matthew Nuttall" w:date="2021-06-04T09:29:00Z" w:initials="MN">
    <w:p w14:paraId="49303429" w14:textId="77777777" w:rsidR="000A46B5" w:rsidRDefault="000A46B5" w:rsidP="000A46B5">
      <w:pPr>
        <w:pStyle w:val="CommentText"/>
      </w:pPr>
      <w:r>
        <w:rPr>
          <w:rStyle w:val="CommentReference"/>
        </w:rPr>
        <w:annotationRef/>
      </w:r>
      <w:r>
        <w:t>NOT CORRECT EQUATIONS. Will use R package to get correct equations</w:t>
      </w:r>
    </w:p>
  </w:comment>
  <w:comment w:id="17" w:author="Katharine Abernethy" w:date="2021-09-29T14:44:00Z" w:initials="KA">
    <w:p w14:paraId="60B0B8AE" w14:textId="77777777" w:rsidR="009F455B" w:rsidRDefault="009F455B" w:rsidP="009F455B">
      <w:pPr>
        <w:pStyle w:val="CommentText"/>
      </w:pPr>
      <w:r>
        <w:rPr>
          <w:rStyle w:val="CommentReference"/>
        </w:rPr>
        <w:annotationRef/>
      </w:r>
      <w:r>
        <w:t xml:space="preserve">Why do the lines not seem to be related to the points? Particularly top left of this figure (corn) those points would lead to a line of positive slope if they were all equally weighted – are there points behind points or unequal weightings? If so, consider proportional sizing of points? </w:t>
      </w:r>
    </w:p>
  </w:comment>
  <w:comment w:id="18" w:author="Matthew Nuttall" w:date="2021-10-16T09:41:00Z" w:initials="MN">
    <w:p w14:paraId="010198B6" w14:textId="19F4CE5E" w:rsidR="00C65931" w:rsidRDefault="00C65931">
      <w:pPr>
        <w:pStyle w:val="CommentText"/>
      </w:pPr>
      <w:r>
        <w:rPr>
          <w:rStyle w:val="CommentReference"/>
        </w:rPr>
        <w:annotationRef/>
      </w:r>
      <w:r>
        <w:t>This is because the relationships were modelled on the log scale (Poisson models with log link), and these plots are the points and predictions back-transformed onto the original scale. I thought about plotting on the log scale, but they are much more difficult to interpret. I have added an explanation sentence to all three figure captions which will hopefully add clarification for the reader</w:t>
      </w:r>
    </w:p>
  </w:comment>
  <w:comment w:id="19" w:author="Katharine Abernethy" w:date="2021-09-29T15:06:00Z" w:initials="KA">
    <w:p w14:paraId="6EB9E1FD" w14:textId="2B693995" w:rsidR="006F2311" w:rsidRDefault="006F2311" w:rsidP="006F2311">
      <w:pPr>
        <w:pStyle w:val="CommentText"/>
      </w:pPr>
      <w:r>
        <w:rPr>
          <w:rStyle w:val="CommentReference"/>
        </w:rPr>
        <w:annotationRef/>
      </w:r>
      <w:r>
        <w:t>Doe</w:t>
      </w:r>
      <w:r w:rsidR="00050B93">
        <w:t>s</w:t>
      </w:r>
      <w:r>
        <w:t xml:space="preserve"> their analysis shed any light on how your model for macroeconomics performs? </w:t>
      </w:r>
    </w:p>
  </w:comment>
  <w:comment w:id="20" w:author="Matthew Nuttall" w:date="2021-10-16T15:34:00Z" w:initials="MN">
    <w:p w14:paraId="56911E07" w14:textId="2D052899" w:rsidR="001E2F1B" w:rsidRDefault="001E2F1B">
      <w:pPr>
        <w:pStyle w:val="CommentText"/>
      </w:pPr>
      <w:r>
        <w:rPr>
          <w:rStyle w:val="CommentReference"/>
        </w:rPr>
        <w:annotationRef/>
      </w:r>
      <w:r>
        <w:t>Their analysis was at a much finer scale – they looked at a very localised bit of forest that straddles the Cambodia-Vietnam border. I think because my analysis was at the national scale the signal for small, isolated bits of forest loss like this were probably drown</w:t>
      </w:r>
      <w:r w:rsidR="00050B93">
        <w:t>ed</w:t>
      </w:r>
      <w:r>
        <w:t xml:space="preserve"> out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AA9A42" w15:done="0"/>
  <w15:commentEx w15:paraId="2D5FA456" w15:done="0"/>
  <w15:commentEx w15:paraId="6CB6EAF2" w15:paraIdParent="2D5FA456" w15:done="0"/>
  <w15:commentEx w15:paraId="49303429" w15:done="0"/>
  <w15:commentEx w15:paraId="60B0B8AE" w15:done="0"/>
  <w15:commentEx w15:paraId="010198B6" w15:paraIdParent="60B0B8AE" w15:done="0"/>
  <w15:commentEx w15:paraId="6EB9E1FD" w15:done="0"/>
  <w15:commentEx w15:paraId="56911E07" w15:paraIdParent="6EB9E1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3E68F" w16cex:dateUtc="2021-10-15T10:37:00Z"/>
  <w16cex:commentExtensible w16cex:durableId="24FEE438" w16cex:dateUtc="2021-09-29T12:10:00Z"/>
  <w16cex:commentExtensible w16cex:durableId="25151A60" w16cex:dateUtc="2021-10-16T08:31:00Z"/>
  <w16cex:commentExtensible w16cex:durableId="24647106" w16cex:dateUtc="2021-06-04T08:29:00Z"/>
  <w16cex:commentExtensible w16cex:durableId="24FEFA42" w16cex:dateUtc="2021-09-29T13:44:00Z"/>
  <w16cex:commentExtensible w16cex:durableId="25151CCF" w16cex:dateUtc="2021-10-16T08:41:00Z"/>
  <w16cex:commentExtensible w16cex:durableId="24FEFF7F" w16cex:dateUtc="2021-09-29T14:06:00Z"/>
  <w16cex:commentExtensible w16cex:durableId="25156F9F" w16cex:dateUtc="2021-10-16T14: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AA9A42" w16cid:durableId="2513E68F"/>
  <w16cid:commentId w16cid:paraId="2D5FA456" w16cid:durableId="24FEE438"/>
  <w16cid:commentId w16cid:paraId="6CB6EAF2" w16cid:durableId="25151A60"/>
  <w16cid:commentId w16cid:paraId="49303429" w16cid:durableId="24647106"/>
  <w16cid:commentId w16cid:paraId="60B0B8AE" w16cid:durableId="24FEFA42"/>
  <w16cid:commentId w16cid:paraId="010198B6" w16cid:durableId="25151CCF"/>
  <w16cid:commentId w16cid:paraId="6EB9E1FD" w16cid:durableId="24FEFF7F"/>
  <w16cid:commentId w16cid:paraId="56911E07" w16cid:durableId="25156F9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Nuttall">
    <w15:presenceInfo w15:providerId="AD" w15:userId="S::mnn1@stir.ac.uk::52bda326-1982-4d2e-bfc2-66e5e0894b6c"/>
  </w15:person>
  <w15:person w15:author="Katharine Abernethy">
    <w15:presenceInfo w15:providerId="AD" w15:userId="S::ka7@stir.ac.uk::73552a5e-c7b9-4b5a-a6b8-75baee8b72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6B5"/>
    <w:rsid w:val="0000260F"/>
    <w:rsid w:val="00046338"/>
    <w:rsid w:val="00050B93"/>
    <w:rsid w:val="000A29B4"/>
    <w:rsid w:val="000A46B5"/>
    <w:rsid w:val="000E32E5"/>
    <w:rsid w:val="00131C5D"/>
    <w:rsid w:val="00141381"/>
    <w:rsid w:val="001A6F37"/>
    <w:rsid w:val="001B2E6F"/>
    <w:rsid w:val="001D4CBF"/>
    <w:rsid w:val="001E2F1B"/>
    <w:rsid w:val="002238D4"/>
    <w:rsid w:val="00296541"/>
    <w:rsid w:val="002D02E5"/>
    <w:rsid w:val="002E4677"/>
    <w:rsid w:val="00316ABA"/>
    <w:rsid w:val="003205E2"/>
    <w:rsid w:val="00347783"/>
    <w:rsid w:val="0036712C"/>
    <w:rsid w:val="00381FF1"/>
    <w:rsid w:val="003B7206"/>
    <w:rsid w:val="003D5F3C"/>
    <w:rsid w:val="00406839"/>
    <w:rsid w:val="00415058"/>
    <w:rsid w:val="004740E7"/>
    <w:rsid w:val="004C2131"/>
    <w:rsid w:val="005252BE"/>
    <w:rsid w:val="00537AE8"/>
    <w:rsid w:val="005620D2"/>
    <w:rsid w:val="00562B5B"/>
    <w:rsid w:val="005760C1"/>
    <w:rsid w:val="005C460B"/>
    <w:rsid w:val="0064115C"/>
    <w:rsid w:val="00643D5E"/>
    <w:rsid w:val="00667CED"/>
    <w:rsid w:val="006C7758"/>
    <w:rsid w:val="006E1ED5"/>
    <w:rsid w:val="006F2311"/>
    <w:rsid w:val="00721329"/>
    <w:rsid w:val="007739D7"/>
    <w:rsid w:val="007760EE"/>
    <w:rsid w:val="007C7AA3"/>
    <w:rsid w:val="007D5AEB"/>
    <w:rsid w:val="007D6A50"/>
    <w:rsid w:val="007E4D4B"/>
    <w:rsid w:val="007F1C9B"/>
    <w:rsid w:val="00801E63"/>
    <w:rsid w:val="00811E4E"/>
    <w:rsid w:val="00822264"/>
    <w:rsid w:val="0089542A"/>
    <w:rsid w:val="008B3DA9"/>
    <w:rsid w:val="008B6ED5"/>
    <w:rsid w:val="008E0F3D"/>
    <w:rsid w:val="0093383C"/>
    <w:rsid w:val="00947237"/>
    <w:rsid w:val="009F455B"/>
    <w:rsid w:val="00A54C9C"/>
    <w:rsid w:val="00A8102F"/>
    <w:rsid w:val="00AD3F12"/>
    <w:rsid w:val="00AD70AA"/>
    <w:rsid w:val="00AF2607"/>
    <w:rsid w:val="00B5750E"/>
    <w:rsid w:val="00B66116"/>
    <w:rsid w:val="00B82439"/>
    <w:rsid w:val="00BF6BF7"/>
    <w:rsid w:val="00C039EE"/>
    <w:rsid w:val="00C16DA9"/>
    <w:rsid w:val="00C3282B"/>
    <w:rsid w:val="00C65931"/>
    <w:rsid w:val="00C831FB"/>
    <w:rsid w:val="00C84941"/>
    <w:rsid w:val="00C95BE8"/>
    <w:rsid w:val="00CC4F5A"/>
    <w:rsid w:val="00CD4BBD"/>
    <w:rsid w:val="00D225BC"/>
    <w:rsid w:val="00D90A79"/>
    <w:rsid w:val="00D955C9"/>
    <w:rsid w:val="00DB2B52"/>
    <w:rsid w:val="00DD2646"/>
    <w:rsid w:val="00DE2591"/>
    <w:rsid w:val="00E23AF3"/>
    <w:rsid w:val="00E30129"/>
    <w:rsid w:val="00E64AFA"/>
    <w:rsid w:val="00E82045"/>
    <w:rsid w:val="00F05DBA"/>
    <w:rsid w:val="00F12033"/>
    <w:rsid w:val="00F1302E"/>
    <w:rsid w:val="00F4635E"/>
    <w:rsid w:val="00F513EE"/>
    <w:rsid w:val="00F55680"/>
    <w:rsid w:val="00FB65AB"/>
    <w:rsid w:val="00FC0B89"/>
    <w:rsid w:val="00FD012C"/>
    <w:rsid w:val="00FE0683"/>
    <w:rsid w:val="00FE1C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23DF3"/>
  <w15:chartTrackingRefBased/>
  <w15:docId w15:val="{E7C38D08-914B-4609-B9B5-4F4D11E76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A46B5"/>
    <w:rPr>
      <w:sz w:val="16"/>
      <w:szCs w:val="16"/>
    </w:rPr>
  </w:style>
  <w:style w:type="paragraph" w:styleId="CommentText">
    <w:name w:val="annotation text"/>
    <w:basedOn w:val="Normal"/>
    <w:link w:val="CommentTextChar"/>
    <w:uiPriority w:val="99"/>
    <w:unhideWhenUsed/>
    <w:rsid w:val="000A46B5"/>
    <w:pPr>
      <w:spacing w:line="240" w:lineRule="auto"/>
    </w:pPr>
    <w:rPr>
      <w:sz w:val="20"/>
      <w:szCs w:val="20"/>
    </w:rPr>
  </w:style>
  <w:style w:type="character" w:customStyle="1" w:styleId="CommentTextChar">
    <w:name w:val="Comment Text Char"/>
    <w:basedOn w:val="DefaultParagraphFont"/>
    <w:link w:val="CommentText"/>
    <w:uiPriority w:val="99"/>
    <w:rsid w:val="000A46B5"/>
    <w:rPr>
      <w:sz w:val="20"/>
      <w:szCs w:val="20"/>
    </w:rPr>
  </w:style>
  <w:style w:type="paragraph" w:styleId="CommentSubject">
    <w:name w:val="annotation subject"/>
    <w:basedOn w:val="CommentText"/>
    <w:next w:val="CommentText"/>
    <w:link w:val="CommentSubjectChar"/>
    <w:uiPriority w:val="99"/>
    <w:semiHidden/>
    <w:unhideWhenUsed/>
    <w:rsid w:val="00667CED"/>
    <w:rPr>
      <w:b/>
      <w:bCs/>
    </w:rPr>
  </w:style>
  <w:style w:type="character" w:customStyle="1" w:styleId="CommentSubjectChar">
    <w:name w:val="Comment Subject Char"/>
    <w:basedOn w:val="CommentTextChar"/>
    <w:link w:val="CommentSubject"/>
    <w:uiPriority w:val="99"/>
    <w:semiHidden/>
    <w:rsid w:val="00667CE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6.png"/><Relationship Id="rId3" Type="http://schemas.openxmlformats.org/officeDocument/2006/relationships/webSettings" Target="webSettings.xml"/><Relationship Id="rId7" Type="http://schemas.microsoft.com/office/2016/09/relationships/commentsIds" Target="commentsId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image" Target="media/image1.png"/><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6338</TotalTime>
  <Pages>21</Pages>
  <Words>36913</Words>
  <Characters>210410</Characters>
  <Application>Microsoft Office Word</Application>
  <DocSecurity>0</DocSecurity>
  <Lines>1753</Lines>
  <Paragraphs>493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20</cp:revision>
  <dcterms:created xsi:type="dcterms:W3CDTF">2021-10-14T13:12:00Z</dcterms:created>
  <dcterms:modified xsi:type="dcterms:W3CDTF">2021-10-21T15:46:00Z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id="odZ6Lfgc"/&gt;&lt;style id="http://www.zotero.org/styles/conservation-biology" hasBibliography="1" bibliographyStyleHasBeenSet="0"/&gt;&lt;prefs&gt;&lt;pref name="fieldType" value="Field"/&gt;&lt;pref name="automaticJ</vt:lpwstr>
  </property>
  <property fmtid="{D5CDD505-2E9C-101B-9397-08002B2CF9AE}" pid="3" name="ZOTERO_PREF_2">
    <vt:lpwstr>ournalAbbreviations" value="true"/&gt;&lt;/prefs&gt;&lt;/data&gt;</vt:lpwstr>
  </property>
</Properties>
</file>