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2F3D22A6" w:rsidR="000A46B5" w:rsidRPr="007C7AA3" w:rsidRDefault="0064115C">
      <w:r>
        <w:t xml:space="preserve">Forest transitions and pathways </w:t>
      </w: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xml:space="preserve">. Forest cover layers were </w:t>
      </w:r>
      <w:r w:rsidRPr="000A46B5">
        <w:lastRenderedPageBreak/>
        <w:t>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w:t>
      </w:r>
      <w:proofErr w:type="spellStart"/>
      <w:r w:rsidR="007739D7" w:rsidRPr="007739D7">
        <w:rPr>
          <w:rFonts w:ascii="Calibri" w:hAnsi="Calibri" w:cs="Calibri"/>
        </w:rPr>
        <w:t>Rudel</w:t>
      </w:r>
      <w:proofErr w:type="spellEnd"/>
      <w:r w:rsidR="007739D7" w:rsidRPr="007739D7">
        <w:rPr>
          <w:rFonts w:ascii="Calibri" w:hAnsi="Calibri" w:cs="Calibri"/>
        </w:rPr>
        <w:t xml:space="preserve"> et al. 2005; </w:t>
      </w:r>
      <w:proofErr w:type="spellStart"/>
      <w:r w:rsidR="007739D7" w:rsidRPr="007739D7">
        <w:rPr>
          <w:rFonts w:ascii="Calibri" w:hAnsi="Calibri" w:cs="Calibri"/>
        </w:rPr>
        <w:t>Lambin</w:t>
      </w:r>
      <w:proofErr w:type="spellEnd"/>
      <w:r w:rsidR="007739D7" w:rsidRPr="007739D7">
        <w:rPr>
          <w:rFonts w:ascii="Calibri" w:hAnsi="Calibri" w:cs="Calibri"/>
        </w:rPr>
        <w:t xml:space="preserve"> &amp; </w:t>
      </w:r>
      <w:proofErr w:type="spellStart"/>
      <w:r w:rsidR="007739D7" w:rsidRPr="007739D7">
        <w:rPr>
          <w:rFonts w:ascii="Calibri" w:hAnsi="Calibri" w:cs="Calibri"/>
        </w:rPr>
        <w:t>Meyfroidt</w:t>
      </w:r>
      <w:proofErr w:type="spellEnd"/>
      <w:r w:rsidR="007739D7" w:rsidRPr="007739D7">
        <w:rPr>
          <w:rFonts w:ascii="Calibri" w:hAnsi="Calibri" w:cs="Calibri"/>
        </w:rPr>
        <w:t xml:space="preserve">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w:t>
      </w:r>
      <w:proofErr w:type="spellStart"/>
      <w:r w:rsidR="007739D7" w:rsidRPr="007739D7">
        <w:rPr>
          <w:rFonts w:ascii="Calibri" w:hAnsi="Calibri" w:cs="Calibri"/>
        </w:rPr>
        <w:t>Chhair</w:t>
      </w:r>
      <w:proofErr w:type="spellEnd"/>
      <w:r w:rsidR="007739D7" w:rsidRPr="007739D7">
        <w:rPr>
          <w:rFonts w:ascii="Calibri" w:hAnsi="Calibri" w:cs="Calibri"/>
        </w:rPr>
        <w:t xml:space="preserve">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w:t>
      </w:r>
      <w:proofErr w:type="gramStart"/>
      <w:r w:rsidRPr="001E05DC">
        <w:t>The</w:t>
      </w:r>
      <w:proofErr w:type="gramEnd"/>
      <w:r w:rsidRPr="001E05DC">
        <w:t xml:space="preserv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537AE8"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537AE8"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537AE8"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Points are the observed data, thick lines are model predictions, and faded ribbons are 95% confidence intervals.</w:t>
      </w:r>
      <w:r w:rsidR="004740E7">
        <w:rPr>
          <w:b/>
          <w:bCs/>
          <w:sz w:val="20"/>
          <w:szCs w:val="20"/>
        </w:rPr>
        <w:t xml:space="preserve">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w:t>
      </w:r>
      <w:proofErr w:type="gramStart"/>
      <w:r w:rsidRPr="00C84941">
        <w:rPr>
          <w:b/>
          <w:bCs/>
          <w:sz w:val="20"/>
          <w:szCs w:val="20"/>
        </w:rPr>
        <w:t>i.e.</w:t>
      </w:r>
      <w:proofErr w:type="gramEnd"/>
      <w:r w:rsidRPr="00C84941">
        <w:rPr>
          <w:b/>
          <w:bCs/>
          <w:sz w:val="20"/>
          <w:szCs w:val="20"/>
        </w:rPr>
        <w:t xml:space="preserv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Points are the observed data, thick lines are model predictions, and faded ribbons are 95% confidence intervals.</w:t>
      </w:r>
      <w:r w:rsidR="004740E7">
        <w:rPr>
          <w:b/>
          <w:bCs/>
          <w:sz w:val="20"/>
          <w:szCs w:val="20"/>
        </w:rPr>
        <w:t xml:space="preserve"> </w:t>
      </w:r>
      <w:r w:rsidRPr="00C84941">
        <w:rPr>
          <w:b/>
          <w:bCs/>
          <w:sz w:val="20"/>
          <w:szCs w:val="20"/>
        </w:rPr>
        <w:t>Row a: producer price for rubber (USD/t) row b: producer price for cassava (USD/t), row c: producer price for corn (USD/t), row d: producer price for sugar (USD/t).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w:t>
      </w:r>
      <w:r w:rsidR="004740E7">
        <w:rPr>
          <w:b/>
          <w:bCs/>
          <w:sz w:val="20"/>
          <w:szCs w:val="20"/>
        </w:rPr>
        <w:t>black</w:t>
      </w:r>
      <w:r w:rsidR="004740E7">
        <w:rPr>
          <w:b/>
          <w:bCs/>
          <w:sz w:val="20"/>
          <w:szCs w:val="20"/>
        </w:rPr>
        <w:t xml:space="preserve"> lines are model predictions, and </w:t>
      </w:r>
      <w:r w:rsidR="004740E7">
        <w:rPr>
          <w:b/>
          <w:bCs/>
          <w:sz w:val="20"/>
          <w:szCs w:val="20"/>
        </w:rPr>
        <w:t>coloured</w:t>
      </w:r>
      <w:r w:rsidR="004740E7">
        <w:rPr>
          <w:b/>
          <w:bCs/>
          <w:sz w:val="20"/>
          <w:szCs w:val="20"/>
        </w:rPr>
        <w:t xml:space="preserve"> ribbons are 95% confidence intervals.</w:t>
      </w:r>
      <w:r w:rsidR="004740E7">
        <w:rPr>
          <w:b/>
          <w:bCs/>
          <w:sz w:val="20"/>
          <w:szCs w:val="20"/>
        </w:rPr>
        <w:t xml:space="preserve">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Pr>
          <w:b/>
          <w:bCs/>
          <w:sz w:val="20"/>
          <w:szCs w:val="20"/>
        </w:rPr>
        <w:t>.</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Pr>
          <w:b/>
          <w:bCs/>
          <w:sz w:val="20"/>
          <w:szCs w:val="20"/>
        </w:rPr>
        <w:t>.</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w:t>
      </w:r>
      <w:r w:rsidR="00DE2591">
        <w:rPr>
          <w:b/>
          <w:bCs/>
          <w:sz w:val="20"/>
          <w:szCs w:val="20"/>
        </w:rPr>
        <w:t>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47F368DF"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w:t>
      </w:r>
      <w:r w:rsidR="00947237">
        <w:fldChar w:fldCharType="begin"/>
      </w:r>
      <w:r w:rsidR="00947237">
        <w:instrText xml:space="preserve"> ADDIN ZOTERO_ITEM CSL_CITATION {"citationID":"DpjHWtQL","properties":{"formattedCitation":"(Mather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947237">
        <w:fldChar w:fldCharType="separate"/>
      </w:r>
      <w:r w:rsidR="00947237" w:rsidRPr="00947237">
        <w:rPr>
          <w:rFonts w:ascii="Calibri" w:hAnsi="Calibri" w:cs="Calibri"/>
        </w:rPr>
        <w:t>(Mather 1992)</w:t>
      </w:r>
      <w:r w:rsidR="00947237">
        <w:fldChar w:fldCharType="end"/>
      </w:r>
      <w:r w:rsidR="00947237">
        <w:t xml:space="preserve">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w:t>
      </w:r>
      <w:proofErr w:type="spellStart"/>
      <w:r w:rsidR="00947237" w:rsidRPr="00947237">
        <w:rPr>
          <w:rFonts w:ascii="Calibri" w:hAnsi="Calibri" w:cs="Calibri"/>
        </w:rPr>
        <w:t>Culas</w:t>
      </w:r>
      <w:proofErr w:type="spellEnd"/>
      <w:r w:rsidR="00947237" w:rsidRPr="00947237">
        <w:rPr>
          <w:rFonts w:ascii="Calibri" w:hAnsi="Calibri" w:cs="Calibri"/>
        </w:rPr>
        <w:t xml:space="preserve">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16E77043"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 xml:space="preserve">(Ewers 2006; Gong et al. 2013; </w:t>
      </w:r>
      <w:proofErr w:type="spellStart"/>
      <w:r w:rsidR="007739D7" w:rsidRPr="007739D7">
        <w:rPr>
          <w:rFonts w:ascii="Calibri" w:hAnsi="Calibri" w:cs="Calibri"/>
        </w:rPr>
        <w:t>Kuang</w:t>
      </w:r>
      <w:proofErr w:type="spellEnd"/>
      <w:r w:rsidR="007739D7" w:rsidRPr="007739D7">
        <w:rPr>
          <w:rFonts w:ascii="Calibri" w:hAnsi="Calibri" w:cs="Calibri"/>
        </w:rPr>
        <w:t xml:space="preserve">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046338">
        <w:instrText xml:space="preserve"> ADDIN ZOTERO_ITEM CSL_CITATION {"citationID":"jip8FHXz","properties":{"formattedCitation":"(Hamada &amp; Kasuya 1992; Riedel &amp; Turley 1999)","plainCitation":"(Hamada &amp; Kasuya 1992; Riedel &amp; Turley 1999)","noteIndex":0},"citationItems":[{"id":2884,"uris":["http://zotero.org/users/2170232/items/QTF3RFFE"],"uri":["http://zotero.org/users/2170232/items/QTF3RFFE"],"itemData":{"id":2884,"type":"report","event-place":"New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 xml:space="preserve">Hamada &amp; </w:t>
      </w:r>
      <w:proofErr w:type="spellStart"/>
      <w:r w:rsidR="00046338" w:rsidRPr="00046338">
        <w:rPr>
          <w:rFonts w:ascii="Calibri" w:hAnsi="Calibri" w:cs="Calibri"/>
        </w:rPr>
        <w:t>Kasuya</w:t>
      </w:r>
      <w:proofErr w:type="spellEnd"/>
      <w:r w:rsidR="00046338" w:rsidRPr="00046338">
        <w:rPr>
          <w:rFonts w:ascii="Calibri" w:hAnsi="Calibri" w:cs="Calibri"/>
        </w:rPr>
        <w:t xml:space="preserve">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Culas</w:t>
      </w:r>
      <w:proofErr w:type="spellEnd"/>
      <w:r w:rsidR="007739D7" w:rsidRPr="007739D7">
        <w:rPr>
          <w:rFonts w:ascii="Calibri" w:hAnsi="Calibri" w:cs="Calibri"/>
        </w:rPr>
        <w:t xml:space="preserve">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w:t>
      </w:r>
      <w:proofErr w:type="gramStart"/>
      <w:r w:rsidR="003205E2">
        <w:t xml:space="preserve">. </w:t>
      </w:r>
      <w:r w:rsidR="00F55680">
        <w:t xml:space="preserve"> </w:t>
      </w:r>
      <w:proofErr w:type="gramEnd"/>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7777777"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Therefore, ELCs themselves can be considered direct drivers of forest loss, rendering the macroeconomic predictors indirect drivers. Our results have demonstrated that during the study period, the economic development of the country</w:t>
      </w:r>
      <w:r w:rsidR="00B66116">
        <w:t>, including increases in foreign investment, changes in the structure of national GDP, and fluctuations in agricultural commodity prices,</w:t>
      </w:r>
      <w:r>
        <w:t xml:space="preserve"> was closely linked to the increase in ELCs, which in turn have</w:t>
      </w:r>
      <w:r w:rsidR="00B66116">
        <w:t xml:space="preserve"> previously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39CD1206" w14:textId="120A2D27" w:rsidR="00801E63" w:rsidRDefault="006F2311" w:rsidP="00801E63">
      <w:r>
        <w:t xml:space="preserve">There were clear relationships between the size of the agricultural sector, the rates of foreign investment, and the number of new ELCs. </w:t>
      </w:r>
      <w:r w:rsidR="00801E63">
        <w:t xml:space="preserve">For example, when the agricultural sector’s proportion of national GDP decreases by 3% </w:t>
      </w:r>
      <w:proofErr w:type="gramStart"/>
      <w:r w:rsidR="00801E63">
        <w:t>in a given year</w:t>
      </w:r>
      <w:proofErr w:type="gramEnd"/>
      <w:r w:rsidR="00801E63">
        <w:t xml:space="preserve">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rsidR="00801E63">
        <w:t>in a given year</w:t>
      </w:r>
      <w:proofErr w:type="gramEnd"/>
      <w:r w:rsidR="00801E63">
        <w:t xml:space="preserve"> increases by approximately $300 million relative to the previous year, then one year later the number of new ELCs is predicted to be 10. </w:t>
      </w:r>
    </w:p>
    <w:p w14:paraId="2DECDAB0" w14:textId="1A76F249" w:rsidR="006F2311" w:rsidRDefault="006F2311" w:rsidP="006F2311">
      <w:commentRangeStart w:id="19"/>
      <w:r>
        <w:t>Th</w:t>
      </w:r>
      <w:commentRangeEnd w:id="19"/>
      <w:r w:rsidR="00406839">
        <w:rPr>
          <w:rStyle w:val="CommentReference"/>
        </w:rPr>
        <w:commentReference w:id="19"/>
      </w:r>
      <w:r>
        <w:t xml:space="preserve">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w:t>
      </w:r>
      <w:proofErr w:type="spellStart"/>
      <w:r w:rsidR="007739D7" w:rsidRPr="007739D7">
        <w:rPr>
          <w:rFonts w:ascii="Calibri" w:hAnsi="Calibri" w:cs="Calibri"/>
        </w:rPr>
        <w:t>Neef</w:t>
      </w:r>
      <w:proofErr w:type="spellEnd"/>
      <w:r w:rsidR="007739D7" w:rsidRPr="007739D7">
        <w:rPr>
          <w:rFonts w:ascii="Calibri" w:hAnsi="Calibri" w:cs="Calibri"/>
        </w:rPr>
        <w:t xml:space="preserve">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Licadho</w:t>
      </w:r>
      <w:proofErr w:type="spellEnd"/>
      <w:r w:rsidR="007739D7" w:rsidRPr="007739D7">
        <w:rPr>
          <w:rFonts w:ascii="Calibri" w:hAnsi="Calibri" w:cs="Calibri"/>
        </w:rPr>
        <w:t xml:space="preserve"> 2019)</w:t>
      </w:r>
      <w:r>
        <w:fldChar w:fldCharType="end"/>
      </w:r>
      <w:r>
        <w:t>. Despite real and perceived benefits of attracting foreign investment and expanding the production of cash crops</w:t>
      </w:r>
      <w:r w:rsidR="00801E63">
        <w:t xml:space="preserve"> (</w:t>
      </w:r>
      <w:r w:rsidR="00801E63" w:rsidRPr="00801E63">
        <w:rPr>
          <w:highlight w:val="yellow"/>
        </w:rPr>
        <w:t>ref</w:t>
      </w:r>
      <w:r w:rsidR="00801E63">
        <w:t>)</w:t>
      </w:r>
      <w:r>
        <w:t>, there are numerous negative effects on local people and the environment</w:t>
      </w:r>
      <w:r w:rsidR="00050B93">
        <w:t xml:space="preserve"> </w:t>
      </w:r>
      <w:r w:rsidR="00050B93">
        <w:fldChar w:fldCharType="begin"/>
      </w:r>
      <w:r w:rsidR="00050B93">
        <w:instrText xml:space="preserve"> ADDIN ZOTERO_ITEM CSL_CITATION {"citationID":"3NnixZ3m","properties":{"formattedCitation":"(Curtis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050B93">
        <w:fldChar w:fldCharType="separate"/>
      </w:r>
      <w:r w:rsidR="00050B93" w:rsidRPr="00050B93">
        <w:rPr>
          <w:rFonts w:ascii="Calibri" w:hAnsi="Calibri" w:cs="Calibri"/>
        </w:rPr>
        <w:t>(Curtis et al. 2018)</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themselves</w:t>
      </w:r>
      <w:r w:rsidR="00F513EE">
        <w:t xml:space="preserve">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7CFACF1B" w:rsidR="00801E63" w:rsidRDefault="006F2311" w:rsidP="006F2311">
      <w:r>
        <w:t>Changes in new ELC allocation can be effectively predicted by several key agricultural commodity prices, both on the international market and internally at the farmgate scale.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if rubber market prices do not change between </w:t>
      </w:r>
      <w:r w:rsidR="00050B93">
        <w:t>years,</w:t>
      </w:r>
      <w:r w:rsidR="00801E63">
        <w:t xml:space="preserve"> then approximately 4 new ELCs are predicted in year </w:t>
      </w:r>
      <w:r w:rsidR="00801E63">
        <w:rPr>
          <w:i/>
          <w:iCs/>
        </w:rPr>
        <w:t>t+1</w:t>
      </w:r>
      <w:r w:rsidR="00801E63">
        <w:t xml:space="preserve">, whereas if the price of rubber increases by $1500/ton in year </w:t>
      </w:r>
      <w:r w:rsidR="00801E63">
        <w:rPr>
          <w:i/>
          <w:iCs/>
        </w:rPr>
        <w:t>t</w:t>
      </w:r>
      <w:r w:rsidR="00801E63">
        <w:t xml:space="preserve">, then approximately 29 new ELCs are predicted in year </w:t>
      </w:r>
      <w:r w:rsidR="00801E63">
        <w:rPr>
          <w:i/>
          <w:iCs/>
        </w:rPr>
        <w:t>t+1</w:t>
      </w:r>
      <w:r w:rsidR="00801E63">
        <w:t xml:space="preserve">. </w:t>
      </w:r>
      <w:r w:rsidR="00F1302E">
        <w:t xml:space="preserve">The difference between the number of new ELC allocations when the producer price of rubber changes from a decrease of $30/ton (from year </w:t>
      </w:r>
      <w:r w:rsidR="00F1302E">
        <w:rPr>
          <w:i/>
          <w:iCs/>
        </w:rPr>
        <w:t xml:space="preserve">t </w:t>
      </w:r>
      <w:r w:rsidR="00F1302E">
        <w:t xml:space="preserve">to year </w:t>
      </w:r>
      <w:r w:rsidR="00F1302E">
        <w:rPr>
          <w:i/>
          <w:iCs/>
        </w:rPr>
        <w:t>t+1</w:t>
      </w:r>
      <w:r w:rsidR="00F1302E">
        <w:t>)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w:t>
      </w:r>
      <w:r w:rsidR="00F1302E">
        <w:t xml:space="preserve">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77777777"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 and globally, land conversion for commodity production is the single largest driver of deforestation </w:t>
      </w:r>
      <w:r w:rsidR="006F2311">
        <w:lastRenderedPageBreak/>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20"/>
      <w:commentRangeStart w:id="21"/>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20"/>
      <w:r w:rsidR="006F2311">
        <w:rPr>
          <w:rStyle w:val="CommentReference"/>
        </w:rPr>
        <w:commentReference w:id="20"/>
      </w:r>
      <w:commentRangeEnd w:id="21"/>
      <w:r w:rsidR="001E2F1B">
        <w:rPr>
          <w:rStyle w:val="CommentReference"/>
        </w:rPr>
        <w:commentReference w:id="21"/>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77777777"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w:t>
      </w:r>
      <w:proofErr w:type="spellStart"/>
      <w:r w:rsidR="00822264" w:rsidRPr="00822264">
        <w:rPr>
          <w:rFonts w:ascii="Calibri" w:hAnsi="Calibri" w:cs="Calibri"/>
        </w:rPr>
        <w:t>Solcomb</w:t>
      </w:r>
      <w:proofErr w:type="spellEnd"/>
      <w:r w:rsidR="00822264" w:rsidRPr="00822264">
        <w:rPr>
          <w:rFonts w:ascii="Calibri" w:hAnsi="Calibri" w:cs="Calibri"/>
        </w:rPr>
        <w:t xml:space="preserve">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 xml:space="preserve">(Davis et al. 2015; </w:t>
      </w:r>
      <w:proofErr w:type="spellStart"/>
      <w:r w:rsidR="006E1ED5" w:rsidRPr="006E1ED5">
        <w:rPr>
          <w:rFonts w:ascii="Calibri" w:hAnsi="Calibri" w:cs="Calibri"/>
        </w:rPr>
        <w:t>Eliste</w:t>
      </w:r>
      <w:proofErr w:type="spellEnd"/>
      <w:r w:rsidR="006E1ED5" w:rsidRPr="006E1ED5">
        <w:rPr>
          <w:rFonts w:ascii="Calibri" w:hAnsi="Calibri" w:cs="Calibri"/>
        </w:rPr>
        <w:t xml:space="preserve"> &amp; </w:t>
      </w:r>
      <w:proofErr w:type="spellStart"/>
      <w:r w:rsidR="006E1ED5" w:rsidRPr="006E1ED5">
        <w:rPr>
          <w:rFonts w:ascii="Calibri" w:hAnsi="Calibri" w:cs="Calibri"/>
        </w:rPr>
        <w:t>Zorya</w:t>
      </w:r>
      <w:proofErr w:type="spellEnd"/>
      <w:r w:rsidR="006E1ED5" w:rsidRPr="006E1ED5">
        <w:rPr>
          <w:rFonts w:ascii="Calibri" w:hAnsi="Calibri" w:cs="Calibri"/>
        </w:rPr>
        <w:t xml:space="preserve">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w:t>
      </w:r>
      <w:proofErr w:type="spellStart"/>
      <w:r w:rsidR="006E1ED5" w:rsidRPr="006E1ED5">
        <w:rPr>
          <w:rFonts w:ascii="Calibri" w:hAnsi="Calibri" w:cs="Calibri"/>
        </w:rPr>
        <w:t>Vrieze</w:t>
      </w:r>
      <w:proofErr w:type="spellEnd"/>
      <w:r w:rsidR="006E1ED5" w:rsidRPr="006E1ED5">
        <w:rPr>
          <w:rFonts w:ascii="Calibri" w:hAnsi="Calibri" w:cs="Calibri"/>
        </w:rPr>
        <w:t xml:space="preserve"> &amp; </w:t>
      </w:r>
      <w:proofErr w:type="spellStart"/>
      <w:r w:rsidR="006E1ED5" w:rsidRPr="006E1ED5">
        <w:rPr>
          <w:rFonts w:ascii="Calibri" w:hAnsi="Calibri" w:cs="Calibri"/>
        </w:rPr>
        <w:t>Kuch</w:t>
      </w:r>
      <w:proofErr w:type="spellEnd"/>
      <w:r w:rsidR="006E1ED5" w:rsidRPr="006E1ED5">
        <w:rPr>
          <w:rFonts w:ascii="Calibri" w:hAnsi="Calibri" w:cs="Calibri"/>
        </w:rPr>
        <w:t xml:space="preserve"> 2012; Global Witness 2013; Watson et al. 2014)</w:t>
      </w:r>
      <w:r w:rsidR="006E1ED5">
        <w:fldChar w:fldCharType="end"/>
      </w:r>
      <w:r w:rsidR="006E1ED5">
        <w:t xml:space="preserve">. Economic land concessions have proved a popular mechanism with which to direct foreign investment, expand industrial-scale commercial agriculture, and boost economic activity, yet have also been a key driver in deforestation </w:t>
      </w:r>
      <w:r w:rsidR="006E1ED5">
        <w:fldChar w:fldCharType="begin"/>
      </w:r>
      <w:r w:rsidR="006E1ED5">
        <w:instrText xml:space="preserve"> ADDIN ZOTERO_ITEM CSL_CITATION {"citationID":"1IM5Mym2","properties":{"formattedCitation":"(Davis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6E1ED5">
        <w:fldChar w:fldCharType="separate"/>
      </w:r>
      <w:r w:rsidR="006E1ED5" w:rsidRPr="006E1ED5">
        <w:rPr>
          <w:rFonts w:ascii="Calibri" w:hAnsi="Calibri" w:cs="Calibri"/>
        </w:rPr>
        <w:t>(Davis et al. 2015)</w:t>
      </w:r>
      <w:r w:rsidR="006E1ED5">
        <w:fldChar w:fldCharType="end"/>
      </w:r>
      <w:r w:rsidR="006E1ED5">
        <w:t>.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Environmental </w:t>
      </w:r>
      <w:proofErr w:type="spellStart"/>
      <w:r w:rsidR="006E1ED5" w:rsidRPr="006E1ED5">
        <w:t>Kuznet’s</w:t>
      </w:r>
      <w:proofErr w:type="spellEnd"/>
      <w:r w:rsidR="006E1ED5" w:rsidRPr="006E1ED5">
        <w:t xml:space="preserve"> Curve</w:t>
      </w:r>
      <w:r w:rsidR="00FE1CFD">
        <w:t xml:space="preserve"> (</w:t>
      </w:r>
      <w:r w:rsidR="00FE1CFD">
        <w:fldChar w:fldCharType="begin"/>
      </w:r>
      <w:r w:rsidR="00FE1CFD">
        <w:instrText xml:space="preserve"> ADDIN ZOTERO_ITEM CSL_CITATION {"citationID":"bgRulRm2","properties":{"formattedCitation":"(Bhattarai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proofErr w:type="gramStart"/>
      <w:r w:rsidR="00A8102F">
        <w:t>In order to</w:t>
      </w:r>
      <w:proofErr w:type="gramEnd"/>
      <w:r w:rsidR="00A8102F">
        <w:t xml:space="preserve"> eliminate forest loss, and begin moving towards possible afforestation, Cambodia will need to experience a forest transition. Reaching</w:t>
      </w:r>
      <w:r w:rsidR="00FE1CFD">
        <w:t xml:space="preserve"> the point of forest transition - the point at which deforestation ceases – can</w:t>
      </w:r>
      <w:r w:rsidR="00A8102F">
        <w:t xml:space="preserve"> be achieved via one of many transition pathways</w:t>
      </w:r>
      <w:r w:rsidR="008E0F3D">
        <w:t xml:space="preserve"> </w:t>
      </w:r>
      <w:r w:rsidR="008E0F3D">
        <w:fldChar w:fldCharType="begin"/>
      </w:r>
      <w:r w:rsidR="008E0F3D">
        <w:instrText xml:space="preserve"> ADDIN ZOTERO_ITEM CSL_CITATION {"citationID":"y3Ffi47d","properties":{"formattedCitation":"(Lambin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E0F3D">
        <w:fldChar w:fldCharType="separate"/>
      </w:r>
      <w:r w:rsidR="008E0F3D" w:rsidRPr="00A8102F">
        <w:rPr>
          <w:rFonts w:ascii="Calibri" w:hAnsi="Calibri" w:cs="Calibri"/>
        </w:rPr>
        <w:t>(</w:t>
      </w:r>
      <w:proofErr w:type="spellStart"/>
      <w:r w:rsidR="008E0F3D" w:rsidRPr="00A8102F">
        <w:rPr>
          <w:rFonts w:ascii="Calibri" w:hAnsi="Calibri" w:cs="Calibri"/>
        </w:rPr>
        <w:t>Lambin</w:t>
      </w:r>
      <w:proofErr w:type="spellEnd"/>
      <w:r w:rsidR="008E0F3D" w:rsidRPr="00A8102F">
        <w:rPr>
          <w:rFonts w:ascii="Calibri" w:hAnsi="Calibri" w:cs="Calibri"/>
        </w:rPr>
        <w:t xml:space="preserve"> &amp; </w:t>
      </w:r>
      <w:proofErr w:type="spellStart"/>
      <w:r w:rsidR="008E0F3D" w:rsidRPr="00A8102F">
        <w:rPr>
          <w:rFonts w:ascii="Calibri" w:hAnsi="Calibri" w:cs="Calibri"/>
        </w:rPr>
        <w:t>Meyfroidt</w:t>
      </w:r>
      <w:proofErr w:type="spellEnd"/>
      <w:r w:rsidR="008E0F3D" w:rsidRPr="00A8102F">
        <w:rPr>
          <w:rFonts w:ascii="Calibri" w:hAnsi="Calibri" w:cs="Calibri"/>
        </w:rPr>
        <w:t xml:space="preserve"> 2010)</w:t>
      </w:r>
      <w:r w:rsidR="008E0F3D">
        <w:fldChar w:fldCharType="end"/>
      </w:r>
      <w:r w:rsidR="008E0F3D">
        <w:t>.</w:t>
      </w:r>
      <w:r w:rsidR="00A8102F">
        <w:t xml:space="preserve"> </w:t>
      </w:r>
      <w:r w:rsidR="008E0F3D">
        <w:t>R</w:t>
      </w:r>
      <w:r w:rsidR="00A8102F">
        <w:t>esearch has</w:t>
      </w:r>
      <w:r w:rsidR="008E0F3D">
        <w:t xml:space="preserve"> however,</w:t>
      </w:r>
      <w:r w:rsidR="00A8102F">
        <w:t xml:space="preserve"> shown that abandonment of agricultural land by local farmers (in favour of intensification elsewhere), small holder tree planting, and crisis narratives</w:t>
      </w:r>
      <w:r w:rsidR="008E0F3D">
        <w:t xml:space="preserve"> (e.g., flood prevention) are common drivers of forest transitions </w:t>
      </w:r>
      <w:r w:rsidR="008E0F3D">
        <w:fldChar w:fldCharType="begin"/>
      </w:r>
      <w:r w:rsidR="008E0F3D">
        <w:instrText xml:space="preserve"> ADDIN ZOTERO_ITEM CSL_CITATION {"citationID":"wgCYK4xf","properties":{"formattedCitation":"(Rudel et al. 2020)","plainCitation":"(Rudel et al. 2020)","noteIndex":0},"citationItems":[{"id":2887,"uris":["http://zotero.org/users/2170232/items/BI7JCJ4B"],"uri":["http://zotero.org/users/2170232/items/BI7JCJ4B"],"itemData":{"id":2887,"type":"article-journal","abstract":"Forest transitions occur when net reforestation replaces net deforestation in places. Because forest transitions can increase biodiversity and augment carbon sequestration, they appeal to policymakers contending with the degrading effects of forest loss and climate change. What then can policymakers do to trigger forest transitions? The historical record over the last two centuries provides insights into the precipitating conditions. The early transitions often occurred passively, through the spontaneous regeneration of trees on abandoned agricultural lands. Later forest transitions occurred more frequently after large-scale crisis narratives emerged and spurred governments to take action, often by planting trees on degraded, sloped lands. To a greater degree than their predecessors, latecomer forest transitions exhibit centralized loci of power, leaders with clearly articulated goals, and rapid changes in forest cover. These historical shifts in forest transitions reflect our growing appreciation of their utility for countering droughts, floods, land degradation, and climate change.","container-title":"Ambio","DOI":"10.1007/s13280-018-01143-0","ISSN":"1654-7209","issue":"1","journalAbbreviation":"Ambio","language":"en","page":"74-84","source":"Springer Link","title":"Whither the forest transition? Climate change, policy responses, and redistributed forests in the twenty-first century","title-short":"Whither the forest transition?","volume":"49","author":[{"family":"Rudel","given":"Thomas K."},{"family":"Meyfroidt","given":"Patrick"},{"family":"Chazdon","given":"Robin"},{"family":"Bongers","given":"Frans"},{"family":"Sloan","given":"Sean"},{"family":"Grau","given":"H. Ricardo"},{"family":"Van Holt","given":"Tracy"},{"family":"Schneider","given":"Laura"}],"issued":{"date-parts":[["2020",1,1]]}}}],"schema":"https://github.com/citation-style-language/schema/raw/master/csl-citation.json"} </w:instrText>
      </w:r>
      <w:r w:rsidR="008E0F3D">
        <w:fldChar w:fldCharType="separate"/>
      </w:r>
      <w:r w:rsidR="008E0F3D" w:rsidRPr="008E0F3D">
        <w:rPr>
          <w:rFonts w:ascii="Calibri" w:hAnsi="Calibri" w:cs="Calibri"/>
        </w:rPr>
        <w:t>(</w:t>
      </w:r>
      <w:proofErr w:type="spellStart"/>
      <w:r w:rsidR="008E0F3D" w:rsidRPr="008E0F3D">
        <w:rPr>
          <w:rFonts w:ascii="Calibri" w:hAnsi="Calibri" w:cs="Calibri"/>
        </w:rPr>
        <w:t>Rudel</w:t>
      </w:r>
      <w:proofErr w:type="spellEnd"/>
      <w:r w:rsidR="008E0F3D" w:rsidRPr="008E0F3D">
        <w:rPr>
          <w:rFonts w:ascii="Calibri" w:hAnsi="Calibri" w:cs="Calibri"/>
        </w:rPr>
        <w:t xml:space="preserve"> et al. 2020)</w:t>
      </w:r>
      <w:r w:rsidR="008E0F3D">
        <w:fldChar w:fldCharType="end"/>
      </w:r>
      <w:r w:rsidR="008E0F3D">
        <w:t xml:space="preserve">. </w:t>
      </w:r>
    </w:p>
    <w:p w14:paraId="793DAE13" w14:textId="52C3AB2C" w:rsidR="00050B93" w:rsidRDefault="008E0F3D" w:rsidP="006F2311">
      <w:r>
        <w:t xml:space="preserve">Perhaps the most relevant case study to compare with Cambodia is that of its neighbour Vietnam, which underwent a forest transition in the 1990s, and over the last two decades has been increasing national forest cover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w:t>
      </w:r>
      <w:proofErr w:type="spellStart"/>
      <w:r w:rsidRPr="008E0F3D">
        <w:rPr>
          <w:rFonts w:ascii="Calibri" w:hAnsi="Calibri" w:cs="Calibri"/>
        </w:rPr>
        <w:t>Meyfroidt</w:t>
      </w:r>
      <w:proofErr w:type="spellEnd"/>
      <w:r w:rsidRPr="008E0F3D">
        <w:rPr>
          <w:rFonts w:ascii="Calibri" w:hAnsi="Calibri" w:cs="Calibri"/>
        </w:rPr>
        <w:t xml:space="preserve"> &amp; </w:t>
      </w:r>
      <w:proofErr w:type="spellStart"/>
      <w:r w:rsidRPr="008E0F3D">
        <w:rPr>
          <w:rFonts w:ascii="Calibri" w:hAnsi="Calibri" w:cs="Calibri"/>
        </w:rPr>
        <w:t>Lambin</w:t>
      </w:r>
      <w:proofErr w:type="spellEnd"/>
      <w:r w:rsidRPr="008E0F3D">
        <w:rPr>
          <w:rFonts w:ascii="Calibri" w:hAnsi="Calibri" w:cs="Calibri"/>
        </w:rPr>
        <w:t xml:space="preserve">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E64AFA">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w:t>
      </w:r>
      <w:proofErr w:type="spellStart"/>
      <w:r w:rsidR="00E64AFA" w:rsidRPr="008E0F3D">
        <w:rPr>
          <w:rFonts w:ascii="Calibri" w:hAnsi="Calibri" w:cs="Calibri"/>
        </w:rPr>
        <w:t>Meyfroidt</w:t>
      </w:r>
      <w:proofErr w:type="spellEnd"/>
      <w:r w:rsidR="00E64AFA" w:rsidRPr="008E0F3D">
        <w:rPr>
          <w:rFonts w:ascii="Calibri" w:hAnsi="Calibri" w:cs="Calibri"/>
        </w:rPr>
        <w:t xml:space="preserve"> &amp; </w:t>
      </w:r>
      <w:proofErr w:type="spellStart"/>
      <w:r w:rsidR="00E64AFA" w:rsidRPr="008E0F3D">
        <w:rPr>
          <w:rFonts w:ascii="Calibri" w:hAnsi="Calibri" w:cs="Calibri"/>
        </w:rPr>
        <w:t>Lambin</w:t>
      </w:r>
      <w:proofErr w:type="spellEnd"/>
      <w:r w:rsidR="00E64AFA" w:rsidRPr="008E0F3D">
        <w:rPr>
          <w:rFonts w:ascii="Calibri" w:hAnsi="Calibri" w:cs="Calibri"/>
        </w:rPr>
        <w:t xml:space="preserve"> 2008)</w:t>
      </w:r>
      <w:r w:rsidR="00E64AFA">
        <w:fldChar w:fldCharType="end"/>
      </w:r>
      <w:r w:rsidR="00E64AFA">
        <w:t xml:space="preserve">. </w:t>
      </w:r>
      <w:r w:rsidR="00537AE8" w:rsidRPr="00537AE8">
        <w:rPr>
          <w:highlight w:val="yellow"/>
        </w:rPr>
        <w:t>Cambodia’s transition pathway</w:t>
      </w:r>
      <w:proofErr w:type="gramStart"/>
      <w:r w:rsidR="00537AE8" w:rsidRPr="00537AE8">
        <w:rPr>
          <w:highlight w:val="yellow"/>
        </w:rPr>
        <w:t>?</w:t>
      </w:r>
      <w:r w:rsidR="00E64AFA">
        <w:t xml:space="preserve">  </w:t>
      </w:r>
      <w:proofErr w:type="gramEnd"/>
      <w:r>
        <w:t xml:space="preserve"> </w:t>
      </w:r>
      <w:r w:rsidR="00A8102F">
        <w:t xml:space="preserve">  </w:t>
      </w:r>
      <w:r w:rsidR="00FE1CFD">
        <w:t xml:space="preserve">  </w:t>
      </w:r>
    </w:p>
    <w:p w14:paraId="728E4EED" w14:textId="7ED2D4E1" w:rsidR="006F2311" w:rsidRDefault="006F2311" w:rsidP="006F2311">
      <w:r>
        <w:t>Understanding which commodities are driving land conversion, the strength of the effects, the time lags, and the legal and institutional mechanisms that facilitate the link between prices and forest loss, is critical for predicting future forest loss. The opaque legal mechanisms and weak institutional frameworks that governed ELCs in the past</w:t>
      </w:r>
      <w:r w:rsidR="00801E63">
        <w:t xml:space="preserve"> (</w:t>
      </w:r>
      <w:r w:rsidR="00801E63" w:rsidRPr="00801E63">
        <w:rPr>
          <w:highlight w:val="yellow"/>
        </w:rPr>
        <w:t>ref</w:t>
      </w:r>
      <w:r w:rsidR="00801E63">
        <w:t>)</w:t>
      </w:r>
      <w:r>
        <w:t xml:space="preserve">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60398DFE" w14:textId="77777777" w:rsidR="00050B93" w:rsidRDefault="00050B93" w:rsidP="00050B93">
      <w:r>
        <w:t xml:space="preserve">Furthermore, agro-industrial production of cash crops for international markets leaves the country open to price shocks and other suboptimal market fluctuations </w:t>
      </w:r>
      <w:r>
        <w:fldChar w:fldCharType="begin"/>
      </w:r>
      <w:r>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Pr="007739D7">
        <w:rPr>
          <w:rFonts w:ascii="Calibri" w:hAnsi="Calibri" w:cs="Calibri"/>
        </w:rPr>
        <w:t xml:space="preserve">(De </w:t>
      </w:r>
      <w:proofErr w:type="spellStart"/>
      <w:r w:rsidRPr="007739D7">
        <w:rPr>
          <w:rFonts w:ascii="Calibri" w:hAnsi="Calibri" w:cs="Calibri"/>
        </w:rPr>
        <w:t>Schutter</w:t>
      </w:r>
      <w:proofErr w:type="spellEnd"/>
      <w:r w:rsidRPr="007739D7">
        <w:rPr>
          <w:rFonts w:ascii="Calibri" w:hAnsi="Calibri" w:cs="Calibri"/>
        </w:rPr>
        <w:t xml:space="preserve"> 2011)</w:t>
      </w:r>
      <w:r>
        <w:fldChar w:fldCharType="end"/>
      </w:r>
      <w:r>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19" w:author="Matthew Nuttall" w:date="2021-10-18T10:53:00Z" w:initials="MN">
    <w:p w14:paraId="47CA7502" w14:textId="55009F43" w:rsidR="00406839" w:rsidRDefault="00406839">
      <w:pPr>
        <w:pStyle w:val="CommentText"/>
      </w:pPr>
      <w:r>
        <w:rPr>
          <w:rStyle w:val="CommentReference"/>
        </w:rPr>
        <w:annotationRef/>
      </w:r>
      <w:r>
        <w:t>Should this para be at the end of the discussion? Could make it more relevant to the other drivers, as well as FDI</w:t>
      </w:r>
    </w:p>
  </w:comment>
  <w:comment w:id="20"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1"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47CA7502"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517D097" w16cex:dateUtc="2021-10-18T09:53: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47CA7502" w16cid:durableId="2517D097"/>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50B93"/>
    <w:rsid w:val="000A46B5"/>
    <w:rsid w:val="001A6F37"/>
    <w:rsid w:val="001B2E6F"/>
    <w:rsid w:val="001E2F1B"/>
    <w:rsid w:val="002E4677"/>
    <w:rsid w:val="00316ABA"/>
    <w:rsid w:val="003205E2"/>
    <w:rsid w:val="00347783"/>
    <w:rsid w:val="00381FF1"/>
    <w:rsid w:val="003B7206"/>
    <w:rsid w:val="003D5F3C"/>
    <w:rsid w:val="00406839"/>
    <w:rsid w:val="004740E7"/>
    <w:rsid w:val="005252BE"/>
    <w:rsid w:val="00537AE8"/>
    <w:rsid w:val="005760C1"/>
    <w:rsid w:val="005C460B"/>
    <w:rsid w:val="0064115C"/>
    <w:rsid w:val="00667CED"/>
    <w:rsid w:val="006E1ED5"/>
    <w:rsid w:val="006F2311"/>
    <w:rsid w:val="00721329"/>
    <w:rsid w:val="007739D7"/>
    <w:rsid w:val="007C7AA3"/>
    <w:rsid w:val="007D6A50"/>
    <w:rsid w:val="00801E63"/>
    <w:rsid w:val="00822264"/>
    <w:rsid w:val="0089542A"/>
    <w:rsid w:val="008B3DA9"/>
    <w:rsid w:val="008B6ED5"/>
    <w:rsid w:val="008E0F3D"/>
    <w:rsid w:val="00947237"/>
    <w:rsid w:val="009F455B"/>
    <w:rsid w:val="00A8102F"/>
    <w:rsid w:val="00AD3F12"/>
    <w:rsid w:val="00AD70AA"/>
    <w:rsid w:val="00B66116"/>
    <w:rsid w:val="00C039EE"/>
    <w:rsid w:val="00C65931"/>
    <w:rsid w:val="00C831FB"/>
    <w:rsid w:val="00C84941"/>
    <w:rsid w:val="00CC4F5A"/>
    <w:rsid w:val="00D225BC"/>
    <w:rsid w:val="00DD2646"/>
    <w:rsid w:val="00DE2591"/>
    <w:rsid w:val="00E64AFA"/>
    <w:rsid w:val="00E82045"/>
    <w:rsid w:val="00F12033"/>
    <w:rsid w:val="00F1302E"/>
    <w:rsid w:val="00F4635E"/>
    <w:rsid w:val="00F513EE"/>
    <w:rsid w:val="00F55680"/>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4612</TotalTime>
  <Pages>18</Pages>
  <Words>22555</Words>
  <Characters>128567</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2021-10-14T13:12:00Z</dcterms:created>
  <dcterms:modified xsi:type="dcterms:W3CDTF">2021-10-18T14:19:00Z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