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582B" w14:textId="77777777" w:rsidR="00D5741B" w:rsidRPr="00D5741B" w:rsidRDefault="00D5741B" w:rsidP="00D5741B">
      <w:r w:rsidRPr="00D5741B">
        <w:t xml:space="preserve">Reaching the point of forest transition - the point at which deforestation ceases – can be achieved via one of many transition pathways </w:t>
      </w:r>
      <w:r w:rsidRPr="00D5741B">
        <w:fldChar w:fldCharType="begin"/>
      </w:r>
      <w:r w:rsidRPr="00D5741B">
        <w:instrText xml:space="preserve"> ADDIN ZOTERO_ITEM CSL_CITATION {"citationID":"y3Ffi47d","properties":{"formattedCitation":"(Lambin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D5741B">
        <w:fldChar w:fldCharType="separate"/>
      </w:r>
      <w:r w:rsidRPr="00D5741B">
        <w:t>(</w:t>
      </w:r>
      <w:proofErr w:type="spellStart"/>
      <w:r w:rsidRPr="00D5741B">
        <w:t>Lambin</w:t>
      </w:r>
      <w:proofErr w:type="spellEnd"/>
      <w:r w:rsidRPr="00D5741B">
        <w:t xml:space="preserve"> &amp; </w:t>
      </w:r>
      <w:proofErr w:type="spellStart"/>
      <w:r w:rsidRPr="00D5741B">
        <w:t>Meyfroidt</w:t>
      </w:r>
      <w:proofErr w:type="spellEnd"/>
      <w:r w:rsidRPr="00D5741B">
        <w:t xml:space="preserve"> 2010)</w:t>
      </w:r>
      <w:r w:rsidRPr="00D5741B">
        <w:fldChar w:fldCharType="end"/>
      </w:r>
      <w:r w:rsidRPr="00D5741B">
        <w:t xml:space="preserve">. Research has however, shown that abandonment of agricultural land by local farmers (in favour of intensification elsewhere), small holder tree planting, and crisis narratives (e.g., flood prevention) are common drivers of forest transitions </w:t>
      </w:r>
      <w:r w:rsidRPr="00D5741B">
        <w:fldChar w:fldCharType="begin"/>
      </w:r>
      <w:r w:rsidRPr="00D5741B">
        <w:instrText xml:space="preserve"> ADDIN ZOTERO_ITEM CSL_CITATION {"citationID":"wgCYK4xf","properties":{"formattedCitation":"(Rudel et al. 2020)","plainCitation":"(Rudel et al. 2020)","noteIndex":0},"citationItems":[{"id":2887,"uris":["http://zotero.org/users/2170232/items/BI7JCJ4B"],"uri":["http://zotero.org/users/2170232/items/BI7JCJ4B"],"itemData":{"id":2887,"type":"article-journal","abstract":"Forest transitions occur when net reforestation replaces net deforestation in places. Because forest transitions can increase biodiversity and augment carbon sequestration, they appeal to policymakers contending with the degrading effects of forest loss and climate change. What then can policymakers do to trigger forest transitions? The historical record over the last two centuries provides insights into the precipitating conditions. The early transitions often occurred passively, through the spontaneous regeneration of trees on abandoned agricultural lands. Later forest transitions occurred more frequently after large-scale crisis narratives emerged and spurred governments to take action, often by planting trees on degraded, sloped lands. To a greater degree than their predecessors, latecomer forest transitions exhibit centralized loci of power, leaders with clearly articulated goals, and rapid changes in forest cover. These historical shifts in forest transitions reflect our growing appreciation of their utility for countering droughts, floods, land degradation, and climate change.","container-title":"Ambio","DOI":"10.1007/s13280-018-01143-0","ISSN":"1654-7209","issue":"1","journalAbbreviation":"Ambio","language":"en","page":"74-84","source":"Springer Link","title":"Whither the forest transition? Climate change, policy responses, and redistributed forests in the twenty-first century","title-short":"Whither the forest transition?","volume":"49","author":[{"family":"Rudel","given":"Thomas K."},{"family":"Meyfroidt","given":"Patrick"},{"family":"Chazdon","given":"Robin"},{"family":"Bongers","given":"Frans"},{"family":"Sloan","given":"Sean"},{"family":"Grau","given":"H. Ricardo"},{"family":"Van Holt","given":"Tracy"},{"family":"Schneider","given":"Laura"}],"issued":{"date-parts":[["2020",1,1]]}}}],"schema":"https://github.com/citation-style-language/schema/raw/master/csl-citation.json"} </w:instrText>
      </w:r>
      <w:r w:rsidRPr="00D5741B">
        <w:fldChar w:fldCharType="separate"/>
      </w:r>
      <w:r w:rsidRPr="00D5741B">
        <w:t>(</w:t>
      </w:r>
      <w:proofErr w:type="spellStart"/>
      <w:r w:rsidRPr="00D5741B">
        <w:t>Rudel</w:t>
      </w:r>
      <w:proofErr w:type="spellEnd"/>
      <w:r w:rsidRPr="00D5741B">
        <w:t xml:space="preserve"> et al. 2020)</w:t>
      </w:r>
      <w:r w:rsidRPr="00D5741B">
        <w:fldChar w:fldCharType="end"/>
      </w:r>
      <w:r w:rsidRPr="00D5741B">
        <w:t xml:space="preserve">. </w:t>
      </w:r>
    </w:p>
    <w:p w14:paraId="425A3939" w14:textId="77777777" w:rsidR="00612128" w:rsidRDefault="00D5741B"/>
    <w:sectPr w:rsidR="0061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1B"/>
    <w:rsid w:val="005760C1"/>
    <w:rsid w:val="008B6ED5"/>
    <w:rsid w:val="00D57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A789"/>
  <w15:chartTrackingRefBased/>
  <w15:docId w15:val="{0330F422-3FC7-42AD-8105-925EF08B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2021-10-18T20:48:00Z</dcterms:created>
  <dcterms:modified xsi:type="dcterms:W3CDTF">2021-10-18T20:48:00Z</dcterms:modified>
</cp:coreProperties>
</file>