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420F" w14:textId="2130564A" w:rsidR="00E33FCE" w:rsidRPr="00E33FCE" w:rsidRDefault="00E33FCE">
      <w:pPr>
        <w:rPr>
          <w:b/>
          <w:bCs/>
          <w:sz w:val="24"/>
          <w:szCs w:val="24"/>
        </w:rPr>
      </w:pPr>
      <w:r w:rsidRPr="00E33FCE">
        <w:rPr>
          <w:b/>
          <w:bCs/>
          <w:sz w:val="24"/>
          <w:szCs w:val="24"/>
        </w:rPr>
        <w:t>Chapter 1</w:t>
      </w:r>
    </w:p>
    <w:p w14:paraId="65DDFC89" w14:textId="677D31E6" w:rsidR="00612128" w:rsidRDefault="000A46B5">
      <w:pPr>
        <w:rPr>
          <w:b/>
          <w:bCs/>
        </w:rPr>
      </w:pPr>
      <w:r>
        <w:rPr>
          <w:b/>
          <w:bCs/>
        </w:rPr>
        <w:t>Introduction</w:t>
      </w:r>
    </w:p>
    <w:p w14:paraId="16FEF78C" w14:textId="05E1105A"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w:t>
      </w:r>
      <w:commentRangeStart w:id="0"/>
      <w:r w:rsidR="00811E4E">
        <w:t>affected</w:t>
      </w:r>
      <w:commentRangeEnd w:id="0"/>
      <w:r w:rsidR="00D621FA">
        <w:rPr>
          <w:rStyle w:val="CommentReference"/>
        </w:rPr>
        <w:commentReference w:id="0"/>
      </w:r>
      <w:r w:rsidR="00811E4E">
        <w:t xml:space="preserve">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(Eliste &amp; Zorya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commentRangeStart w:id="1"/>
      <w:r w:rsidR="001272BE">
        <w:t>been a casualty of</w:t>
      </w:r>
      <w:r w:rsidR="00643D5E">
        <w:t xml:space="preserve"> </w:t>
      </w:r>
      <w:commentRangeEnd w:id="1"/>
      <w:r w:rsidR="005A29DF">
        <w:rPr>
          <w:rStyle w:val="CommentReference"/>
        </w:rPr>
        <w:commentReference w:id="1"/>
      </w:r>
      <w:r w:rsidR="00643D5E">
        <w:t xml:space="preserve">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w:t>
      </w:r>
      <w:commentRangeStart w:id="2"/>
      <w:r w:rsidR="00643D5E">
        <w:t>little has changed in recent years</w:t>
      </w:r>
      <w:commentRangeEnd w:id="2"/>
      <w:r w:rsidR="00F8550F">
        <w:rPr>
          <w:rStyle w:val="CommentReference"/>
        </w:rPr>
        <w:commentReference w:id="2"/>
      </w:r>
      <w:r w:rsidR="00643D5E">
        <w:t xml:space="preserve">;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7ECB599" w:rsidR="0079611B" w:rsidRPr="0079611B" w:rsidRDefault="0079611B">
      <w:pPr>
        <w:rPr>
          <w:i/>
          <w:iCs/>
        </w:rPr>
      </w:pPr>
      <w:r>
        <w:rPr>
          <w:i/>
          <w:iCs/>
        </w:rPr>
        <w:t>Economic development and deforestation</w:t>
      </w:r>
    </w:p>
    <w:p w14:paraId="6E51D916" w14:textId="60BD30B4"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In addition to meeting the required economic conditions that precede forest transitions,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points</w:t>
      </w:r>
      <w:r w:rsidR="006A5CDB">
        <w:t>, and support effective gover</w:t>
      </w:r>
      <w:commentRangeStart w:id="3"/>
      <w:r w:rsidR="006A5CDB">
        <w:t>nance</w:t>
      </w:r>
      <w:commentRangeEnd w:id="3"/>
      <w:r w:rsidR="00C37341">
        <w:rPr>
          <w:rStyle w:val="CommentReference"/>
        </w:rPr>
        <w:commentReference w:id="3"/>
      </w:r>
      <w:r w:rsidR="006A5CDB" w:rsidRPr="006C7758">
        <w:rPr>
          <w:i/>
          <w:iCs/>
        </w:rPr>
        <w:t>.</w:t>
      </w:r>
    </w:p>
    <w:p w14:paraId="5029C368" w14:textId="7E27234E" w:rsidR="006C7758" w:rsidRDefault="00351418">
      <w:pPr>
        <w:rPr>
          <w:i/>
          <w:iCs/>
        </w:rPr>
      </w:pPr>
      <w:ins w:id="4" w:author="Nils Bunnefeld" w:date="2021-11-16T11:11:00Z">
        <w:r w:rsidRPr="006C7758">
          <w:rPr>
            <w:i/>
            <w:iCs/>
          </w:rPr>
          <w:t>D</w:t>
        </w:r>
        <w:r w:rsidRPr="006C7758">
          <w:rPr>
            <w:i/>
            <w:iCs/>
          </w:rPr>
          <w:t>eforestation</w:t>
        </w:r>
        <w:r>
          <w:rPr>
            <w:i/>
            <w:iCs/>
          </w:rPr>
          <w:t xml:space="preserve"> in</w:t>
        </w:r>
        <w:r w:rsidRPr="006C7758">
          <w:rPr>
            <w:i/>
            <w:iCs/>
          </w:rPr>
          <w:t xml:space="preserve"> </w:t>
        </w:r>
      </w:ins>
      <w:proofErr w:type="gramStart"/>
      <w:r w:rsidR="006C7758" w:rsidRPr="006C7758">
        <w:rPr>
          <w:i/>
          <w:iCs/>
        </w:rPr>
        <w:t>S</w:t>
      </w:r>
      <w:ins w:id="5" w:author="Nils Bunnefeld" w:date="2021-11-16T11:11:00Z">
        <w:r w:rsidR="00C37341">
          <w:rPr>
            <w:i/>
            <w:iCs/>
          </w:rPr>
          <w:t xml:space="preserve">outh </w:t>
        </w:r>
      </w:ins>
      <w:r w:rsidR="006C7758" w:rsidRPr="006C7758">
        <w:rPr>
          <w:i/>
          <w:iCs/>
        </w:rPr>
        <w:t>E</w:t>
      </w:r>
      <w:ins w:id="6" w:author="Nils Bunnefeld" w:date="2021-11-16T11:11:00Z">
        <w:r>
          <w:rPr>
            <w:i/>
            <w:iCs/>
          </w:rPr>
          <w:t>ast</w:t>
        </w:r>
        <w:proofErr w:type="gramEnd"/>
        <w:r>
          <w:rPr>
            <w:i/>
            <w:iCs/>
          </w:rPr>
          <w:t xml:space="preserve"> </w:t>
        </w:r>
      </w:ins>
      <w:r w:rsidR="006C7758" w:rsidRPr="006C7758">
        <w:rPr>
          <w:i/>
          <w:iCs/>
        </w:rPr>
        <w:t>A</w:t>
      </w:r>
      <w:ins w:id="7" w:author="Nils Bunnefeld" w:date="2021-11-16T11:11:00Z">
        <w:r>
          <w:rPr>
            <w:i/>
            <w:iCs/>
          </w:rPr>
          <w:t>sia</w:t>
        </w:r>
      </w:ins>
      <w:del w:id="8" w:author="Nils Bunnefeld" w:date="2021-11-16T11:11:00Z">
        <w:r w:rsidR="006C7758" w:rsidRPr="006C7758" w:rsidDel="00351418">
          <w:rPr>
            <w:i/>
            <w:iCs/>
          </w:rPr>
          <w:delText xml:space="preserve"> and</w:delText>
        </w:r>
      </w:del>
      <w:r w:rsidR="006C7758" w:rsidRPr="006C7758">
        <w:rPr>
          <w:i/>
          <w:iCs/>
        </w:rPr>
        <w:t xml:space="preserve"> </w:t>
      </w:r>
      <w:del w:id="9" w:author="Nils Bunnefeld" w:date="2021-11-16T11:11:00Z">
        <w:r w:rsidR="006C7758" w:rsidRPr="006C7758" w:rsidDel="00351418">
          <w:rPr>
            <w:i/>
            <w:iCs/>
          </w:rPr>
          <w:delText>deforestation</w:delText>
        </w:r>
      </w:del>
    </w:p>
    <w:p w14:paraId="75DB6808" w14:textId="31DE224E" w:rsidR="006C7758" w:rsidRDefault="006A5CDB" w:rsidP="006C7758">
      <w:r w:rsidRPr="006A5CDB">
        <w:lastRenderedPageBreak/>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commentRangeStart w:id="10"/>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w:t>
      </w:r>
      <w:commentRangeEnd w:id="10"/>
      <w:r w:rsidR="00083CBD">
        <w:rPr>
          <w:rStyle w:val="CommentReference"/>
        </w:rPr>
        <w:commentReference w:id="10"/>
      </w:r>
      <w:r w:rsidR="006C7758" w:rsidRPr="006C7758">
        <w:t xml:space="preserve">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w:t>
      </w:r>
      <w:commentRangeStart w:id="11"/>
      <w:r w:rsidR="009436B4">
        <w:t>Nevertheless, the reduction in the loss of native forests which are inevitably required to reach a forest transition should be celebrated.</w:t>
      </w:r>
      <w:commentRangeEnd w:id="11"/>
      <w:r w:rsidR="00F2363D">
        <w:rPr>
          <w:rStyle w:val="CommentReference"/>
        </w:rPr>
        <w:commentReference w:id="11"/>
      </w:r>
      <w:r w:rsidR="009436B4">
        <w:t xml:space="preserve"> </w:t>
      </w:r>
    </w:p>
    <w:p w14:paraId="2ED34F5D" w14:textId="277B9BF9" w:rsidR="006A1042" w:rsidRDefault="00894AFB" w:rsidP="006C7758">
      <w:commentRangeStart w:id="12"/>
      <w:r>
        <w:t xml:space="preserve">In all Asian case studies of successful forest transition, state intervention has played a role </w:t>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(Youn et al. 2017)</w:t>
      </w:r>
      <w:r>
        <w:fldChar w:fldCharType="end"/>
      </w:r>
      <w:r>
        <w:t>. Government policies and legal frameworks that disincentivise forest clearance and promote sustainable land use are critical factors in facilitating behaviour change at all levels</w:t>
      </w:r>
      <w:ins w:id="13" w:author="Nils Bunnefeld" w:date="2021-11-16T11:16:00Z">
        <w:r w:rsidR="00E64809">
          <w:t xml:space="preserve"> (Ref?)</w:t>
        </w:r>
      </w:ins>
      <w:r w:rsidR="00010974">
        <w:t>.</w:t>
      </w:r>
      <w:r w:rsidR="006A1042">
        <w:t xml:space="preserve"> Understanding the direct and indirect drivers of forest loss can be challenging as the processes are complex, operate at a variety of scales, and consist of multiple feedback loops and dependencies. Nevertheless, </w:t>
      </w:r>
      <w:r w:rsidR="009252A0">
        <w:t>for</w:t>
      </w:r>
      <w:r w:rsidR="006A1042">
        <w:t xml:space="preserve"> effective government policies to be developed, researchers must strive to disentangle some of the</w:t>
      </w:r>
      <w:r w:rsidR="000B1FE5">
        <w:t>se</w:t>
      </w:r>
      <w:r w:rsidR="006A1042">
        <w:t xml:space="preserve"> relationships. As commercial agriculture is one of the most important drivers of forest loss around the world, and because it is a fundamental part of developing economies, it is critical to understand the links between economic development and commodity production</w:t>
      </w:r>
      <w:r w:rsidR="0072569A">
        <w:t xml:space="preserve">, as this will reveal important implications for forest loss in developing countries. </w:t>
      </w:r>
      <w:commentRangeEnd w:id="12"/>
      <w:r w:rsidR="005052EC">
        <w:rPr>
          <w:rStyle w:val="CommentReference"/>
        </w:rPr>
        <w:commentReference w:id="12"/>
      </w:r>
    </w:p>
    <w:p w14:paraId="1E542B68" w14:textId="63A4EE36" w:rsidR="0079611B" w:rsidRPr="0079611B" w:rsidRDefault="0079611B" w:rsidP="006C7758">
      <w:pPr>
        <w:rPr>
          <w:i/>
          <w:iCs/>
        </w:rPr>
      </w:pPr>
      <w:r>
        <w:rPr>
          <w:i/>
          <w:iCs/>
        </w:rPr>
        <w:t>Economic land concessions</w:t>
      </w:r>
    </w:p>
    <w:p w14:paraId="36D030A3" w14:textId="17D9BC92"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ins w:id="14" w:author="Nils Bunnefeld" w:date="2021-11-16T11:17:00Z">
        <w:r w:rsidR="005C1D76">
          <w:t>ment</w:t>
        </w:r>
      </w:ins>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 xml:space="preserve">Economic land concessions in Cambodia have faced </w:t>
      </w:r>
      <w:commentRangeStart w:id="15"/>
      <w:r w:rsidR="00F40B07">
        <w:t>enormous</w:t>
      </w:r>
      <w:commentRangeEnd w:id="15"/>
      <w:r w:rsidR="001A6A5A">
        <w:rPr>
          <w:rStyle w:val="CommentReference"/>
        </w:rPr>
        <w:commentReference w:id="15"/>
      </w:r>
      <w:r w:rsidR="00F40B07">
        <w:t xml:space="preserve"> criticism</w:t>
      </w:r>
      <w:r w:rsidR="00892E24">
        <w:t xml:space="preserve"> due to widespread accusations of land rights abuses, corruption in the awarding of contracts, and </w:t>
      </w:r>
      <w:r w:rsidR="008C58A9">
        <w:t>extensive</w:t>
      </w:r>
      <w:r w:rsidR="00892E24">
        <w:t xml:space="preserve"> deforestation, even within protected areas </w:t>
      </w:r>
      <w:r w:rsidR="00892E24">
        <w:fldChar w:fldCharType="begin"/>
      </w:r>
      <w:r w:rsidR="00892E24">
        <w:instrText xml:space="preserve"> ADDIN ZOTERO_ITEM CSL_CITATION {"citationID":"FRcGzLVS","properties":{"formattedCitation":"(Vrieze &amp; Kuch 2012; Global Witness 2013; Neef et al. 2013; Davis et al. 2015)","plainCitation":"(Vrieze &amp; Kuch 2012; Global Witness 2013; Neef et al.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892E24">
        <w:fldChar w:fldCharType="separate"/>
      </w:r>
      <w:r w:rsidR="00892E24" w:rsidRPr="00892E24">
        <w:rPr>
          <w:rFonts w:ascii="Calibri" w:hAnsi="Calibri" w:cs="Calibri"/>
        </w:rPr>
        <w:t>(Vrieze &amp; Kuch 2012; Global Witness 2013; Neef et al. 2013; Davis et al. 2015)</w:t>
      </w:r>
      <w:r w:rsidR="00892E24">
        <w:fldChar w:fldCharType="end"/>
      </w:r>
      <w:r w:rsidR="00892E24">
        <w:t xml:space="preserve">.  </w:t>
      </w:r>
      <w:r w:rsidR="00F40B07">
        <w:t xml:space="preserve">  </w:t>
      </w:r>
      <w:r w:rsidR="00B00DDB">
        <w:t xml:space="preserve"> </w:t>
      </w:r>
      <w:r w:rsidR="005F7FE3">
        <w:t xml:space="preserve">   </w:t>
      </w:r>
    </w:p>
    <w:p w14:paraId="7C95C6AD" w14:textId="12CAF665" w:rsidR="006C7758" w:rsidRPr="0079611B" w:rsidRDefault="0079611B">
      <w:pPr>
        <w:rPr>
          <w:i/>
          <w:iCs/>
        </w:rPr>
      </w:pPr>
      <w:r>
        <w:rPr>
          <w:i/>
          <w:iCs/>
        </w:rPr>
        <w:t xml:space="preserve">Cambodia </w:t>
      </w:r>
    </w:p>
    <w:p w14:paraId="436E8083" w14:textId="15892500" w:rsidR="0079611B" w:rsidRDefault="008C58A9">
      <w:r>
        <w:t>Cambodia has seen</w:t>
      </w:r>
      <w:commentRangeStart w:id="16"/>
      <w:del w:id="17" w:author="Nils Bunnefeld" w:date="2021-11-16T11:19:00Z">
        <w:r w:rsidDel="001A6A5A">
          <w:delText xml:space="preserve"> remarkably</w:delText>
        </w:r>
      </w:del>
      <w:r>
        <w:t xml:space="preserve"> swift </w:t>
      </w:r>
      <w:commentRangeEnd w:id="16"/>
      <w:r w:rsidR="0059266A">
        <w:rPr>
          <w:rStyle w:val="CommentReference"/>
        </w:rPr>
        <w:commentReference w:id="16"/>
      </w:r>
      <w:r>
        <w:t xml:space="preserve">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(Solcomb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(Eliste &amp; Zorya 2015; Kong et al. 2019)</w:t>
      </w:r>
      <w:r w:rsidR="00BA731E">
        <w:fldChar w:fldCharType="end"/>
      </w:r>
      <w:r w:rsidR="00BA731E">
        <w:t xml:space="preserve">. This economic development has brought many benefits, </w:t>
      </w:r>
      <w:r w:rsidR="00BA731E">
        <w:lastRenderedPageBreak/>
        <w:t xml:space="preserve">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xml:space="preserve">, yet Cambodia’s forests have paid a </w:t>
      </w:r>
      <w:commentRangeStart w:id="18"/>
      <w:del w:id="19" w:author="Nils Bunnefeld" w:date="2021-11-16T11:20:00Z">
        <w:r w:rsidR="00BA731E" w:rsidDel="0059266A">
          <w:delText xml:space="preserve">heavy </w:delText>
        </w:r>
      </w:del>
      <w:r w:rsidR="00BA731E">
        <w:t>price f</w:t>
      </w:r>
      <w:commentRangeEnd w:id="18"/>
      <w:r w:rsidR="0059266A">
        <w:rPr>
          <w:rStyle w:val="CommentReference"/>
        </w:rPr>
        <w:commentReference w:id="18"/>
      </w:r>
      <w:r w:rsidR="00BA731E">
        <w:t xml:space="preserve">or the expansion of the agricultural sector.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commentRangeStart w:id="20"/>
      <w:r w:rsidR="000B1FE5">
        <w:t>Y</w:t>
      </w:r>
      <w:r w:rsidR="00EF0EDF">
        <w:t>et there have been no studies that investigate the relationships between macroeconomics, agriculture, and forest loss</w:t>
      </w:r>
      <w:r w:rsidR="00DC13AB">
        <w:t xml:space="preserve"> at the country scale.</w:t>
      </w:r>
      <w:commentRangeEnd w:id="20"/>
      <w:r w:rsidR="003C0A4E">
        <w:rPr>
          <w:rStyle w:val="CommentReference"/>
        </w:rPr>
        <w:commentReference w:id="20"/>
      </w:r>
    </w:p>
    <w:p w14:paraId="0EAC9FDD" w14:textId="4CA37773" w:rsidR="000A46B5" w:rsidRPr="001F2B94" w:rsidRDefault="00141381">
      <w:r>
        <w:t>In this stud</w:t>
      </w:r>
      <w:r w:rsidR="00207E3B">
        <w:t xml:space="preserve">y, we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we use generalised linear models to 1) model the relationships between the rate of forest loss and macroeconomic, commodity price, and producer price variables, and 2) model the relationships between the allocation of new ELCs and macroeconomic, commodity price, and producer price variables. Our results will provide important data to identify direct and indirect drivers of forest loss in Cambodia, aiding in the identification of leverage points, supporting the development of agricultural and forest policies, and contributing more widely to the forest transition literature </w:t>
      </w:r>
      <w:commentRangeStart w:id="21"/>
      <w:r w:rsidR="001F2B94">
        <w:t>for SEA</w:t>
      </w:r>
      <w:commentRangeEnd w:id="21"/>
      <w:r w:rsidR="00E86A5E">
        <w:rPr>
          <w:rStyle w:val="CommentReference"/>
        </w:rPr>
        <w:commentReference w:id="21"/>
      </w:r>
      <w:r w:rsidR="001F2B94">
        <w:t xml:space="preserve">. </w:t>
      </w:r>
    </w:p>
    <w:p w14:paraId="61F71508" w14:textId="5EEC4A29" w:rsidR="000A46B5" w:rsidRDefault="000A46B5">
      <w:pPr>
        <w:rPr>
          <w:b/>
          <w:bCs/>
        </w:rPr>
      </w:pPr>
      <w:r>
        <w:rPr>
          <w:b/>
          <w:bCs/>
        </w:rPr>
        <w:t>Methods</w:t>
      </w:r>
    </w:p>
    <w:p w14:paraId="1059DA8F" w14:textId="77777777" w:rsidR="000A46B5" w:rsidRPr="004C71CC" w:rsidRDefault="000A46B5" w:rsidP="000A46B5">
      <w:pPr>
        <w:rPr>
          <w:i/>
          <w:iCs/>
        </w:rPr>
      </w:pPr>
      <w:r w:rsidRPr="004C71CC">
        <w:rPr>
          <w:i/>
          <w:iCs/>
        </w:rPr>
        <w:t>Study area</w:t>
      </w:r>
    </w:p>
    <w:p w14:paraId="62225273" w14:textId="5CF2EE6C" w:rsidR="000A46B5" w:rsidRPr="000A46B5" w:rsidRDefault="000A46B5" w:rsidP="000A46B5">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562204D3" w:rsidR="000A46B5" w:rsidRDefault="000A46B5" w:rsidP="000A46B5"/>
    <w:p w14:paraId="7220024B" w14:textId="3F4016E3" w:rsidR="004C71CC" w:rsidRDefault="004C71CC" w:rsidP="000A46B5"/>
    <w:p w14:paraId="7F8A98E4" w14:textId="031866B5" w:rsidR="004C71CC" w:rsidRDefault="004C71CC" w:rsidP="000A46B5"/>
    <w:p w14:paraId="5A28D53D" w14:textId="0B9F7A4A" w:rsidR="004C71CC" w:rsidRDefault="004C71CC" w:rsidP="000A46B5"/>
    <w:p w14:paraId="1438DBB3" w14:textId="6E76C5B4" w:rsidR="004C71CC" w:rsidRDefault="004C71CC" w:rsidP="000A46B5"/>
    <w:p w14:paraId="151D4E43" w14:textId="39B88ADA" w:rsidR="004C71CC" w:rsidRDefault="004C71CC" w:rsidP="000A46B5"/>
    <w:p w14:paraId="3E622494" w14:textId="77777777" w:rsidR="004C71CC" w:rsidRPr="000A46B5" w:rsidRDefault="004C71CC" w:rsidP="000A46B5"/>
    <w:p w14:paraId="001F25E2" w14:textId="77777777" w:rsidR="000A46B5" w:rsidRPr="000A46B5" w:rsidRDefault="000A46B5" w:rsidP="000A46B5">
      <w:pPr>
        <w:rPr>
          <w:b/>
          <w:bCs/>
          <w:i/>
          <w:iCs/>
        </w:rPr>
      </w:pPr>
    </w:p>
    <w:p w14:paraId="45FCF218" w14:textId="48CD6B56" w:rsidR="000A46B5" w:rsidRDefault="000A46B5" w:rsidP="000A46B5">
      <w:pPr>
        <w:rPr>
          <w:b/>
          <w:bCs/>
          <w:i/>
          <w:iCs/>
        </w:rPr>
      </w:pPr>
    </w:p>
    <w:p w14:paraId="5704706E" w14:textId="605A1156" w:rsidR="004C71CC" w:rsidRDefault="004C71CC" w:rsidP="000A46B5">
      <w:pPr>
        <w:rPr>
          <w:b/>
          <w:bCs/>
          <w:i/>
          <w:iCs/>
        </w:rPr>
      </w:pPr>
    </w:p>
    <w:p w14:paraId="7A58073A" w14:textId="74BAD40D" w:rsidR="004C71CC" w:rsidRDefault="004C71CC" w:rsidP="000A46B5">
      <w:pPr>
        <w:rPr>
          <w:b/>
          <w:bCs/>
          <w:i/>
          <w:iCs/>
        </w:rPr>
      </w:pPr>
    </w:p>
    <w:p w14:paraId="3E65EC83" w14:textId="77777777" w:rsidR="005A24EE" w:rsidRPr="000A46B5" w:rsidRDefault="005A24EE"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3B08AA14" w:rsidR="000A46B5" w:rsidRPr="000A46B5" w:rsidRDefault="004C71CC" w:rsidP="000A46B5">
      <w:pPr>
        <w:rPr>
          <w:b/>
          <w:bCs/>
          <w:i/>
          <w:iCs/>
        </w:rPr>
      </w:pPr>
      <w:r w:rsidRPr="000A46B5">
        <w:rPr>
          <w:noProof/>
        </w:rPr>
        <w:drawing>
          <wp:anchor distT="0" distB="0" distL="114300" distR="114300" simplePos="0" relativeHeight="251659264" behindDoc="1" locked="0" layoutInCell="1" allowOverlap="1" wp14:anchorId="2DEFBACD" wp14:editId="7114DF74">
            <wp:simplePos x="0" y="0"/>
            <wp:positionH relativeFrom="margin">
              <wp:align>left</wp:align>
            </wp:positionH>
            <wp:positionV relativeFrom="paragraph">
              <wp:posOffset>-1480820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6F80546E" w:rsidR="000A46B5" w:rsidRPr="000A46B5" w:rsidRDefault="000A46B5" w:rsidP="000A46B5">
      <w:pPr>
        <w:rPr>
          <w:b/>
          <w:bCs/>
          <w:i/>
          <w:iCs/>
          <w:sz w:val="20"/>
          <w:szCs w:val="20"/>
        </w:rPr>
      </w:pPr>
      <w:r w:rsidRPr="000A46B5">
        <w:rPr>
          <w:b/>
          <w:bCs/>
          <w:sz w:val="20"/>
          <w:szCs w:val="20"/>
        </w:rPr>
        <w:t xml:space="preserve">Figure 1. Map of Southeast Asia with Cambodia highlighted. </w:t>
      </w:r>
    </w:p>
    <w:p w14:paraId="508AA3CA" w14:textId="77777777" w:rsidR="000A46B5" w:rsidRPr="004C71CC" w:rsidRDefault="000A46B5" w:rsidP="000A46B5">
      <w:pPr>
        <w:rPr>
          <w:i/>
          <w:iCs/>
        </w:rPr>
      </w:pPr>
      <w:r w:rsidRPr="004C71CC">
        <w:rPr>
          <w:i/>
          <w:iCs/>
        </w:rPr>
        <w:t>Data sources</w:t>
      </w:r>
    </w:p>
    <w:p w14:paraId="6EA63835" w14:textId="2FD15700" w:rsidR="000A46B5" w:rsidRPr="000A46B5" w:rsidRDefault="000A46B5" w:rsidP="000A46B5">
      <w:r w:rsidRPr="000A46B5">
        <w:t>National macroeconomic variables were acquired from publicly available sources (Table 1) for the period 1993 – 2015.</w:t>
      </w:r>
      <w:r>
        <w:t xml:space="preserve"> </w:t>
      </w:r>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4C71CC" w:rsidRDefault="000A46B5" w:rsidP="000A46B5">
      <w:pPr>
        <w:rPr>
          <w:i/>
          <w:iCs/>
        </w:rPr>
      </w:pPr>
      <w:r w:rsidRPr="004C71CC">
        <w:rPr>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22"/>
      <w:r w:rsidRPr="000A46B5">
        <w:t>Macroeconomic</w:t>
      </w:r>
      <w:r>
        <w:t xml:space="preserve"> </w:t>
      </w:r>
      <w:r w:rsidRPr="000A46B5">
        <w:t xml:space="preserve">and control variables were selected based on a combination of previous studies, data availability, and the authors’ knowledge of Cambodia. </w:t>
      </w:r>
      <w:commentRangeEnd w:id="22"/>
      <w:r w:rsidR="00667CED">
        <w:rPr>
          <w:rStyle w:val="CommentReference"/>
        </w:rPr>
        <w:commentReference w:id="22"/>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w:t>
      </w:r>
      <w:r w:rsidRPr="00E33FCE">
        <w:rPr>
          <w:highlight w:val="yellow"/>
        </w:rPr>
        <w:t>Table S1</w:t>
      </w:r>
      <w:r w:rsidRPr="000A46B5">
        <w:t>, Nelson et al. 2006; Ewers 2006; Gong et al. 2013; Kuang et al. 2016; Fan &amp; Ding 2016; Bonilla-Bedoya et al. 2018)</w:t>
      </w:r>
      <w:r w:rsidRPr="000A46B5">
        <w:fldChar w:fldCharType="end"/>
      </w:r>
      <w:r w:rsidRPr="000A46B5">
        <w:t>. Each predictor was hypothesised to be a driver of forest loss (</w:t>
      </w:r>
      <w:r w:rsidRPr="00E33FCE">
        <w:rPr>
          <w:highlight w:val="yellow"/>
        </w:rPr>
        <w:t>Table S2</w:t>
      </w:r>
      <w:r w:rsidRPr="000A46B5">
        <w:t xml:space="preserve">).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0AB750E6" w14:textId="77777777" w:rsidR="005A24EE" w:rsidRDefault="005A24EE" w:rsidP="000A46B5">
      <w:pPr>
        <w:rPr>
          <w:i/>
          <w:iCs/>
        </w:rPr>
      </w:pPr>
    </w:p>
    <w:p w14:paraId="6D455FEB" w14:textId="77777777" w:rsidR="005A24EE" w:rsidRDefault="005A24EE" w:rsidP="000A46B5">
      <w:pPr>
        <w:rPr>
          <w:i/>
          <w:iCs/>
        </w:rPr>
      </w:pPr>
    </w:p>
    <w:p w14:paraId="7B3CC724" w14:textId="35A7466C" w:rsidR="000A46B5" w:rsidRPr="004C71CC" w:rsidRDefault="000A46B5" w:rsidP="000A46B5">
      <w:pPr>
        <w:rPr>
          <w:i/>
          <w:iCs/>
        </w:rPr>
      </w:pPr>
      <w:r w:rsidRPr="004C71CC">
        <w:rPr>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E33FCE">
        <w:rPr>
          <w:highlight w:val="yellow"/>
        </w:rPr>
        <w:t>Table S4</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commentRangeStart w:id="23"/>
            <w:r w:rsidRPr="001E05DC">
              <w:rPr>
                <w:b/>
                <w:bCs/>
              </w:rPr>
              <w:t>Source</w:t>
            </w:r>
            <w:commentRangeEnd w:id="23"/>
            <w:r w:rsidR="00207D8C">
              <w:rPr>
                <w:rStyle w:val="CommentReference"/>
              </w:rPr>
              <w:commentReference w:id="23"/>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4C71CC" w:rsidRDefault="000A46B5" w:rsidP="000A46B5">
      <w:pPr>
        <w:rPr>
          <w:i/>
          <w:iCs/>
        </w:rPr>
      </w:pPr>
      <w:r w:rsidRPr="004C71CC">
        <w:rPr>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24"/>
      <w:commentRangeStart w:id="25"/>
      <w:r w:rsidRPr="001E05DC">
        <w:t xml:space="preserve">used. </w:t>
      </w:r>
      <w:commentRangeEnd w:id="24"/>
      <w:r>
        <w:rPr>
          <w:rStyle w:val="CommentReference"/>
        </w:rPr>
        <w:commentReference w:id="24"/>
      </w:r>
      <w:commentRangeEnd w:id="25"/>
      <w:r w:rsidR="001A6F37">
        <w:rPr>
          <w:rStyle w:val="CommentReference"/>
        </w:rPr>
        <w:commentReference w:id="25"/>
      </w:r>
      <w:r w:rsidRPr="001E05DC">
        <w:t>Resulting models were compared using Akaike’s Information Criterion (AIC). Final rate of forest loss models used gaussian distributions. All predictors in each model set had been selected because of a priori hypotheses (</w:t>
      </w:r>
      <w:r w:rsidRPr="00E33FCE">
        <w:rPr>
          <w:highlight w:val="yellow"/>
        </w:rPr>
        <w:t>Table S2</w:t>
      </w:r>
      <w:r w:rsidRPr="001E05DC">
        <w:t xml:space="preserve">),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811B11"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3CDD7D9C" w:rsidR="000A46B5" w:rsidRPr="001E05DC" w:rsidRDefault="00811B11"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6EDD8FE9" w:rsidR="000A46B5" w:rsidRPr="001E05DC" w:rsidRDefault="00811B11"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5108B8FF" w:rsidR="000A46B5" w:rsidRDefault="00E82045" w:rsidP="000A46B5">
      <w:r>
        <w:t xml:space="preserve">During </w:t>
      </w:r>
      <w:commentRangeStart w:id="26"/>
      <w:r>
        <w:t>the study period</w:t>
      </w:r>
      <w:commentRangeEnd w:id="26"/>
      <w:r w:rsidR="00B25CEC">
        <w:rPr>
          <w:rStyle w:val="CommentReference"/>
        </w:rPr>
        <w:commentReference w:id="26"/>
      </w:r>
      <w:r>
        <w:t xml:space="preserve">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macroeconomic predictors produced n</w:t>
      </w:r>
      <w:r w:rsidR="000A46B5">
        <w:t>o s</w:t>
      </w:r>
      <w:r w:rsidR="00C65E6A">
        <w:t>trong</w:t>
      </w:r>
      <w:r w:rsidR="000A46B5">
        <w:t xml:space="preserve">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commentRangeStart w:id="27"/>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w:t>
      </w:r>
      <w:commentRangeEnd w:id="27"/>
      <w:r w:rsidR="00E12225">
        <w:rPr>
          <w:rStyle w:val="CommentReference"/>
        </w:rPr>
        <w:commentReference w:id="27"/>
      </w:r>
      <w:r w:rsidR="000A46B5">
        <w:t>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E33FCE">
        <w:rPr>
          <w:highlight w:val="yellow"/>
        </w:rPr>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w:t>
      </w:r>
      <w:r w:rsidR="000A46B5">
        <w:lastRenderedPageBreak/>
        <w:t>there is a small reduction in the rate of forest loss as the contribution of agriculture to national GDP increases, although this effect is</w:t>
      </w:r>
      <w:del w:id="28" w:author="Nils Bunnefeld" w:date="2021-11-16T11:29:00Z">
        <w:r w:rsidR="000A46B5" w:rsidDel="00EF1213">
          <w:delText xml:space="preserve"> very</w:delText>
        </w:r>
      </w:del>
      <w:r w:rsidR="000A46B5">
        <w:t xml:space="preserve"> weak (</w:t>
      </w:r>
      <w:r w:rsidR="000A46B5" w:rsidRPr="00045ECA">
        <w:t xml:space="preserve">Figure S2, </w:t>
      </w:r>
      <w:r w:rsidR="000A46B5" w:rsidRPr="00E33FCE">
        <w:rPr>
          <w:highlight w:val="yellow"/>
        </w:rPr>
        <w:t>Table S10</w:t>
      </w:r>
      <w:r w:rsidR="000A46B5">
        <w:t xml:space="preserve">)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E33FCE">
        <w:rPr>
          <w:highlight w:val="yellow"/>
        </w:rPr>
        <w:t>Table S18</w:t>
      </w:r>
      <w:r>
        <w:t xml:space="preserve">). </w:t>
      </w:r>
      <w:bookmarkStart w:id="29"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29"/>
      <w:r>
        <w:t xml:space="preserve">. </w:t>
      </w:r>
      <w:bookmarkStart w:id="30" w:name="_Hlk85436510"/>
      <w:r>
        <w:t xml:space="preserve">The largest overall effect excluding control variables was for changes in agricultural proportion of GDP with no time lag and a one-year time lag </w:t>
      </w:r>
      <w:bookmarkEnd w:id="30"/>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31" w:name="_Hlk85436539"/>
      <w:r>
        <w:t xml:space="preserve">positive relationships between the allocation of new ELCs and increases in the agricultural proportion of GDP and increases in foreign direct investment </w:t>
      </w:r>
      <w:bookmarkEnd w:id="31"/>
      <w:r>
        <w:t xml:space="preserve">(one-year time lag rate ratio = 1.004, </w:t>
      </w:r>
      <w:r w:rsidRPr="005E63DE">
        <w:t xml:space="preserve">Table </w:t>
      </w:r>
      <w:r w:rsidR="004740E7">
        <w:t>2</w:t>
      </w:r>
      <w:r w:rsidRPr="005E63DE">
        <w:t xml:space="preserve">, Figure </w:t>
      </w:r>
      <w:r w:rsidR="004740E7">
        <w:t>5</w:t>
      </w:r>
      <w:r>
        <w:t xml:space="preserve">). </w:t>
      </w:r>
      <w:commentRangeStart w:id="32"/>
      <w:r>
        <w:t xml:space="preserve">These effects suggest ties between both the development of new </w:t>
      </w:r>
      <w:r w:rsidR="004740E7">
        <w:t>ELCs</w:t>
      </w:r>
      <w:r>
        <w:t xml:space="preserve"> and the growth of the agricultural sector, and the injection of foreign wealth into the sector via the purchasing of concessions by international companies. </w:t>
      </w:r>
      <w:commentRangeEnd w:id="32"/>
      <w:r w:rsidR="00DA5B11">
        <w:rPr>
          <w:rStyle w:val="CommentReference"/>
        </w:rPr>
        <w:commentReference w:id="32"/>
      </w:r>
      <w:r>
        <w:t xml:space="preserve">There was also a </w:t>
      </w:r>
      <w:bookmarkStart w:id="33" w:name="_Hlk85436623"/>
      <w:r>
        <w:t xml:space="preserve">positive relationship between new ELC allocation and increases in development flows to the environment sector </w:t>
      </w:r>
      <w:bookmarkEnd w:id="33"/>
      <w:r>
        <w:t xml:space="preserve">(no time lag rate ratio = 1.031). </w:t>
      </w:r>
      <w:commentRangeStart w:id="34"/>
      <w:r>
        <w:t xml:space="preserve">This suggests that in the short-term, investments into the environment sector via development funding (predominantly from international donors) does not reduce the number of new ELC allocations. </w:t>
      </w:r>
      <w:commentRangeEnd w:id="34"/>
      <w:r w:rsidR="008250D4">
        <w:rPr>
          <w:rStyle w:val="CommentReference"/>
        </w:rPr>
        <w:commentReference w:id="34"/>
      </w:r>
      <w:r>
        <w:t xml:space="preserve">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xml:space="preserve">). </w:t>
      </w:r>
      <w:commentRangeStart w:id="35"/>
      <w:r>
        <w:t>The reduction in ELC allocation as</w:t>
      </w:r>
      <w:r w:rsidR="00DD2646">
        <w:t xml:space="preserve"> change in per capita</w:t>
      </w:r>
      <w:r>
        <w:t xml:space="preserve"> GDP increases, over a period of one and two years, potentially suggests that there is a positive economic effect of ELCs. </w:t>
      </w:r>
      <w:commentRangeEnd w:id="35"/>
      <w:r w:rsidR="00487F6E">
        <w:rPr>
          <w:rStyle w:val="CommentReference"/>
        </w:rPr>
        <w:commentReference w:id="35"/>
      </w:r>
    </w:p>
    <w:p w14:paraId="303CB01A" w14:textId="22E95F65" w:rsidR="000A46B5" w:rsidRDefault="000A46B5" w:rsidP="000A46B5">
      <w:bookmarkStart w:id="36" w:name="_Hlk85436768"/>
      <w:r>
        <w:t xml:space="preserve">The largest effect within the commodity set was for the change in market price of rice in the same year as the response </w:t>
      </w:r>
      <w:bookmarkEnd w:id="36"/>
      <w:r>
        <w:t>(no time lag) with a rate ratio of 1.009 (</w:t>
      </w:r>
      <w:r w:rsidRPr="005E63DE">
        <w:t xml:space="preserve">Table </w:t>
      </w:r>
      <w:r w:rsidR="0000260F">
        <w:t>2</w:t>
      </w:r>
      <w:r>
        <w:t xml:space="preserve">). There were </w:t>
      </w:r>
      <w:bookmarkStart w:id="37" w:name="_Hlk85436780"/>
      <w:r>
        <w:t xml:space="preserve">further strong positive relationships between the changes in the market price of rubber </w:t>
      </w:r>
      <w:bookmarkEnd w:id="37"/>
      <w:r>
        <w:t>(no time lag rate ratio = 1.001</w:t>
      </w:r>
      <w:bookmarkStart w:id="38" w:name="_Hlk85436794"/>
      <w:r>
        <w:t xml:space="preserve">), the changes in the non-food production index </w:t>
      </w:r>
      <w:bookmarkEnd w:id="38"/>
      <w:r>
        <w:t xml:space="preserve">(one-year time lag rate ratio = 1.007), </w:t>
      </w:r>
      <w:bookmarkStart w:id="39" w:name="_Hlk85436805"/>
      <w:r>
        <w:t xml:space="preserve">and changes in the market price of sugar </w:t>
      </w:r>
      <w:bookmarkEnd w:id="39"/>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40" w:name="_Hlk85437183"/>
      <w:r>
        <w:t xml:space="preserve">The non-food production index had a much stronger negative effect on ELC allocation when there was no time lag (rate ratio = 0.990). </w:t>
      </w:r>
      <w:bookmarkEnd w:id="40"/>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41" w:name="_Hlk85437276"/>
      <w:r>
        <w:t xml:space="preserve">The strongest positive relationship was with changes in the producer price of rubber </w:t>
      </w:r>
      <w:bookmarkEnd w:id="41"/>
      <w:r>
        <w:t>(no time lag rate ratio = 1.035). The effect of positive changes (i.e., net increases) in the price a farmer will get for rubber production can be seen in the predictions of new ELCs (</w:t>
      </w:r>
      <w:r w:rsidRPr="00DF51FB">
        <w:t>Figure 4</w:t>
      </w:r>
      <w:r>
        <w:t xml:space="preserve">). </w:t>
      </w:r>
      <w:bookmarkStart w:id="42" w:name="_Hlk85437378"/>
      <w:r>
        <w:t xml:space="preserve">There were also positive relationships between ELC allocation and changes in the producer price of corn </w:t>
      </w:r>
      <w:bookmarkEnd w:id="42"/>
      <w:r>
        <w:t xml:space="preserve">(one-year time lag rate ratio = 1.011) </w:t>
      </w:r>
      <w:bookmarkStart w:id="43" w:name="_Hlk85437385"/>
      <w:r>
        <w:t xml:space="preserve">and the producer price of rice </w:t>
      </w:r>
      <w:bookmarkEnd w:id="43"/>
      <w:r>
        <w:t xml:space="preserve">(two-year time lag rate ratio = 1.013, </w:t>
      </w:r>
      <w:r w:rsidRPr="00DF51FB">
        <w:t>Figure 4, Table 3</w:t>
      </w:r>
      <w:r>
        <w:t xml:space="preserve">). </w:t>
      </w:r>
      <w:commentRangeStart w:id="44"/>
      <w:r>
        <w:t xml:space="preserve">Corn and rice are less valuable in terms of absolute producer prices than sugar and rubber, and this may be reflected in the time lag that exists between positive changes in the prices and increases in new ELCs. </w:t>
      </w:r>
      <w:commentRangeEnd w:id="44"/>
      <w:r w:rsidR="002A3321">
        <w:rPr>
          <w:rStyle w:val="CommentReference"/>
        </w:rPr>
        <w:commentReference w:id="44"/>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lastRenderedPageBreak/>
        <w:t>There were two negative relationships between producer price variables and new ELC allocations (</w:t>
      </w:r>
      <w:r w:rsidRPr="00DF51FB">
        <w:t>Figure 4</w:t>
      </w:r>
      <w:r>
        <w:t xml:space="preserve">). </w:t>
      </w:r>
      <w:bookmarkStart w:id="45" w:name="_Hlk85437578"/>
      <w:r>
        <w:t>Increases in the producer prices of rice and cassava resulted in fewer predicted ELCs in the same year (no time lag rate ratio = 0.976) and two years later (two-year time lag rate ratio = 0.982), respectively</w:t>
      </w:r>
      <w:bookmarkEnd w:id="45"/>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xml:space="preserve">). </w:t>
      </w:r>
      <w:commentRangeStart w:id="46"/>
      <w:r>
        <w:t>Cassava is not a</w:t>
      </w:r>
      <w:r w:rsidR="00347783">
        <w:t xml:space="preserve"> </w:t>
      </w:r>
      <w:r>
        <w:t xml:space="preserve">valuable crop, </w:t>
      </w:r>
      <w:commentRangeEnd w:id="46"/>
      <w:r w:rsidR="006539F0">
        <w:rPr>
          <w:rStyle w:val="CommentReference"/>
        </w:rPr>
        <w:commentReference w:id="46"/>
      </w:r>
      <w:r>
        <w:t xml:space="preserve">yet it was the third most designated crop for new ELCs during the study period (4.9% of new ELCs, </w:t>
      </w:r>
      <w:r w:rsidRPr="00E33FCE">
        <w:rPr>
          <w:highlight w:val="yellow"/>
        </w:rPr>
        <w:t>Table S18</w:t>
      </w:r>
      <w:r>
        <w:t xml:space="preserve">). </w:t>
      </w:r>
      <w:commentRangeStart w:id="47"/>
      <w:r>
        <w:t xml:space="preserve">It is unclear what is driving the negative relationship between cassava and new ELCs after two years. </w:t>
      </w:r>
      <w:commentRangeEnd w:id="47"/>
      <w:r w:rsidR="006539F0">
        <w:rPr>
          <w:rStyle w:val="CommentReference"/>
        </w:rPr>
        <w:commentReference w:id="47"/>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commentRangeStart w:id="48"/>
      <w:r w:rsidRPr="00C84941">
        <w:rPr>
          <w:b/>
          <w:bCs/>
          <w:sz w:val="20"/>
          <w:szCs w:val="20"/>
        </w:rPr>
        <w:t xml:space="preserve">Figure 2. Predicted relationship between </w:t>
      </w:r>
      <w:commentRangeEnd w:id="48"/>
      <w:r w:rsidR="00771BC1">
        <w:rPr>
          <w:rStyle w:val="CommentReference"/>
        </w:rPr>
        <w:commentReference w:id="48"/>
      </w:r>
      <w:r w:rsidRPr="00C84941">
        <w:rPr>
          <w:b/>
          <w:bCs/>
          <w:sz w:val="20"/>
          <w:szCs w:val="20"/>
        </w:rPr>
        <w:t>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FF7B585">
            <wp:extent cx="5731510" cy="6377940"/>
            <wp:effectExtent l="0" t="0" r="2540" b="381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1"/>
                    <a:stretch>
                      <a:fillRect/>
                    </a:stretch>
                  </pic:blipFill>
                  <pic:spPr bwMode="auto">
                    <a:xfrm>
                      <a:off x="0" y="0"/>
                      <a:ext cx="5731510" cy="6377940"/>
                    </a:xfrm>
                    <a:prstGeom prst="rect">
                      <a:avLst/>
                    </a:prstGeom>
                  </pic:spPr>
                </pic:pic>
              </a:graphicData>
            </a:graphic>
          </wp:inline>
        </w:drawing>
      </w:r>
    </w:p>
    <w:p w14:paraId="39E51B07" w14:textId="03621874"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w:t>
      </w:r>
      <w:proofErr w:type="gramStart"/>
      <w:r w:rsidRPr="00C84941">
        <w:rPr>
          <w:b/>
          <w:bCs/>
          <w:sz w:val="20"/>
          <w:szCs w:val="20"/>
        </w:rPr>
        <w:t>i.e.</w:t>
      </w:r>
      <w:proofErr w:type="gramEnd"/>
      <w:r w:rsidRPr="00C84941">
        <w:rPr>
          <w:b/>
          <w:bCs/>
          <w:sz w:val="20"/>
          <w:szCs w:val="20"/>
        </w:rPr>
        <w:t xml:space="preserv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producer price for rubber (USD/t) row b: producer price for cassava (USD/t), row c: producer price for corn (USD/t), row d: producer price for sugar (USD/t).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49"/>
      <w:commentRangeStart w:id="50"/>
      <w:commentRangeStart w:id="51"/>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9"/>
      <w:r>
        <w:rPr>
          <w:rStyle w:val="CommentReference"/>
        </w:rPr>
        <w:commentReference w:id="49"/>
      </w:r>
      <w:commentRangeEnd w:id="50"/>
      <w:r w:rsidR="00C65931">
        <w:rPr>
          <w:rStyle w:val="CommentReference"/>
        </w:rPr>
        <w:commentReference w:id="50"/>
      </w:r>
      <w:commentRangeEnd w:id="51"/>
      <w:r w:rsidR="00D27EC5">
        <w:rPr>
          <w:rStyle w:val="CommentReference"/>
        </w:rPr>
        <w:commentReference w:id="51"/>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4C71CC" w:rsidRDefault="00AD3F12" w:rsidP="006F2311">
      <w:r w:rsidRPr="004C71CC">
        <w:rPr>
          <w:i/>
          <w:iCs/>
        </w:rPr>
        <w:t>Direct forest loss</w:t>
      </w:r>
    </w:p>
    <w:p w14:paraId="135FC9CB" w14:textId="28EB997C" w:rsidR="00046338" w:rsidRDefault="006F2311" w:rsidP="006F2311">
      <w:commentRangeStart w:id="52"/>
      <w:r>
        <w:t xml:space="preserve">There were very few significant effects </w:t>
      </w:r>
      <w:r w:rsidR="00F55680">
        <w:t>from the models</w:t>
      </w:r>
      <w:r>
        <w:t xml:space="preserve"> with forest loss as the response variable. </w:t>
      </w:r>
      <w:commentRangeEnd w:id="52"/>
      <w:r w:rsidR="0050787F">
        <w:rPr>
          <w:rStyle w:val="CommentReference"/>
        </w:rPr>
        <w:commentReference w:id="52"/>
      </w:r>
      <w:r>
        <w:t xml:space="preserve">Some of the predictor variables </w:t>
      </w:r>
      <w:ins w:id="53" w:author="Nils Bunnefeld" w:date="2021-11-16T11:40:00Z">
        <w:r w:rsidR="007D0A39">
          <w:t xml:space="preserve">that were non-significant </w:t>
        </w:r>
      </w:ins>
      <w:r>
        <w:t xml:space="preserve">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w:t>
      </w:r>
      <w:commentRangeStart w:id="54"/>
      <w:r w:rsidR="003205E2">
        <w:t>local levels</w:t>
      </w:r>
      <w:proofErr w:type="gramStart"/>
      <w:r w:rsidR="003205E2">
        <w:t xml:space="preserve">. </w:t>
      </w:r>
      <w:r w:rsidR="00F55680">
        <w:t xml:space="preserve"> </w:t>
      </w:r>
      <w:proofErr w:type="gramEnd"/>
      <w:r w:rsidR="00046338">
        <w:t xml:space="preserve"> </w:t>
      </w:r>
      <w:commentRangeEnd w:id="54"/>
      <w:r w:rsidR="007A0630">
        <w:rPr>
          <w:rStyle w:val="CommentReference"/>
        </w:rPr>
        <w:commentReference w:id="54"/>
      </w:r>
    </w:p>
    <w:p w14:paraId="3C8E1423" w14:textId="3798BDD3" w:rsidR="00AD3F12" w:rsidRPr="004C71CC" w:rsidRDefault="00AD3F12" w:rsidP="006F2311">
      <w:pPr>
        <w:rPr>
          <w:i/>
          <w:iCs/>
        </w:rPr>
      </w:pPr>
      <w:r w:rsidRPr="004C71CC">
        <w:rPr>
          <w:i/>
          <w:iCs/>
        </w:rPr>
        <w:t>New ELCs</w:t>
      </w:r>
    </w:p>
    <w:p w14:paraId="79089BA6" w14:textId="2EB3D15E"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 </w:t>
      </w:r>
    </w:p>
    <w:p w14:paraId="2B72F5CE" w14:textId="6340E90C" w:rsidR="0089542A" w:rsidRPr="0089542A" w:rsidRDefault="0089542A" w:rsidP="00801E63">
      <w:pPr>
        <w:rPr>
          <w:i/>
          <w:iCs/>
        </w:rPr>
      </w:pPr>
      <w:commentRangeStart w:id="55"/>
      <w:r w:rsidRPr="0089542A">
        <w:rPr>
          <w:i/>
          <w:iCs/>
        </w:rPr>
        <w:lastRenderedPageBreak/>
        <w:t>Economics</w:t>
      </w:r>
      <w:commentRangeEnd w:id="55"/>
      <w:r w:rsidR="00813994">
        <w:rPr>
          <w:rStyle w:val="CommentReference"/>
        </w:rPr>
        <w:commentReference w:id="55"/>
      </w:r>
      <w:r w:rsidRPr="0089542A">
        <w:rPr>
          <w:i/>
          <w:iCs/>
        </w:rPr>
        <w:t xml:space="preserve"> </w:t>
      </w:r>
    </w:p>
    <w:p w14:paraId="2DECDAB0" w14:textId="53304395"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w:t>
      </w:r>
      <w:proofErr w:type="gramStart"/>
      <w:r w:rsidR="00801E63">
        <w:t>in a given year</w:t>
      </w:r>
      <w:proofErr w:type="gramEnd"/>
      <w:r w:rsidR="00801E63">
        <w:t xml:space="preserve">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w:t>
      </w:r>
      <w:proofErr w:type="gramStart"/>
      <w:r w:rsidR="00801E63">
        <w:t>in a given year</w:t>
      </w:r>
      <w:proofErr w:type="gramEnd"/>
      <w:r w:rsidR="00801E63">
        <w:t xml:space="preserve"> increases by approximately $300 million relative to the previous year, then one year later the number of new ELCs is predicted to be 10. </w:t>
      </w:r>
      <w:r w:rsidR="00B82439">
        <w:t xml:space="preserve">Although our results do not describe causation, </w:t>
      </w:r>
      <w:r w:rsidR="007A4E6E">
        <w:t>there</w:t>
      </w:r>
      <w:r w:rsidR="00B82439">
        <w:t xml:space="preserv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(Neef et al. 2013)</w:t>
      </w:r>
      <w:r w:rsidR="00526FE6">
        <w:fldChar w:fldCharType="end"/>
      </w:r>
      <w:r w:rsidR="001D4CBF">
        <w:t xml:space="preserv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w:t>
      </w:r>
      <w:commentRangeStart w:id="56"/>
      <w:r>
        <w:t>enterprise</w:t>
      </w:r>
      <w:ins w:id="57" w:author="Nils Bunnefeld" w:date="2021-11-16T11:45:00Z">
        <w:r w:rsidR="00F823D9">
          <w:t xml:space="preserve"> (ref?)</w:t>
        </w:r>
      </w:ins>
      <w:r>
        <w:t xml:space="preserve">. </w:t>
      </w:r>
      <w:commentRangeEnd w:id="56"/>
      <w:r w:rsidR="00F823D9">
        <w:rPr>
          <w:rStyle w:val="CommentReference"/>
        </w:rPr>
        <w:commentReference w:id="56"/>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52CA8E2D" w:rsidR="00801E63" w:rsidRDefault="006F2311" w:rsidP="006F2311">
      <w:r>
        <w:t xml:space="preserve">Changes in new ELC allocation can be effectively predicted </w:t>
      </w:r>
      <w:ins w:id="58" w:author="Nils Bunnefeld" w:date="2021-11-16T11:46:00Z">
        <w:r w:rsidR="00AF6A54">
          <w:t xml:space="preserve">from our models </w:t>
        </w:r>
      </w:ins>
      <w:r>
        <w:t xml:space="preserve">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w:t>
      </w:r>
      <w:commentRangeStart w:id="59"/>
      <w:r>
        <w:t xml:space="preserve">can predict </w:t>
      </w:r>
      <w:commentRangeEnd w:id="59"/>
      <w:r w:rsidR="00AF6A54">
        <w:rPr>
          <w:rStyle w:val="CommentReference"/>
        </w:rPr>
        <w:commentReference w:id="59"/>
      </w:r>
      <w:r>
        <w:t xml:space="preserve">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w:t>
      </w:r>
      <w:commentRangeStart w:id="60"/>
      <w:r w:rsidR="00801E63">
        <w:t xml:space="preserve">this reflected in the model; </w:t>
      </w:r>
      <w:r w:rsidR="001D4CBF">
        <w:t xml:space="preserve">if international rubber prices increase 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an additional 4 if rubber prices do not change. Likewise, when the producer price of rubber decreases in value, very few new ELCs are predicted in the following year, but when prices increase by</w:t>
      </w:r>
      <w:r w:rsidR="00DD0C5C">
        <w:t>,</w:t>
      </w:r>
      <w:r w:rsidR="00FB65AB">
        <w:t xml:space="preserve"> for example, $30/ton, in the following year </w:t>
      </w:r>
      <w:commentRangeEnd w:id="60"/>
      <w:r w:rsidR="00FC2F47">
        <w:rPr>
          <w:rStyle w:val="CommentReference"/>
        </w:rPr>
        <w:commentReference w:id="60"/>
      </w:r>
      <w:r w:rsidR="00FB65AB">
        <w:t xml:space="preserve">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t>
      </w:r>
      <w:r w:rsidR="00801E63">
        <w:lastRenderedPageBreak/>
        <w:t>weak when there was no time lag, but the effect was stronger when both a one-year and two-year time lag were introduced.</w:t>
      </w:r>
    </w:p>
    <w:p w14:paraId="3553016D" w14:textId="0762C7F5"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61"/>
      <w:commentRangeStart w:id="62"/>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61"/>
      <w:r w:rsidR="006F2311">
        <w:rPr>
          <w:rStyle w:val="CommentReference"/>
        </w:rPr>
        <w:commentReference w:id="61"/>
      </w:r>
      <w:commentRangeEnd w:id="62"/>
      <w:r w:rsidR="001E2F1B">
        <w:rPr>
          <w:rStyle w:val="CommentReference"/>
        </w:rPr>
        <w:commentReference w:id="62"/>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EC3AA95" w:rsidR="00050B93" w:rsidRPr="004C71CC" w:rsidRDefault="00DD0C5C" w:rsidP="006F2311">
      <w:pPr>
        <w:rPr>
          <w:i/>
          <w:iCs/>
        </w:rPr>
      </w:pPr>
      <w:commentRangeStart w:id="63"/>
      <w:r>
        <w:rPr>
          <w:i/>
          <w:iCs/>
        </w:rPr>
        <w:t>Broader context</w:t>
      </w:r>
      <w:r w:rsidR="00050B93" w:rsidRPr="004C71CC">
        <w:rPr>
          <w:i/>
          <w:iCs/>
        </w:rPr>
        <w:t xml:space="preserve"> </w:t>
      </w:r>
      <w:commentRangeEnd w:id="63"/>
      <w:r w:rsidR="002F296A">
        <w:rPr>
          <w:rStyle w:val="CommentReference"/>
        </w:rPr>
        <w:commentReference w:id="63"/>
      </w:r>
    </w:p>
    <w:p w14:paraId="6486437E" w14:textId="03BBAD71" w:rsidR="008E0F3D" w:rsidRDefault="00316ABA" w:rsidP="006F2311">
      <w:r>
        <w:t xml:space="preserve">Cambodia’s post-war economic recovery has </w:t>
      </w:r>
      <w:commentRangeStart w:id="64"/>
      <w:r>
        <w:t>been remarkably swi</w:t>
      </w:r>
      <w:r w:rsidR="00822264">
        <w:t>ft, boasting growth rates greater than any other Asian country excluding China</w:t>
      </w:r>
      <w:commentRangeEnd w:id="64"/>
      <w:r w:rsidR="00932AF6">
        <w:rPr>
          <w:rStyle w:val="CommentReference"/>
        </w:rPr>
        <w:commentReference w:id="64"/>
      </w:r>
      <w:r w:rsidR="00822264">
        <w:t xml:space="preserve">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w:t>
      </w:r>
      <w:proofErr w:type="spellStart"/>
      <w:r w:rsidR="00822264" w:rsidRPr="00822264">
        <w:rPr>
          <w:rFonts w:ascii="Calibri" w:hAnsi="Calibri" w:cs="Calibri"/>
        </w:rPr>
        <w:t>Solcomb</w:t>
      </w:r>
      <w:proofErr w:type="spellEnd"/>
      <w:r w:rsidR="00822264" w:rsidRPr="00822264">
        <w:rPr>
          <w:rFonts w:ascii="Calibri" w:hAnsi="Calibri" w:cs="Calibri"/>
        </w:rPr>
        <w:t xml:space="preserve">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xml:space="preserve">. Economic land concessions have proved a </w:t>
      </w:r>
      <w:commentRangeStart w:id="65"/>
      <w:r w:rsidR="006E1ED5">
        <w:t xml:space="preserve">popular </w:t>
      </w:r>
      <w:commentRangeEnd w:id="65"/>
      <w:r w:rsidR="0042188D">
        <w:rPr>
          <w:rStyle w:val="CommentReference"/>
        </w:rPr>
        <w:commentReference w:id="65"/>
      </w:r>
      <w:r w:rsidR="006E1ED5">
        <w:t>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commentRangeStart w:id="66"/>
      <w:r w:rsidR="0093383C">
        <w:t>To</w:t>
      </w:r>
      <w:r w:rsidR="00A8102F">
        <w:t xml:space="preserve"> eliminate forest loss, and begin moving towards possible afforestation, Cambodia will need to experience a forest transition. </w:t>
      </w:r>
      <w:commentRangeEnd w:id="66"/>
      <w:r w:rsidR="00F0501A">
        <w:rPr>
          <w:rStyle w:val="CommentReference"/>
        </w:rPr>
        <w:commentReference w:id="66"/>
      </w:r>
    </w:p>
    <w:p w14:paraId="793DAE13" w14:textId="292B4BC1" w:rsidR="00050B93" w:rsidRDefault="008E0F3D" w:rsidP="00BF6BF7">
      <w:commentRangeStart w:id="67"/>
      <w:r>
        <w:t>Perhaps</w:t>
      </w:r>
      <w:commentRangeEnd w:id="67"/>
      <w:r w:rsidR="00AA479C">
        <w:rPr>
          <w:rStyle w:val="CommentReference"/>
        </w:rPr>
        <w:commentReference w:id="67"/>
      </w:r>
      <w:r>
        <w:t xml:space="preserve">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w:t>
      </w:r>
      <w:commentRangeStart w:id="68"/>
      <w:r w:rsidR="00E23AF3">
        <w:t xml:space="preserve">are not decreasing </w:t>
      </w:r>
      <w:commentRangeEnd w:id="68"/>
      <w:r w:rsidR="004D465D">
        <w:rPr>
          <w:rStyle w:val="CommentReference"/>
        </w:rPr>
        <w:commentReference w:id="68"/>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commentRangeStart w:id="69"/>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commentRangeEnd w:id="69"/>
      <w:r w:rsidR="00626B93">
        <w:rPr>
          <w:rStyle w:val="CommentReference"/>
        </w:rPr>
        <w:commentReference w:id="69"/>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 xml:space="preserve">for predicting </w:t>
      </w:r>
      <w:r>
        <w:lastRenderedPageBreak/>
        <w:t>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456EBD3" w14:textId="77777777" w:rsidR="00B849E3" w:rsidRDefault="00526FE6" w:rsidP="000A46B5">
      <w:pPr>
        <w:rPr>
          <w:b/>
          <w:bCs/>
        </w:rPr>
      </w:pPr>
      <w:r w:rsidRPr="00526FE6">
        <w:rPr>
          <w:b/>
          <w:bCs/>
        </w:rPr>
        <w:t>References</w:t>
      </w:r>
    </w:p>
    <w:p w14:paraId="33280A20" w14:textId="77777777" w:rsidR="00B849E3" w:rsidRPr="00B849E3" w:rsidRDefault="00B849E3" w:rsidP="00B849E3">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Pr="00B849E3">
        <w:rPr>
          <w:rFonts w:ascii="Calibri" w:hAnsi="Calibri" w:cs="Calibri"/>
        </w:rPr>
        <w:t xml:space="preserve">Barrett CB, Gibson CC, Hoffman B, McCUBBINS MD. 2006. The Complex Links between Governance and Biodiversity. Conservation Biology </w:t>
      </w:r>
      <w:r w:rsidRPr="00B849E3">
        <w:rPr>
          <w:rFonts w:ascii="Calibri" w:hAnsi="Calibri" w:cs="Calibri"/>
          <w:b/>
          <w:bCs/>
        </w:rPr>
        <w:t>20</w:t>
      </w:r>
      <w:r w:rsidRPr="00B849E3">
        <w:rPr>
          <w:rFonts w:ascii="Calibri" w:hAnsi="Calibri" w:cs="Calibri"/>
        </w:rPr>
        <w:t>:1358–1366.</w:t>
      </w:r>
    </w:p>
    <w:p w14:paraId="22194CC9" w14:textId="77777777" w:rsidR="00B849E3" w:rsidRPr="00B849E3" w:rsidRDefault="00B849E3" w:rsidP="00B849E3">
      <w:pPr>
        <w:pStyle w:val="Bibliography"/>
        <w:rPr>
          <w:rFonts w:ascii="Calibri" w:hAnsi="Calibri" w:cs="Calibri"/>
        </w:rPr>
      </w:pPr>
      <w:r w:rsidRPr="00B849E3">
        <w:rPr>
          <w:rFonts w:ascii="Calibri" w:hAnsi="Calibri" w:cs="Calibri"/>
        </w:rPr>
        <w:t>Bartoń K. 2020. MuMIn: Multi-Model Inference. Available from https://rdrr.io/cran/MuMIn/ (accessed April 29, 2021).</w:t>
      </w:r>
    </w:p>
    <w:p w14:paraId="3FA388B8" w14:textId="77777777" w:rsidR="00B849E3" w:rsidRPr="00B849E3" w:rsidRDefault="00B849E3" w:rsidP="00B849E3">
      <w:pPr>
        <w:pStyle w:val="Bibliography"/>
        <w:rPr>
          <w:rFonts w:ascii="Calibri" w:hAnsi="Calibri" w:cs="Calibri"/>
        </w:rPr>
      </w:pPr>
      <w:r w:rsidRPr="00B849E3">
        <w:rPr>
          <w:rFonts w:ascii="Calibri" w:hAnsi="Calibri" w:cs="Calibri"/>
        </w:rPr>
        <w:t xml:space="preserve">Bhattacharya P, Pradhan L, Yadav G. 2010. Joint forest management in India: Experiences of two decades. Resources, Conservation and Recycling </w:t>
      </w:r>
      <w:r w:rsidRPr="00B849E3">
        <w:rPr>
          <w:rFonts w:ascii="Calibri" w:hAnsi="Calibri" w:cs="Calibri"/>
          <w:b/>
          <w:bCs/>
        </w:rPr>
        <w:t>54</w:t>
      </w:r>
      <w:r w:rsidRPr="00B849E3">
        <w:rPr>
          <w:rFonts w:ascii="Calibri" w:hAnsi="Calibri" w:cs="Calibri"/>
        </w:rPr>
        <w:t>:469–480.</w:t>
      </w:r>
    </w:p>
    <w:p w14:paraId="7FC0E28A" w14:textId="77777777" w:rsidR="00B849E3" w:rsidRPr="00B849E3" w:rsidRDefault="00B849E3" w:rsidP="00B849E3">
      <w:pPr>
        <w:pStyle w:val="Bibliography"/>
        <w:rPr>
          <w:rFonts w:ascii="Calibri" w:hAnsi="Calibri" w:cs="Calibri"/>
        </w:rPr>
      </w:pPr>
      <w:r w:rsidRPr="00B849E3">
        <w:rPr>
          <w:rFonts w:ascii="Calibri" w:hAnsi="Calibri" w:cs="Calibri"/>
        </w:rPr>
        <w:t xml:space="preserve">Bhattarai M, Hammig M. 2004. Governance, economic policy, and the environmental Kuznets curve for natural tropical forests. Environment and Development Economics </w:t>
      </w:r>
      <w:r w:rsidRPr="00B849E3">
        <w:rPr>
          <w:rFonts w:ascii="Calibri" w:hAnsi="Calibri" w:cs="Calibri"/>
          <w:b/>
          <w:bCs/>
        </w:rPr>
        <w:t>9</w:t>
      </w:r>
      <w:r w:rsidRPr="00B849E3">
        <w:rPr>
          <w:rFonts w:ascii="Calibri" w:hAnsi="Calibri" w:cs="Calibri"/>
        </w:rPr>
        <w:t>:367–382.</w:t>
      </w:r>
    </w:p>
    <w:p w14:paraId="25BFD753" w14:textId="77777777" w:rsidR="00B849E3" w:rsidRPr="00B849E3" w:rsidRDefault="00B849E3" w:rsidP="00B849E3">
      <w:pPr>
        <w:pStyle w:val="Bibliography"/>
        <w:rPr>
          <w:rFonts w:ascii="Calibri" w:hAnsi="Calibri" w:cs="Calibri"/>
        </w:rPr>
      </w:pPr>
      <w:r w:rsidRPr="00B849E3">
        <w:rPr>
          <w:rFonts w:ascii="Calibri" w:hAnsi="Calibri" w:cs="Calibri"/>
        </w:rPr>
        <w:t xml:space="preserve">Bonilla-Bedoya S, Estrella-Bastidas A, Molina JR, Herrera MÁ. 2018. Socioecological system and potential deforestation in Western Amazon forest landscapes. Science of The Total Environment </w:t>
      </w:r>
      <w:r w:rsidRPr="00B849E3">
        <w:rPr>
          <w:rFonts w:ascii="Calibri" w:hAnsi="Calibri" w:cs="Calibri"/>
          <w:b/>
          <w:bCs/>
        </w:rPr>
        <w:t>644</w:t>
      </w:r>
      <w:r w:rsidRPr="00B849E3">
        <w:rPr>
          <w:rFonts w:ascii="Calibri" w:hAnsi="Calibri" w:cs="Calibri"/>
        </w:rPr>
        <w:t>:1044–1055.</w:t>
      </w:r>
    </w:p>
    <w:p w14:paraId="4BB44320" w14:textId="77777777" w:rsidR="00B849E3" w:rsidRPr="00B849E3" w:rsidRDefault="00B849E3" w:rsidP="00B849E3">
      <w:pPr>
        <w:pStyle w:val="Bibliography"/>
        <w:rPr>
          <w:rFonts w:ascii="Calibri" w:hAnsi="Calibri" w:cs="Calibri"/>
        </w:rPr>
      </w:pPr>
      <w:r w:rsidRPr="00B849E3">
        <w:rPr>
          <w:rFonts w:ascii="Calibri" w:hAnsi="Calibri" w:cs="Calibri"/>
        </w:rPr>
        <w:t>Burnham KP, Anderson DR. 2007. Model Selection and Multimodel Inference: A Practical Information-Theoretic Approach. Springer Science &amp; Business Media.</w:t>
      </w:r>
    </w:p>
    <w:p w14:paraId="5D7FF066" w14:textId="77777777" w:rsidR="00B849E3" w:rsidRPr="00B849E3" w:rsidRDefault="00B849E3" w:rsidP="00B849E3">
      <w:pPr>
        <w:pStyle w:val="Bibliography"/>
        <w:rPr>
          <w:rFonts w:ascii="Calibri" w:hAnsi="Calibri" w:cs="Calibri"/>
        </w:rPr>
      </w:pPr>
      <w:r w:rsidRPr="00B849E3">
        <w:rPr>
          <w:rFonts w:ascii="Calibri" w:hAnsi="Calibri" w:cs="Calibri"/>
        </w:rPr>
        <w:t xml:space="preserve">Caravaggio N. 2020a. Economic growth and the forest development path: A theoretical re-assessment of the environmental Kuznets curve for deforestation. Forest Policy and Economics </w:t>
      </w:r>
      <w:r w:rsidRPr="00B849E3">
        <w:rPr>
          <w:rFonts w:ascii="Calibri" w:hAnsi="Calibri" w:cs="Calibri"/>
          <w:b/>
          <w:bCs/>
        </w:rPr>
        <w:t>118</w:t>
      </w:r>
      <w:r w:rsidRPr="00B849E3">
        <w:rPr>
          <w:rFonts w:ascii="Calibri" w:hAnsi="Calibri" w:cs="Calibri"/>
        </w:rPr>
        <w:t>:102259.</w:t>
      </w:r>
    </w:p>
    <w:p w14:paraId="103667BA" w14:textId="77777777" w:rsidR="00B849E3" w:rsidRPr="00B849E3" w:rsidRDefault="00B849E3" w:rsidP="00B849E3">
      <w:pPr>
        <w:pStyle w:val="Bibliography"/>
        <w:rPr>
          <w:rFonts w:ascii="Calibri" w:hAnsi="Calibri" w:cs="Calibri"/>
        </w:rPr>
      </w:pPr>
      <w:r w:rsidRPr="00B849E3">
        <w:rPr>
          <w:rFonts w:ascii="Calibri" w:hAnsi="Calibri" w:cs="Calibri"/>
        </w:rPr>
        <w:t xml:space="preserve">Caravaggio N. 2020b. A global empirical re-assessment of the Environmental Kuznets curve for deforestation. Forest Policy and Economics </w:t>
      </w:r>
      <w:r w:rsidRPr="00B849E3">
        <w:rPr>
          <w:rFonts w:ascii="Calibri" w:hAnsi="Calibri" w:cs="Calibri"/>
          <w:b/>
          <w:bCs/>
        </w:rPr>
        <w:t>119</w:t>
      </w:r>
      <w:r w:rsidRPr="00B849E3">
        <w:rPr>
          <w:rFonts w:ascii="Calibri" w:hAnsi="Calibri" w:cs="Calibri"/>
        </w:rPr>
        <w:t>:102282.</w:t>
      </w:r>
    </w:p>
    <w:p w14:paraId="123608EA" w14:textId="77777777" w:rsidR="00B849E3" w:rsidRPr="00B849E3" w:rsidRDefault="00B849E3" w:rsidP="00B849E3">
      <w:pPr>
        <w:pStyle w:val="Bibliography"/>
        <w:rPr>
          <w:rFonts w:ascii="Calibri" w:hAnsi="Calibri" w:cs="Calibri"/>
        </w:rPr>
      </w:pPr>
      <w:r w:rsidRPr="00B849E3">
        <w:rPr>
          <w:rFonts w:ascii="Calibri" w:hAnsi="Calibri" w:cs="Calibri"/>
        </w:rPr>
        <w:t xml:space="preserve">Ceddia MG, Gunter U, Corriveau-Bourque A. 2015. Land tenure and agricultural expansion in Latin America: The role of Indigenous Peoples’ and local communities’ forest rights. Global Environmental Change </w:t>
      </w:r>
      <w:r w:rsidRPr="00B849E3">
        <w:rPr>
          <w:rFonts w:ascii="Calibri" w:hAnsi="Calibri" w:cs="Calibri"/>
          <w:b/>
          <w:bCs/>
        </w:rPr>
        <w:t>35</w:t>
      </w:r>
      <w:r w:rsidRPr="00B849E3">
        <w:rPr>
          <w:rFonts w:ascii="Calibri" w:hAnsi="Calibri" w:cs="Calibri"/>
        </w:rPr>
        <w:t>:316–322.</w:t>
      </w:r>
    </w:p>
    <w:p w14:paraId="3E00B148" w14:textId="77777777" w:rsidR="00B849E3" w:rsidRPr="00B849E3" w:rsidRDefault="00B849E3" w:rsidP="00B849E3">
      <w:pPr>
        <w:pStyle w:val="Bibliography"/>
        <w:rPr>
          <w:rFonts w:ascii="Calibri" w:hAnsi="Calibri" w:cs="Calibri"/>
        </w:rPr>
      </w:pPr>
      <w:r w:rsidRPr="00B849E3">
        <w:rPr>
          <w:rFonts w:ascii="Calibri" w:hAnsi="Calibri" w:cs="Calibri"/>
        </w:rPr>
        <w:t xml:space="preserve">Chapman PM, Tobias JA, Edwards DP, Davies RG. 2018. Contrasting impacts of land-use change on phylogenetic and functional diversity of tropical forest birds. Journal of Applied Ecology </w:t>
      </w:r>
      <w:r w:rsidRPr="00B849E3">
        <w:rPr>
          <w:rFonts w:ascii="Calibri" w:hAnsi="Calibri" w:cs="Calibri"/>
          <w:b/>
          <w:bCs/>
        </w:rPr>
        <w:t>55</w:t>
      </w:r>
      <w:r w:rsidRPr="00B849E3">
        <w:rPr>
          <w:rFonts w:ascii="Calibri" w:hAnsi="Calibri" w:cs="Calibri"/>
        </w:rPr>
        <w:t>:1604–1614.</w:t>
      </w:r>
    </w:p>
    <w:p w14:paraId="3B9DDA71"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Chhair S, Ung L. 2013. Economic history of industrialization in Cambodia. Working Paper No.7, WIDER. World Institue for Development Economics Research.</w:t>
      </w:r>
    </w:p>
    <w:p w14:paraId="31D1FF3D" w14:textId="77777777" w:rsidR="00B849E3" w:rsidRPr="00B849E3" w:rsidRDefault="00B849E3" w:rsidP="00B849E3">
      <w:pPr>
        <w:pStyle w:val="Bibliography"/>
        <w:rPr>
          <w:rFonts w:ascii="Calibri" w:hAnsi="Calibri" w:cs="Calibri"/>
        </w:rPr>
      </w:pPr>
      <w:r w:rsidRPr="00B849E3">
        <w:rPr>
          <w:rFonts w:ascii="Calibri" w:hAnsi="Calibri" w:cs="Calibri"/>
        </w:rPr>
        <w:t xml:space="preserve">Clement F, Orange D, Williams M, Mulley C, Epprecht M. 2009. Drivers of afforestation in Northern Vietnam: Assessing local variations using geographically weighted regression. Applied Geography </w:t>
      </w:r>
      <w:r w:rsidRPr="00B849E3">
        <w:rPr>
          <w:rFonts w:ascii="Calibri" w:hAnsi="Calibri" w:cs="Calibri"/>
          <w:b/>
          <w:bCs/>
        </w:rPr>
        <w:t>29</w:t>
      </w:r>
      <w:r w:rsidRPr="00B849E3">
        <w:rPr>
          <w:rFonts w:ascii="Calibri" w:hAnsi="Calibri" w:cs="Calibri"/>
        </w:rPr>
        <w:t>:561–576.</w:t>
      </w:r>
    </w:p>
    <w:p w14:paraId="603986FF" w14:textId="77777777" w:rsidR="00B849E3" w:rsidRPr="00B849E3" w:rsidRDefault="00B849E3" w:rsidP="00B849E3">
      <w:pPr>
        <w:pStyle w:val="Bibliography"/>
        <w:rPr>
          <w:rFonts w:ascii="Calibri" w:hAnsi="Calibri" w:cs="Calibri"/>
        </w:rPr>
      </w:pPr>
      <w:r w:rsidRPr="00B849E3">
        <w:rPr>
          <w:rFonts w:ascii="Calibri" w:hAnsi="Calibri" w:cs="Calibri"/>
        </w:rPr>
        <w:t>Crawley MJ. 2007. The R Book. Wiley, Chichester, UK.</w:t>
      </w:r>
    </w:p>
    <w:p w14:paraId="19FCDB8D" w14:textId="77777777" w:rsidR="00B849E3" w:rsidRPr="00B849E3" w:rsidRDefault="00B849E3" w:rsidP="00B849E3">
      <w:pPr>
        <w:pStyle w:val="Bibliography"/>
        <w:rPr>
          <w:rFonts w:ascii="Calibri" w:hAnsi="Calibri" w:cs="Calibri"/>
        </w:rPr>
      </w:pPr>
      <w:r w:rsidRPr="00B849E3">
        <w:rPr>
          <w:rFonts w:ascii="Calibri" w:hAnsi="Calibri" w:cs="Calibri"/>
        </w:rPr>
        <w:t xml:space="preserve">Cropper M, Griffiths C. 1994. The Interaction of Population Growth and Environmental Quality. The American Economic Review </w:t>
      </w:r>
      <w:r w:rsidRPr="00B849E3">
        <w:rPr>
          <w:rFonts w:ascii="Calibri" w:hAnsi="Calibri" w:cs="Calibri"/>
          <w:b/>
          <w:bCs/>
        </w:rPr>
        <w:t>84</w:t>
      </w:r>
      <w:r w:rsidRPr="00B849E3">
        <w:rPr>
          <w:rFonts w:ascii="Calibri" w:hAnsi="Calibri" w:cs="Calibri"/>
        </w:rPr>
        <w:t>:250–254. American Economic Association.</w:t>
      </w:r>
    </w:p>
    <w:p w14:paraId="147F6DD1" w14:textId="77777777" w:rsidR="00B849E3" w:rsidRPr="00B849E3" w:rsidRDefault="00B849E3" w:rsidP="00B849E3">
      <w:pPr>
        <w:pStyle w:val="Bibliography"/>
        <w:rPr>
          <w:rFonts w:ascii="Calibri" w:hAnsi="Calibri" w:cs="Calibri"/>
        </w:rPr>
      </w:pPr>
      <w:r w:rsidRPr="00B849E3">
        <w:rPr>
          <w:rFonts w:ascii="Calibri" w:hAnsi="Calibri" w:cs="Calibri"/>
        </w:rPr>
        <w:t xml:space="preserve">Culas RJ. 2007. Deforestation and the environmental Kuznets curve: An institutional perspective. Ecological Economics </w:t>
      </w:r>
      <w:r w:rsidRPr="00B849E3">
        <w:rPr>
          <w:rFonts w:ascii="Calibri" w:hAnsi="Calibri" w:cs="Calibri"/>
          <w:b/>
          <w:bCs/>
        </w:rPr>
        <w:t>61</w:t>
      </w:r>
      <w:r w:rsidRPr="00B849E3">
        <w:rPr>
          <w:rFonts w:ascii="Calibri" w:hAnsi="Calibri" w:cs="Calibri"/>
        </w:rPr>
        <w:t>:429–437.</w:t>
      </w:r>
    </w:p>
    <w:p w14:paraId="77A4AA3D" w14:textId="77777777" w:rsidR="00B849E3" w:rsidRPr="00B849E3" w:rsidRDefault="00B849E3" w:rsidP="00B849E3">
      <w:pPr>
        <w:pStyle w:val="Bibliography"/>
        <w:rPr>
          <w:rFonts w:ascii="Calibri" w:hAnsi="Calibri" w:cs="Calibri"/>
        </w:rPr>
      </w:pPr>
      <w:r w:rsidRPr="00B849E3">
        <w:rPr>
          <w:rFonts w:ascii="Calibri" w:hAnsi="Calibri" w:cs="Calibri"/>
        </w:rPr>
        <w:t xml:space="preserve">Culas RJ. 2012. REDD and forest transition: Tunneling through the environmental Kuznets curve. Ecological Economics </w:t>
      </w:r>
      <w:r w:rsidRPr="00B849E3">
        <w:rPr>
          <w:rFonts w:ascii="Calibri" w:hAnsi="Calibri" w:cs="Calibri"/>
          <w:b/>
          <w:bCs/>
        </w:rPr>
        <w:t>79</w:t>
      </w:r>
      <w:r w:rsidRPr="00B849E3">
        <w:rPr>
          <w:rFonts w:ascii="Calibri" w:hAnsi="Calibri" w:cs="Calibri"/>
        </w:rPr>
        <w:t>:44–51.</w:t>
      </w:r>
    </w:p>
    <w:p w14:paraId="0323D2A9" w14:textId="77777777" w:rsidR="00B849E3" w:rsidRPr="00B849E3" w:rsidRDefault="00B849E3" w:rsidP="00B849E3">
      <w:pPr>
        <w:pStyle w:val="Bibliography"/>
        <w:rPr>
          <w:rFonts w:ascii="Calibri" w:hAnsi="Calibri" w:cs="Calibri"/>
        </w:rPr>
      </w:pPr>
      <w:r w:rsidRPr="00B849E3">
        <w:rPr>
          <w:rFonts w:ascii="Calibri" w:hAnsi="Calibri" w:cs="Calibri"/>
        </w:rPr>
        <w:t xml:space="preserve">Curtis PG, Slay CM, Harris NL, Tyukavina A, Hansen MC. 2018. Classifying drivers of global forest loss. Science </w:t>
      </w:r>
      <w:r w:rsidRPr="00B849E3">
        <w:rPr>
          <w:rFonts w:ascii="Calibri" w:hAnsi="Calibri" w:cs="Calibri"/>
          <w:b/>
          <w:bCs/>
        </w:rPr>
        <w:t>361</w:t>
      </w:r>
      <w:r w:rsidRPr="00B849E3">
        <w:rPr>
          <w:rFonts w:ascii="Calibri" w:hAnsi="Calibri" w:cs="Calibri"/>
        </w:rPr>
        <w:t>:1108–1111.</w:t>
      </w:r>
    </w:p>
    <w:p w14:paraId="10555179" w14:textId="77777777" w:rsidR="00B849E3" w:rsidRPr="00B849E3" w:rsidRDefault="00B849E3" w:rsidP="00B849E3">
      <w:pPr>
        <w:pStyle w:val="Bibliography"/>
        <w:rPr>
          <w:rFonts w:ascii="Calibri" w:hAnsi="Calibri" w:cs="Calibri"/>
        </w:rPr>
      </w:pPr>
      <w:r w:rsidRPr="00B849E3">
        <w:rPr>
          <w:rFonts w:ascii="Calibri" w:hAnsi="Calibri" w:cs="Calibri"/>
        </w:rPr>
        <w:t xml:space="preserve">Davis KF, Yu K, Rulli MC, Pichdara L, D’Odorico P. 2015. Accelerated deforestation driven by large-scale land acquisitions in Cambodia. Nature Geoscience </w:t>
      </w:r>
      <w:r w:rsidRPr="00B849E3">
        <w:rPr>
          <w:rFonts w:ascii="Calibri" w:hAnsi="Calibri" w:cs="Calibri"/>
          <w:b/>
          <w:bCs/>
        </w:rPr>
        <w:t>8</w:t>
      </w:r>
      <w:r w:rsidRPr="00B849E3">
        <w:rPr>
          <w:rFonts w:ascii="Calibri" w:hAnsi="Calibri" w:cs="Calibri"/>
        </w:rPr>
        <w:t>:772–775.</w:t>
      </w:r>
    </w:p>
    <w:p w14:paraId="34234BA7" w14:textId="77777777" w:rsidR="00B849E3" w:rsidRPr="00B849E3" w:rsidRDefault="00B849E3" w:rsidP="00B849E3">
      <w:pPr>
        <w:pStyle w:val="Bibliography"/>
        <w:rPr>
          <w:rFonts w:ascii="Calibri" w:hAnsi="Calibri" w:cs="Calibri"/>
        </w:rPr>
      </w:pPr>
      <w:r w:rsidRPr="00B849E3">
        <w:rPr>
          <w:rFonts w:ascii="Calibri" w:hAnsi="Calibri" w:cs="Calibri"/>
        </w:rPr>
        <w:t xml:space="preserve">De Schutter O. 2011. How not to think of land-grabbing: three critiques of large-scale investments in farmland. The Journal of Peasant Studies </w:t>
      </w:r>
      <w:r w:rsidRPr="00B849E3">
        <w:rPr>
          <w:rFonts w:ascii="Calibri" w:hAnsi="Calibri" w:cs="Calibri"/>
          <w:b/>
          <w:bCs/>
        </w:rPr>
        <w:t>38</w:t>
      </w:r>
      <w:r w:rsidRPr="00B849E3">
        <w:rPr>
          <w:rFonts w:ascii="Calibri" w:hAnsi="Calibri" w:cs="Calibri"/>
        </w:rPr>
        <w:t>:249–279. Routledge.</w:t>
      </w:r>
    </w:p>
    <w:p w14:paraId="491A1517" w14:textId="77777777" w:rsidR="00B849E3" w:rsidRPr="00B849E3" w:rsidRDefault="00B849E3" w:rsidP="00B849E3">
      <w:pPr>
        <w:pStyle w:val="Bibliography"/>
        <w:rPr>
          <w:rFonts w:ascii="Calibri" w:hAnsi="Calibri" w:cs="Calibri"/>
        </w:rPr>
      </w:pPr>
      <w:r w:rsidRPr="00B849E3">
        <w:rPr>
          <w:rFonts w:ascii="Calibri" w:hAnsi="Calibri" w:cs="Calibri"/>
        </w:rPr>
        <w:t>Deininger K, Byerlee D. 2011. Rising Global Interest in Farmland: Can It Yield Sustainable and Equitable Benefits? World Bank Publications.</w:t>
      </w:r>
    </w:p>
    <w:p w14:paraId="08A801E1" w14:textId="77777777" w:rsidR="00B849E3" w:rsidRPr="00B849E3" w:rsidRDefault="00B849E3" w:rsidP="00B849E3">
      <w:pPr>
        <w:pStyle w:val="Bibliography"/>
        <w:rPr>
          <w:rFonts w:ascii="Calibri" w:hAnsi="Calibri" w:cs="Calibri"/>
        </w:rPr>
      </w:pPr>
      <w:r w:rsidRPr="00B849E3">
        <w:rPr>
          <w:rFonts w:ascii="Calibri" w:hAnsi="Calibri" w:cs="Calibri"/>
        </w:rPr>
        <w:t>Eliste P, Zorya S. 2015. Cambodian agriculture in transition: Opportunities and risks. World Bank Group, Washington DC, USA. Available from http://documents.worldbank.org/curated/en/805091467993504209/Cambodian-agriculture-in-transition-opportunities-and-risks.</w:t>
      </w:r>
    </w:p>
    <w:p w14:paraId="305CC525" w14:textId="77777777" w:rsidR="00B849E3" w:rsidRPr="00B849E3" w:rsidRDefault="00B849E3" w:rsidP="00B849E3">
      <w:pPr>
        <w:pStyle w:val="Bibliography"/>
        <w:rPr>
          <w:rFonts w:ascii="Calibri" w:hAnsi="Calibri" w:cs="Calibri"/>
        </w:rPr>
      </w:pPr>
      <w:r w:rsidRPr="00B849E3">
        <w:rPr>
          <w:rFonts w:ascii="Calibri" w:hAnsi="Calibri" w:cs="Calibri"/>
        </w:rPr>
        <w:t xml:space="preserve">Estoque RC, Ooba M, Avitabile V, Hijioka Y, DasGupta R, Togawa T, Murayama Y. 2019. The future of Southeast Asia’s forests. Nature Communications </w:t>
      </w:r>
      <w:r w:rsidRPr="00B849E3">
        <w:rPr>
          <w:rFonts w:ascii="Calibri" w:hAnsi="Calibri" w:cs="Calibri"/>
          <w:b/>
          <w:bCs/>
        </w:rPr>
        <w:t>10</w:t>
      </w:r>
      <w:r w:rsidRPr="00B849E3">
        <w:rPr>
          <w:rFonts w:ascii="Calibri" w:hAnsi="Calibri" w:cs="Calibri"/>
        </w:rPr>
        <w:t>:1829.</w:t>
      </w:r>
    </w:p>
    <w:p w14:paraId="7203DCF4" w14:textId="77777777" w:rsidR="00B849E3" w:rsidRPr="00B849E3" w:rsidRDefault="00B849E3" w:rsidP="00B849E3">
      <w:pPr>
        <w:pStyle w:val="Bibliography"/>
        <w:rPr>
          <w:rFonts w:ascii="Calibri" w:hAnsi="Calibri" w:cs="Calibri"/>
        </w:rPr>
      </w:pPr>
      <w:r w:rsidRPr="00B849E3">
        <w:rPr>
          <w:rFonts w:ascii="Calibri" w:hAnsi="Calibri" w:cs="Calibri"/>
        </w:rPr>
        <w:t xml:space="preserve">Ewers RM. 2006. Interaction effects between economic development and forest cover determine deforestation rates. Global Environmental Change </w:t>
      </w:r>
      <w:r w:rsidRPr="00B849E3">
        <w:rPr>
          <w:rFonts w:ascii="Calibri" w:hAnsi="Calibri" w:cs="Calibri"/>
          <w:b/>
          <w:bCs/>
        </w:rPr>
        <w:t>16</w:t>
      </w:r>
      <w:r w:rsidRPr="00B849E3">
        <w:rPr>
          <w:rFonts w:ascii="Calibri" w:hAnsi="Calibri" w:cs="Calibri"/>
        </w:rPr>
        <w:t>:161–169.</w:t>
      </w:r>
    </w:p>
    <w:p w14:paraId="1940658B" w14:textId="77777777" w:rsidR="00B849E3" w:rsidRPr="00B849E3" w:rsidRDefault="00B849E3" w:rsidP="00B849E3">
      <w:pPr>
        <w:pStyle w:val="Bibliography"/>
        <w:rPr>
          <w:rFonts w:ascii="Calibri" w:hAnsi="Calibri" w:cs="Calibri"/>
        </w:rPr>
      </w:pPr>
      <w:r w:rsidRPr="00B849E3">
        <w:rPr>
          <w:rFonts w:ascii="Calibri" w:hAnsi="Calibri" w:cs="Calibri"/>
        </w:rPr>
        <w:t xml:space="preserve">Fan Q, Ding S. 2016. Landscape pattern changes at a county scale: A case study in Fengqiu, Henan Province, China from 1990 to 2013. CATENA </w:t>
      </w:r>
      <w:r w:rsidRPr="00B849E3">
        <w:rPr>
          <w:rFonts w:ascii="Calibri" w:hAnsi="Calibri" w:cs="Calibri"/>
          <w:b/>
          <w:bCs/>
        </w:rPr>
        <w:t>137</w:t>
      </w:r>
      <w:r w:rsidRPr="00B849E3">
        <w:rPr>
          <w:rFonts w:ascii="Calibri" w:hAnsi="Calibri" w:cs="Calibri"/>
        </w:rPr>
        <w:t>:152–160.</w:t>
      </w:r>
    </w:p>
    <w:p w14:paraId="5684445C" w14:textId="77777777" w:rsidR="00B849E3" w:rsidRPr="00B849E3" w:rsidRDefault="00B849E3" w:rsidP="00B849E3">
      <w:pPr>
        <w:pStyle w:val="Bibliography"/>
        <w:rPr>
          <w:rFonts w:ascii="Calibri" w:hAnsi="Calibri" w:cs="Calibri"/>
        </w:rPr>
      </w:pPr>
      <w:r w:rsidRPr="00B849E3">
        <w:rPr>
          <w:rFonts w:ascii="Calibri" w:hAnsi="Calibri" w:cs="Calibri"/>
        </w:rPr>
        <w:t>FAO. 2020. Global Forest Resources Assessment 2020: Main report. FAO, Rome, Italy. Available from https://www.fao.org/documents/card/en/c/ca9825en (accessed October 21, 2021).</w:t>
      </w:r>
    </w:p>
    <w:p w14:paraId="2B3F6679" w14:textId="77777777" w:rsidR="00B849E3" w:rsidRPr="00B849E3" w:rsidRDefault="00B849E3" w:rsidP="00B849E3">
      <w:pPr>
        <w:pStyle w:val="Bibliography"/>
        <w:rPr>
          <w:rFonts w:ascii="Calibri" w:hAnsi="Calibri" w:cs="Calibri"/>
        </w:rPr>
      </w:pPr>
      <w:r w:rsidRPr="00B849E3">
        <w:rPr>
          <w:rFonts w:ascii="Calibri" w:hAnsi="Calibri" w:cs="Calibri"/>
        </w:rPr>
        <w:t xml:space="preserve">Frewer T, Chan S. 2014. GIS and the ‘Usual Suspects’-[Mis]understanding Land Use Change in Cambodia. Human Ecology </w:t>
      </w:r>
      <w:r w:rsidRPr="00B849E3">
        <w:rPr>
          <w:rFonts w:ascii="Calibri" w:hAnsi="Calibri" w:cs="Calibri"/>
          <w:b/>
          <w:bCs/>
        </w:rPr>
        <w:t>42</w:t>
      </w:r>
      <w:r w:rsidRPr="00B849E3">
        <w:rPr>
          <w:rFonts w:ascii="Calibri" w:hAnsi="Calibri" w:cs="Calibri"/>
        </w:rPr>
        <w:t>:267–281.</w:t>
      </w:r>
    </w:p>
    <w:p w14:paraId="3A4AFCC2" w14:textId="77777777" w:rsidR="00B849E3" w:rsidRPr="00B849E3" w:rsidRDefault="00B849E3" w:rsidP="00B849E3">
      <w:pPr>
        <w:pStyle w:val="Bibliography"/>
        <w:rPr>
          <w:rFonts w:ascii="Calibri" w:hAnsi="Calibri" w:cs="Calibri"/>
        </w:rPr>
      </w:pPr>
      <w:r w:rsidRPr="00B849E3">
        <w:rPr>
          <w:rFonts w:ascii="Calibri" w:hAnsi="Calibri" w:cs="Calibri"/>
        </w:rPr>
        <w:t xml:space="preserve">Gaughan AE, Binford MW, Southworth J. 2009. Tourism, forest conversion, and land transformations in the Angkor basin, Cambodia. Applied Geography </w:t>
      </w:r>
      <w:r w:rsidRPr="00B849E3">
        <w:rPr>
          <w:rFonts w:ascii="Calibri" w:hAnsi="Calibri" w:cs="Calibri"/>
          <w:b/>
          <w:bCs/>
        </w:rPr>
        <w:t>29</w:t>
      </w:r>
      <w:r w:rsidRPr="00B849E3">
        <w:rPr>
          <w:rFonts w:ascii="Calibri" w:hAnsi="Calibri" w:cs="Calibri"/>
        </w:rPr>
        <w:t>:212–223.</w:t>
      </w:r>
    </w:p>
    <w:p w14:paraId="69CF7F48"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Geist HJ, Lambin EF. 2002. Proximate Causes and Underlying Driving Forces of Tropical DeforestationTropical forests are disappearing as the result of many pressures, both local and regional, acting in various combinations in different geographical locations. BioScience </w:t>
      </w:r>
      <w:r w:rsidRPr="00B849E3">
        <w:rPr>
          <w:rFonts w:ascii="Calibri" w:hAnsi="Calibri" w:cs="Calibri"/>
          <w:b/>
          <w:bCs/>
        </w:rPr>
        <w:t>52</w:t>
      </w:r>
      <w:r w:rsidRPr="00B849E3">
        <w:rPr>
          <w:rFonts w:ascii="Calibri" w:hAnsi="Calibri" w:cs="Calibri"/>
        </w:rPr>
        <w:t>:143–150.</w:t>
      </w:r>
    </w:p>
    <w:p w14:paraId="5852E112" w14:textId="77777777" w:rsidR="00B849E3" w:rsidRPr="00B849E3" w:rsidRDefault="00B849E3" w:rsidP="00B849E3">
      <w:pPr>
        <w:pStyle w:val="Bibliography"/>
        <w:rPr>
          <w:rFonts w:ascii="Calibri" w:hAnsi="Calibri" w:cs="Calibri"/>
        </w:rPr>
      </w:pPr>
      <w:r w:rsidRPr="00B849E3">
        <w:rPr>
          <w:rFonts w:ascii="Calibri" w:hAnsi="Calibri" w:cs="Calibri"/>
        </w:rPr>
        <w:t>Global Witness. 2013. Rubber Barons: How Vietnamese companies and international financiers are driving a land grabbing crisis in Cambodia and Laos. Global Witness. Available from https://www.globalwitness.org/en-gb/campaigns/land-deals/rubberbarons/.</w:t>
      </w:r>
    </w:p>
    <w:p w14:paraId="7E91494D" w14:textId="77777777" w:rsidR="00B849E3" w:rsidRPr="00B849E3" w:rsidRDefault="00B849E3" w:rsidP="00B849E3">
      <w:pPr>
        <w:pStyle w:val="Bibliography"/>
        <w:rPr>
          <w:rFonts w:ascii="Calibri" w:hAnsi="Calibri" w:cs="Calibri"/>
        </w:rPr>
      </w:pPr>
      <w:r w:rsidRPr="00B849E3">
        <w:rPr>
          <w:rFonts w:ascii="Calibri" w:hAnsi="Calibri" w:cs="Calibri"/>
        </w:rPr>
        <w:t xml:space="preserve">Gong C, Yu S, Joesting H, Chen J. 2013. Determining socioeconomic drivers of urban forest fragmentation with historical remote sensing images. Landscape and Urban Planning </w:t>
      </w:r>
      <w:r w:rsidRPr="00B849E3">
        <w:rPr>
          <w:rFonts w:ascii="Calibri" w:hAnsi="Calibri" w:cs="Calibri"/>
          <w:b/>
          <w:bCs/>
        </w:rPr>
        <w:t>117</w:t>
      </w:r>
      <w:r w:rsidRPr="00B849E3">
        <w:rPr>
          <w:rFonts w:ascii="Calibri" w:hAnsi="Calibri" w:cs="Calibri"/>
        </w:rPr>
        <w:t>:57–65.</w:t>
      </w:r>
    </w:p>
    <w:p w14:paraId="26B6000B" w14:textId="77777777" w:rsidR="00B849E3" w:rsidRPr="00B849E3" w:rsidRDefault="00B849E3" w:rsidP="00B849E3">
      <w:pPr>
        <w:pStyle w:val="Bibliography"/>
        <w:rPr>
          <w:rFonts w:ascii="Calibri" w:hAnsi="Calibri" w:cs="Calibri"/>
        </w:rPr>
      </w:pPr>
      <w:r w:rsidRPr="00B849E3">
        <w:rPr>
          <w:rFonts w:ascii="Calibri" w:hAnsi="Calibri" w:cs="Calibri"/>
        </w:rPr>
        <w:t>Green WN. 2020. Financial landscapes of agrarian change in Cambodia. GeoforumDOI: 10.1016/j.geoforum.2020.02.001. Available from https://www.sciencedirect.com/science/article/pii/S0016718520300361 (accessed October 20, 2021).</w:t>
      </w:r>
    </w:p>
    <w:p w14:paraId="2F2C5D38" w14:textId="77777777" w:rsidR="00B849E3" w:rsidRPr="00B849E3" w:rsidRDefault="00B849E3" w:rsidP="00B849E3">
      <w:pPr>
        <w:pStyle w:val="Bibliography"/>
        <w:rPr>
          <w:rFonts w:ascii="Calibri" w:hAnsi="Calibri" w:cs="Calibri"/>
        </w:rPr>
      </w:pPr>
      <w:r w:rsidRPr="00B849E3">
        <w:rPr>
          <w:rFonts w:ascii="Calibri" w:hAnsi="Calibri" w:cs="Calibri"/>
        </w:rPr>
        <w:t xml:space="preserve">Grogan K, Pflugmacher D, Hostert P, Kennedy R, Fensholt R. 2015. Cross-border forest disturbance and the role of natural rubber in mainland Southeast Asia using annual Landsat time series. Remote Sensing of Environment </w:t>
      </w:r>
      <w:r w:rsidRPr="00B849E3">
        <w:rPr>
          <w:rFonts w:ascii="Calibri" w:hAnsi="Calibri" w:cs="Calibri"/>
          <w:b/>
          <w:bCs/>
        </w:rPr>
        <w:t>169</w:t>
      </w:r>
      <w:r w:rsidRPr="00B849E3">
        <w:rPr>
          <w:rFonts w:ascii="Calibri" w:hAnsi="Calibri" w:cs="Calibri"/>
        </w:rPr>
        <w:t>:438–453.</w:t>
      </w:r>
    </w:p>
    <w:p w14:paraId="54010229" w14:textId="77777777" w:rsidR="00B849E3" w:rsidRPr="00B849E3" w:rsidRDefault="00B849E3" w:rsidP="00B849E3">
      <w:pPr>
        <w:pStyle w:val="Bibliography"/>
        <w:rPr>
          <w:rFonts w:ascii="Calibri" w:hAnsi="Calibri" w:cs="Calibri"/>
        </w:rPr>
      </w:pPr>
      <w:r w:rsidRPr="00B849E3">
        <w:rPr>
          <w:rFonts w:ascii="Calibri" w:hAnsi="Calibri" w:cs="Calibri"/>
        </w:rPr>
        <w:t xml:space="preserve">Grogan K, Pflugmacher D, Hostert P, Mertz O, Fensholt R. 2019. Unravelling the link between global rubber price and tropical deforestation in Cambodia. Nature Plants </w:t>
      </w:r>
      <w:r w:rsidRPr="00B849E3">
        <w:rPr>
          <w:rFonts w:ascii="Calibri" w:hAnsi="Calibri" w:cs="Calibri"/>
          <w:b/>
          <w:bCs/>
        </w:rPr>
        <w:t>5</w:t>
      </w:r>
      <w:r w:rsidRPr="00B849E3">
        <w:rPr>
          <w:rFonts w:ascii="Calibri" w:hAnsi="Calibri" w:cs="Calibri"/>
        </w:rPr>
        <w:t>:47–53.</w:t>
      </w:r>
    </w:p>
    <w:p w14:paraId="45BCD069" w14:textId="77777777" w:rsidR="00B849E3" w:rsidRPr="00B849E3" w:rsidRDefault="00B849E3" w:rsidP="00B849E3">
      <w:pPr>
        <w:pStyle w:val="Bibliography"/>
        <w:rPr>
          <w:rFonts w:ascii="Calibri" w:hAnsi="Calibri" w:cs="Calibri"/>
        </w:rPr>
      </w:pPr>
      <w:r w:rsidRPr="00B849E3">
        <w:rPr>
          <w:rFonts w:ascii="Calibri" w:hAnsi="Calibri" w:cs="Calibri"/>
        </w:rPr>
        <w:t>Hamada K, Kasuya M. 1992. The reconstruction and stbilization of the postwar Japanese economy: Possible lessons for Eastern Europe? Center Discussion Paper 672. Yale University Economic Growth Center, New Haven, CT.</w:t>
      </w:r>
    </w:p>
    <w:p w14:paraId="77942D19" w14:textId="77777777" w:rsidR="00B849E3" w:rsidRPr="00B849E3" w:rsidRDefault="00B849E3" w:rsidP="00B849E3">
      <w:pPr>
        <w:pStyle w:val="Bibliography"/>
        <w:rPr>
          <w:rFonts w:ascii="Calibri" w:hAnsi="Calibri" w:cs="Calibri"/>
        </w:rPr>
      </w:pPr>
      <w:r w:rsidRPr="00B849E3">
        <w:rPr>
          <w:rFonts w:ascii="Calibri" w:hAnsi="Calibri" w:cs="Calibri"/>
        </w:rPr>
        <w:t xml:space="preserve">He J, Lang R, Xu J. 2014. Local Dynamics Driving Forest Transition: Insights from Upland Villages in Southwest China. Forests </w:t>
      </w:r>
      <w:r w:rsidRPr="00B849E3">
        <w:rPr>
          <w:rFonts w:ascii="Calibri" w:hAnsi="Calibri" w:cs="Calibri"/>
          <w:b/>
          <w:bCs/>
        </w:rPr>
        <w:t>5</w:t>
      </w:r>
      <w:r w:rsidRPr="00B849E3">
        <w:rPr>
          <w:rFonts w:ascii="Calibri" w:hAnsi="Calibri" w:cs="Calibri"/>
        </w:rPr>
        <w:t>:214–233. Multidisciplinary Digital Publishing Institute.</w:t>
      </w:r>
    </w:p>
    <w:p w14:paraId="0A9319F0" w14:textId="77777777" w:rsidR="00B849E3" w:rsidRPr="00B849E3" w:rsidRDefault="00B849E3" w:rsidP="00B849E3">
      <w:pPr>
        <w:pStyle w:val="Bibliography"/>
        <w:rPr>
          <w:rFonts w:ascii="Calibri" w:hAnsi="Calibri" w:cs="Calibri"/>
        </w:rPr>
      </w:pPr>
      <w:r w:rsidRPr="00B849E3">
        <w:rPr>
          <w:rFonts w:ascii="Calibri" w:hAnsi="Calibri" w:cs="Calibri"/>
        </w:rPr>
        <w:t xml:space="preserve">Hearn AJ, Cushman SA, Goossens B, Macdonald E, Ross J, Hunter LTB, Abram NK, Macdonald DW. 2018. Evaluating scenarios of landscape change for Sunda clouded leopard connectivity in a human dominated landscape. Biological Conservation </w:t>
      </w:r>
      <w:r w:rsidRPr="00B849E3">
        <w:rPr>
          <w:rFonts w:ascii="Calibri" w:hAnsi="Calibri" w:cs="Calibri"/>
          <w:b/>
          <w:bCs/>
        </w:rPr>
        <w:t>222</w:t>
      </w:r>
      <w:r w:rsidRPr="00B849E3">
        <w:rPr>
          <w:rFonts w:ascii="Calibri" w:hAnsi="Calibri" w:cs="Calibri"/>
        </w:rPr>
        <w:t>:232–240.</w:t>
      </w:r>
    </w:p>
    <w:p w14:paraId="4856B76C" w14:textId="77777777" w:rsidR="00B849E3" w:rsidRPr="00B849E3" w:rsidRDefault="00B849E3" w:rsidP="00B849E3">
      <w:pPr>
        <w:pStyle w:val="Bibliography"/>
        <w:rPr>
          <w:rFonts w:ascii="Calibri" w:hAnsi="Calibri" w:cs="Calibri"/>
        </w:rPr>
      </w:pPr>
      <w:r w:rsidRPr="00B849E3">
        <w:rPr>
          <w:rFonts w:ascii="Calibri" w:hAnsi="Calibri" w:cs="Calibri"/>
        </w:rPr>
        <w:t>Hoang NT, Kanemoto K. 2021. Mapping the deforestation footprint of nations reveals growing threat to tropical forests. Nature Ecology &amp; Evolution:1–9. Nature Publishing Group.</w:t>
      </w:r>
    </w:p>
    <w:p w14:paraId="41C77CA8"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AC. 2017. Understanding the drivers of Southeast Asian biodiversity loss. Ecosphere </w:t>
      </w:r>
      <w:r w:rsidRPr="00B849E3">
        <w:rPr>
          <w:rFonts w:ascii="Calibri" w:hAnsi="Calibri" w:cs="Calibri"/>
          <w:b/>
          <w:bCs/>
        </w:rPr>
        <w:t>8</w:t>
      </w:r>
      <w:r w:rsidRPr="00B849E3">
        <w:rPr>
          <w:rFonts w:ascii="Calibri" w:hAnsi="Calibri" w:cs="Calibri"/>
        </w:rPr>
        <w:t>:e01624.</w:t>
      </w:r>
    </w:p>
    <w:p w14:paraId="1D060B61"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AC. 2018. Have Indo-Malaysian forests reached the end of the road? Biological Conservation </w:t>
      </w:r>
      <w:r w:rsidRPr="00B849E3">
        <w:rPr>
          <w:rFonts w:ascii="Calibri" w:hAnsi="Calibri" w:cs="Calibri"/>
          <w:b/>
          <w:bCs/>
        </w:rPr>
        <w:t>223</w:t>
      </w:r>
      <w:r w:rsidRPr="00B849E3">
        <w:rPr>
          <w:rFonts w:ascii="Calibri" w:hAnsi="Calibri" w:cs="Calibri"/>
        </w:rPr>
        <w:t>:129–137.</w:t>
      </w:r>
    </w:p>
    <w:p w14:paraId="0BEF539F" w14:textId="77777777" w:rsidR="00B849E3" w:rsidRPr="00B849E3" w:rsidRDefault="00B849E3" w:rsidP="00B849E3">
      <w:pPr>
        <w:pStyle w:val="Bibliography"/>
        <w:rPr>
          <w:rFonts w:ascii="Calibri" w:hAnsi="Calibri" w:cs="Calibri"/>
        </w:rPr>
      </w:pPr>
      <w:r w:rsidRPr="00B849E3">
        <w:rPr>
          <w:rFonts w:ascii="Calibri" w:hAnsi="Calibri" w:cs="Calibri"/>
        </w:rPr>
        <w:t>Hughes C, Un K. 2011. Cambodia’s Economic Transformation. 49, NIAS Studies in Asian Topic. Nordic Institute of Asian Studies, Leifsgade 33, DK-2300 Copenhagen S, Denmark.</w:t>
      </w:r>
    </w:p>
    <w:p w14:paraId="7767A3E5" w14:textId="77777777" w:rsidR="00B849E3" w:rsidRPr="00B849E3" w:rsidRDefault="00B849E3" w:rsidP="00B849E3">
      <w:pPr>
        <w:pStyle w:val="Bibliography"/>
        <w:rPr>
          <w:rFonts w:ascii="Calibri" w:hAnsi="Calibri" w:cs="Calibri"/>
        </w:rPr>
      </w:pPr>
      <w:r w:rsidRPr="00B849E3">
        <w:rPr>
          <w:rFonts w:ascii="Calibri" w:hAnsi="Calibri" w:cs="Calibri"/>
        </w:rPr>
        <w:t xml:space="preserve">Imai N, Furukawa T, Tsujino R, Kitamura S, Yumoto T. 2018. Factors affecting forest area change in Southeast Asia during 1980-2010. PLOS ONE </w:t>
      </w:r>
      <w:r w:rsidRPr="00B849E3">
        <w:rPr>
          <w:rFonts w:ascii="Calibri" w:hAnsi="Calibri" w:cs="Calibri"/>
          <w:b/>
          <w:bCs/>
        </w:rPr>
        <w:t>13</w:t>
      </w:r>
      <w:r w:rsidRPr="00B849E3">
        <w:rPr>
          <w:rFonts w:ascii="Calibri" w:hAnsi="Calibri" w:cs="Calibri"/>
        </w:rPr>
        <w:t>:e0197391. Public Library of Science.</w:t>
      </w:r>
    </w:p>
    <w:p w14:paraId="5E077DAD" w14:textId="77777777" w:rsidR="00B849E3" w:rsidRPr="00B849E3" w:rsidRDefault="00B849E3" w:rsidP="00B849E3">
      <w:pPr>
        <w:pStyle w:val="Bibliography"/>
        <w:rPr>
          <w:rFonts w:ascii="Calibri" w:hAnsi="Calibri" w:cs="Calibri"/>
        </w:rPr>
      </w:pPr>
      <w:r w:rsidRPr="00B849E3">
        <w:rPr>
          <w:rFonts w:ascii="Calibri" w:hAnsi="Calibri" w:cs="Calibri"/>
        </w:rPr>
        <w:t xml:space="preserve">Jensen C. 2006. Foreign Direct Investment and economic transition: Panacea or pain killer? Europe-Asia Studies </w:t>
      </w:r>
      <w:r w:rsidRPr="00B849E3">
        <w:rPr>
          <w:rFonts w:ascii="Calibri" w:hAnsi="Calibri" w:cs="Calibri"/>
          <w:b/>
          <w:bCs/>
        </w:rPr>
        <w:t>58</w:t>
      </w:r>
      <w:r w:rsidRPr="00B849E3">
        <w:rPr>
          <w:rFonts w:ascii="Calibri" w:hAnsi="Calibri" w:cs="Calibri"/>
        </w:rPr>
        <w:t>:881–902. Routledge.</w:t>
      </w:r>
    </w:p>
    <w:p w14:paraId="606D4EDB"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Jiao T, Williams CA, Ghimire B, Masek J, Gao F, Schaaf C. 2017. Global climate forcing from albedo change caused by large-scale deforestation and reforestation: quantification and attribution of geographic variation. Climatic Change </w:t>
      </w:r>
      <w:r w:rsidRPr="00B849E3">
        <w:rPr>
          <w:rFonts w:ascii="Calibri" w:hAnsi="Calibri" w:cs="Calibri"/>
          <w:b/>
          <w:bCs/>
        </w:rPr>
        <w:t>142</w:t>
      </w:r>
      <w:r w:rsidRPr="00B849E3">
        <w:rPr>
          <w:rFonts w:ascii="Calibri" w:hAnsi="Calibri" w:cs="Calibri"/>
        </w:rPr>
        <w:t>:463–476.</w:t>
      </w:r>
    </w:p>
    <w:p w14:paraId="5C770ECF" w14:textId="77777777" w:rsidR="00B849E3" w:rsidRPr="00B849E3" w:rsidRDefault="00B849E3" w:rsidP="00B849E3">
      <w:pPr>
        <w:pStyle w:val="Bibliography"/>
        <w:rPr>
          <w:rFonts w:ascii="Calibri" w:hAnsi="Calibri" w:cs="Calibri"/>
        </w:rPr>
      </w:pPr>
      <w:r w:rsidRPr="00B849E3">
        <w:rPr>
          <w:rFonts w:ascii="Calibri" w:hAnsi="Calibri" w:cs="Calibri"/>
        </w:rPr>
        <w:t xml:space="preserve">Kaimowitz D, Fauné A. 2003. Contras and Comandantes. Journal of Sustainable Forestry </w:t>
      </w:r>
      <w:r w:rsidRPr="00B849E3">
        <w:rPr>
          <w:rFonts w:ascii="Calibri" w:hAnsi="Calibri" w:cs="Calibri"/>
          <w:b/>
          <w:bCs/>
        </w:rPr>
        <w:t>16</w:t>
      </w:r>
      <w:r w:rsidRPr="00B849E3">
        <w:rPr>
          <w:rFonts w:ascii="Calibri" w:hAnsi="Calibri" w:cs="Calibri"/>
        </w:rPr>
        <w:t>:21–46. Taylor &amp; Francis.</w:t>
      </w:r>
    </w:p>
    <w:p w14:paraId="5E800093" w14:textId="77777777" w:rsidR="00B849E3" w:rsidRPr="00B849E3" w:rsidRDefault="00B849E3" w:rsidP="00B849E3">
      <w:pPr>
        <w:pStyle w:val="Bibliography"/>
        <w:rPr>
          <w:rFonts w:ascii="Calibri" w:hAnsi="Calibri" w:cs="Calibri"/>
        </w:rPr>
      </w:pPr>
      <w:r w:rsidRPr="00B849E3">
        <w:rPr>
          <w:rFonts w:ascii="Calibri" w:hAnsi="Calibri" w:cs="Calibri"/>
        </w:rPr>
        <w:t xml:space="preserve">Kong R, Diepart J-C, Castella J-C, Lestrelin G, Tivet F, Belmain E, Bégué A. 2019. Understanding the drivers of deforestation and agricultural transformations in the Northwestern uplands of Cambodia. Applied Geography </w:t>
      </w:r>
      <w:r w:rsidRPr="00B849E3">
        <w:rPr>
          <w:rFonts w:ascii="Calibri" w:hAnsi="Calibri" w:cs="Calibri"/>
          <w:b/>
          <w:bCs/>
        </w:rPr>
        <w:t>102</w:t>
      </w:r>
      <w:r w:rsidRPr="00B849E3">
        <w:rPr>
          <w:rFonts w:ascii="Calibri" w:hAnsi="Calibri" w:cs="Calibri"/>
        </w:rPr>
        <w:t>:84–98.</w:t>
      </w:r>
    </w:p>
    <w:p w14:paraId="6FA2FE63" w14:textId="77777777" w:rsidR="00B849E3" w:rsidRPr="00B849E3" w:rsidRDefault="00B849E3" w:rsidP="00B849E3">
      <w:pPr>
        <w:pStyle w:val="Bibliography"/>
        <w:rPr>
          <w:rFonts w:ascii="Calibri" w:hAnsi="Calibri" w:cs="Calibri"/>
        </w:rPr>
      </w:pPr>
      <w:r w:rsidRPr="00B849E3">
        <w:rPr>
          <w:rFonts w:ascii="Calibri" w:hAnsi="Calibri" w:cs="Calibri"/>
        </w:rPr>
        <w:t xml:space="preserve">Kuang W, Liu J, Dong J, Chi W, Zhang C. 2016. The rapid and massive urban and industrial land expansions in China between 1990 and 2010: A CLUD-based analysis of their trajectories, patterns, and drivers. Landscape and Urban Planning </w:t>
      </w:r>
      <w:r w:rsidRPr="00B849E3">
        <w:rPr>
          <w:rFonts w:ascii="Calibri" w:hAnsi="Calibri" w:cs="Calibri"/>
          <w:b/>
          <w:bCs/>
        </w:rPr>
        <w:t>145</w:t>
      </w:r>
      <w:r w:rsidRPr="00B849E3">
        <w:rPr>
          <w:rFonts w:ascii="Calibri" w:hAnsi="Calibri" w:cs="Calibri"/>
        </w:rPr>
        <w:t>:21–33.</w:t>
      </w:r>
    </w:p>
    <w:p w14:paraId="5B0606E3" w14:textId="77777777" w:rsidR="00B849E3" w:rsidRPr="00B849E3" w:rsidRDefault="00B849E3" w:rsidP="00B849E3">
      <w:pPr>
        <w:pStyle w:val="Bibliography"/>
        <w:rPr>
          <w:rFonts w:ascii="Calibri" w:hAnsi="Calibri" w:cs="Calibri"/>
        </w:rPr>
      </w:pPr>
      <w:r w:rsidRPr="00B849E3">
        <w:rPr>
          <w:rFonts w:ascii="Calibri" w:hAnsi="Calibri" w:cs="Calibri"/>
        </w:rPr>
        <w:t>Kugelman M, Levenstein SL. 2012. The global farms race: land grabs, agricultural investment, and the scramble for food security. The global farms race: land grabs, agricultural investment, and the scramble for food security. Island Press. Available from https://www.cabdirect.org/cabdirect/abstract/20123367959 (accessed October 24, 2021).</w:t>
      </w:r>
    </w:p>
    <w:p w14:paraId="11431419" w14:textId="77777777" w:rsidR="00B849E3" w:rsidRPr="00B849E3" w:rsidRDefault="00B849E3" w:rsidP="00B849E3">
      <w:pPr>
        <w:pStyle w:val="Bibliography"/>
        <w:rPr>
          <w:rFonts w:ascii="Calibri" w:hAnsi="Calibri" w:cs="Calibri"/>
        </w:rPr>
      </w:pPr>
      <w:r w:rsidRPr="00B849E3">
        <w:rPr>
          <w:rFonts w:ascii="Calibri" w:hAnsi="Calibri" w:cs="Calibri"/>
        </w:rPr>
        <w:t xml:space="preserve">Kull CA. 2017. Forest transitions: a new conceptual scheme. Geographica Helvetica </w:t>
      </w:r>
      <w:r w:rsidRPr="00B849E3">
        <w:rPr>
          <w:rFonts w:ascii="Calibri" w:hAnsi="Calibri" w:cs="Calibri"/>
          <w:b/>
          <w:bCs/>
        </w:rPr>
        <w:t>72</w:t>
      </w:r>
      <w:r w:rsidRPr="00B849E3">
        <w:rPr>
          <w:rFonts w:ascii="Calibri" w:hAnsi="Calibri" w:cs="Calibri"/>
        </w:rPr>
        <w:t>:465–474. Copernicus GmbH.</w:t>
      </w:r>
    </w:p>
    <w:p w14:paraId="5566D08F" w14:textId="77777777" w:rsidR="00B849E3" w:rsidRPr="00B849E3" w:rsidRDefault="00B849E3" w:rsidP="00B849E3">
      <w:pPr>
        <w:pStyle w:val="Bibliography"/>
        <w:rPr>
          <w:rFonts w:ascii="Calibri" w:hAnsi="Calibri" w:cs="Calibri"/>
        </w:rPr>
      </w:pPr>
      <w:r w:rsidRPr="00B849E3">
        <w:rPr>
          <w:rFonts w:ascii="Calibri" w:hAnsi="Calibri" w:cs="Calibri"/>
        </w:rPr>
        <w:t xml:space="preserve">Lambin EF, Meyfroidt P. 2010. Land use transitions: Socio-ecological feedback versus socio-economic change. Land Use Policy </w:t>
      </w:r>
      <w:r w:rsidRPr="00B849E3">
        <w:rPr>
          <w:rFonts w:ascii="Calibri" w:hAnsi="Calibri" w:cs="Calibri"/>
          <w:b/>
          <w:bCs/>
        </w:rPr>
        <w:t>27</w:t>
      </w:r>
      <w:r w:rsidRPr="00B849E3">
        <w:rPr>
          <w:rFonts w:ascii="Calibri" w:hAnsi="Calibri" w:cs="Calibri"/>
        </w:rPr>
        <w:t>:108–118.</w:t>
      </w:r>
    </w:p>
    <w:p w14:paraId="645BD0BE" w14:textId="77777777" w:rsidR="00B849E3" w:rsidRPr="00B849E3" w:rsidRDefault="00B849E3" w:rsidP="00B849E3">
      <w:pPr>
        <w:pStyle w:val="Bibliography"/>
        <w:rPr>
          <w:rFonts w:ascii="Calibri" w:hAnsi="Calibri" w:cs="Calibri"/>
        </w:rPr>
      </w:pPr>
      <w:r w:rsidRPr="00B849E3">
        <w:rPr>
          <w:rFonts w:ascii="Calibri" w:hAnsi="Calibri" w:cs="Calibri"/>
        </w:rPr>
        <w:t xml:space="preserve">Li J, Zhang Z, Jin X, Chen J, Zhang S, He Z, Li S, He Z, Zhang H, Xiao H. 2018. Exploring the socioeconomic and ecological consequences of cash crop cultivation for policy implications. Land Use Policy </w:t>
      </w:r>
      <w:r w:rsidRPr="00B849E3">
        <w:rPr>
          <w:rFonts w:ascii="Calibri" w:hAnsi="Calibri" w:cs="Calibri"/>
          <w:b/>
          <w:bCs/>
        </w:rPr>
        <w:t>76</w:t>
      </w:r>
      <w:r w:rsidRPr="00B849E3">
        <w:rPr>
          <w:rFonts w:ascii="Calibri" w:hAnsi="Calibri" w:cs="Calibri"/>
        </w:rPr>
        <w:t>:46–57.</w:t>
      </w:r>
    </w:p>
    <w:p w14:paraId="3163FE36" w14:textId="77777777" w:rsidR="00B849E3" w:rsidRPr="00B849E3" w:rsidRDefault="00B849E3" w:rsidP="00B849E3">
      <w:pPr>
        <w:pStyle w:val="Bibliography"/>
        <w:rPr>
          <w:rFonts w:ascii="Calibri" w:hAnsi="Calibri" w:cs="Calibri"/>
        </w:rPr>
      </w:pPr>
      <w:r w:rsidRPr="00B849E3">
        <w:rPr>
          <w:rFonts w:ascii="Calibri" w:hAnsi="Calibri" w:cs="Calibri"/>
        </w:rPr>
        <w:t>Licadho. 2019. Economic Land Concessions in Cambodia. Available from http://www.licadho-cambodia.org (accessed September 24, 2019).</w:t>
      </w:r>
    </w:p>
    <w:p w14:paraId="641C3AC0" w14:textId="77777777" w:rsidR="00B849E3" w:rsidRPr="00B849E3" w:rsidRDefault="00B849E3" w:rsidP="00B849E3">
      <w:pPr>
        <w:pStyle w:val="Bibliography"/>
        <w:rPr>
          <w:rFonts w:ascii="Calibri" w:hAnsi="Calibri" w:cs="Calibri"/>
        </w:rPr>
      </w:pPr>
      <w:r w:rsidRPr="00B849E3">
        <w:rPr>
          <w:rFonts w:ascii="Calibri" w:hAnsi="Calibri" w:cs="Calibri"/>
        </w:rPr>
        <w:t xml:space="preserve">Mather AS. 1992. The Forest Transition. Area </w:t>
      </w:r>
      <w:r w:rsidRPr="00B849E3">
        <w:rPr>
          <w:rFonts w:ascii="Calibri" w:hAnsi="Calibri" w:cs="Calibri"/>
          <w:b/>
          <w:bCs/>
        </w:rPr>
        <w:t>24</w:t>
      </w:r>
      <w:r w:rsidRPr="00B849E3">
        <w:rPr>
          <w:rFonts w:ascii="Calibri" w:hAnsi="Calibri" w:cs="Calibri"/>
        </w:rPr>
        <w:t>:367–379. [Royal Geographical Society (with the Institute of British Geographers), Wiley].</w:t>
      </w:r>
    </w:p>
    <w:p w14:paraId="2A06CF7D" w14:textId="77777777" w:rsidR="00B849E3" w:rsidRPr="00B849E3" w:rsidRDefault="00B849E3" w:rsidP="00B849E3">
      <w:pPr>
        <w:pStyle w:val="Bibliography"/>
        <w:rPr>
          <w:rFonts w:ascii="Calibri" w:hAnsi="Calibri" w:cs="Calibri"/>
        </w:rPr>
      </w:pPr>
      <w:r w:rsidRPr="00B849E3">
        <w:rPr>
          <w:rFonts w:ascii="Calibri" w:hAnsi="Calibri" w:cs="Calibri"/>
        </w:rPr>
        <w:t xml:space="preserve">Meyfroidt P, Lambin EF. 2008. Forest transition in Vietnam and its environmental impacts. Global Change Biology </w:t>
      </w:r>
      <w:r w:rsidRPr="00B849E3">
        <w:rPr>
          <w:rFonts w:ascii="Calibri" w:hAnsi="Calibri" w:cs="Calibri"/>
          <w:b/>
          <w:bCs/>
        </w:rPr>
        <w:t>14</w:t>
      </w:r>
      <w:r w:rsidRPr="00B849E3">
        <w:rPr>
          <w:rFonts w:ascii="Calibri" w:hAnsi="Calibri" w:cs="Calibri"/>
        </w:rPr>
        <w:t>:1319–1336.</w:t>
      </w:r>
    </w:p>
    <w:p w14:paraId="6252ABED" w14:textId="77777777" w:rsidR="00B849E3" w:rsidRPr="00B849E3" w:rsidRDefault="00B849E3" w:rsidP="00B849E3">
      <w:pPr>
        <w:pStyle w:val="Bibliography"/>
        <w:rPr>
          <w:rFonts w:ascii="Calibri" w:hAnsi="Calibri" w:cs="Calibri"/>
        </w:rPr>
      </w:pPr>
      <w:r w:rsidRPr="00B849E3">
        <w:rPr>
          <w:rFonts w:ascii="Calibri" w:hAnsi="Calibri" w:cs="Calibri"/>
        </w:rPr>
        <w:t>Milne S, Mahanty S. 2015. Conservation and Development in Cambodia: Exploring frontiers of change in nature, state and society. Routledge.</w:t>
      </w:r>
    </w:p>
    <w:p w14:paraId="189A81CF" w14:textId="77777777" w:rsidR="00B849E3" w:rsidRPr="00B849E3" w:rsidRDefault="00B849E3" w:rsidP="00B849E3">
      <w:pPr>
        <w:pStyle w:val="Bibliography"/>
        <w:rPr>
          <w:rFonts w:ascii="Calibri" w:hAnsi="Calibri" w:cs="Calibri"/>
        </w:rPr>
      </w:pPr>
      <w:r w:rsidRPr="00B849E3">
        <w:rPr>
          <w:rFonts w:ascii="Calibri" w:hAnsi="Calibri" w:cs="Calibri"/>
        </w:rPr>
        <w:t xml:space="preserve">Neef A, Touch S, Chiengthong J. 2013. The Politics and Ethics of Land Concessions in Rural Cambodia. Journal of Agricultural and Environmental Ethics </w:t>
      </w:r>
      <w:r w:rsidRPr="00B849E3">
        <w:rPr>
          <w:rFonts w:ascii="Calibri" w:hAnsi="Calibri" w:cs="Calibri"/>
          <w:b/>
          <w:bCs/>
        </w:rPr>
        <w:t>26</w:t>
      </w:r>
      <w:r w:rsidRPr="00B849E3">
        <w:rPr>
          <w:rFonts w:ascii="Calibri" w:hAnsi="Calibri" w:cs="Calibri"/>
        </w:rPr>
        <w:t>:1085–1103.</w:t>
      </w:r>
    </w:p>
    <w:p w14:paraId="7A72AC73" w14:textId="77777777" w:rsidR="00B849E3" w:rsidRPr="00B849E3" w:rsidRDefault="00B849E3" w:rsidP="00B849E3">
      <w:pPr>
        <w:pStyle w:val="Bibliography"/>
        <w:rPr>
          <w:rFonts w:ascii="Calibri" w:hAnsi="Calibri" w:cs="Calibri"/>
        </w:rPr>
      </w:pPr>
      <w:r w:rsidRPr="00B849E3">
        <w:rPr>
          <w:rFonts w:ascii="Calibri" w:hAnsi="Calibri" w:cs="Calibri"/>
        </w:rPr>
        <w:t xml:space="preserve">Nelson GC, Dobermann A, Nakicenovic N, O’Neill BC. 2006. Anthropogenic drivers of ecosystem change: An overview. Ecology and Society </w:t>
      </w:r>
      <w:r w:rsidRPr="00B849E3">
        <w:rPr>
          <w:rFonts w:ascii="Calibri" w:hAnsi="Calibri" w:cs="Calibri"/>
          <w:b/>
          <w:bCs/>
        </w:rPr>
        <w:t>11</w:t>
      </w:r>
      <w:r w:rsidRPr="00B849E3">
        <w:rPr>
          <w:rFonts w:ascii="Calibri" w:hAnsi="Calibri" w:cs="Calibri"/>
        </w:rPr>
        <w:t>. Available from http://www.ecologyandsociety.org/vol11/iss2/art29/ (accessed March 1, 2019).</w:t>
      </w:r>
    </w:p>
    <w:p w14:paraId="1C4EB835" w14:textId="77777777" w:rsidR="00B849E3" w:rsidRPr="00B849E3" w:rsidRDefault="00B849E3" w:rsidP="00B849E3">
      <w:pPr>
        <w:pStyle w:val="Bibliography"/>
        <w:rPr>
          <w:rFonts w:ascii="Calibri" w:hAnsi="Calibri" w:cs="Calibri"/>
        </w:rPr>
      </w:pPr>
      <w:r w:rsidRPr="00B849E3">
        <w:rPr>
          <w:rFonts w:ascii="Calibri" w:hAnsi="Calibri" w:cs="Calibri"/>
        </w:rPr>
        <w:t xml:space="preserve">Nguyen TT, Do TL, Bühler D, Hartje R, Grote U. 2015. Rural livelihoods and environmental resource dependence in Cambodia. Ecological Economics </w:t>
      </w:r>
      <w:r w:rsidRPr="00B849E3">
        <w:rPr>
          <w:rFonts w:ascii="Calibri" w:hAnsi="Calibri" w:cs="Calibri"/>
          <w:b/>
          <w:bCs/>
        </w:rPr>
        <w:t>120</w:t>
      </w:r>
      <w:r w:rsidRPr="00B849E3">
        <w:rPr>
          <w:rFonts w:ascii="Calibri" w:hAnsi="Calibri" w:cs="Calibri"/>
        </w:rPr>
        <w:t>:282–295.</w:t>
      </w:r>
    </w:p>
    <w:p w14:paraId="12FD899F" w14:textId="77777777" w:rsidR="00B849E3" w:rsidRPr="00B849E3" w:rsidRDefault="00B849E3" w:rsidP="00B849E3">
      <w:pPr>
        <w:pStyle w:val="Bibliography"/>
        <w:rPr>
          <w:rFonts w:ascii="Calibri" w:hAnsi="Calibri" w:cs="Calibri"/>
        </w:rPr>
      </w:pPr>
      <w:r w:rsidRPr="00B849E3">
        <w:rPr>
          <w:rFonts w:ascii="Calibri" w:hAnsi="Calibri" w:cs="Calibri"/>
        </w:rPr>
        <w:t xml:space="preserve">Pendrill F, Persson UM, Godar J, Kastner T. 2019. Deforestation displaced: trade in forest-risk commodities and the prospects for a global forest transition </w:t>
      </w:r>
      <w:r w:rsidRPr="00B849E3">
        <w:rPr>
          <w:rFonts w:ascii="Calibri" w:hAnsi="Calibri" w:cs="Calibri"/>
          <w:b/>
          <w:bCs/>
        </w:rPr>
        <w:t>14</w:t>
      </w:r>
      <w:r w:rsidRPr="00B849E3">
        <w:rPr>
          <w:rFonts w:ascii="Calibri" w:hAnsi="Calibri" w:cs="Calibri"/>
        </w:rPr>
        <w:t>:055003. IOP Publishing.</w:t>
      </w:r>
    </w:p>
    <w:p w14:paraId="23954D5D"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Phillips R, Davy D. 2021. Transnational neoliberalism in Asian civil society: Microfinance and poverty in Cambodia. Page Transnational Civil Society in Asia. Routledge.</w:t>
      </w:r>
    </w:p>
    <w:p w14:paraId="31C5AFE5" w14:textId="77777777" w:rsidR="00B849E3" w:rsidRPr="00B849E3" w:rsidRDefault="00B849E3" w:rsidP="00B849E3">
      <w:pPr>
        <w:pStyle w:val="Bibliography"/>
        <w:rPr>
          <w:rFonts w:ascii="Calibri" w:hAnsi="Calibri" w:cs="Calibri"/>
        </w:rPr>
      </w:pPr>
      <w:r w:rsidRPr="00B849E3">
        <w:rPr>
          <w:rFonts w:ascii="Calibri" w:hAnsi="Calibri" w:cs="Calibri"/>
        </w:rPr>
        <w:t xml:space="preserve">Poffenberger M. 2006. People in the forest: community forestry experiences from Southeast Asia. International Journal of Environment and Sustainable Development </w:t>
      </w:r>
      <w:r w:rsidRPr="00B849E3">
        <w:rPr>
          <w:rFonts w:ascii="Calibri" w:hAnsi="Calibri" w:cs="Calibri"/>
          <w:b/>
          <w:bCs/>
        </w:rPr>
        <w:t>5</w:t>
      </w:r>
      <w:r w:rsidRPr="00B849E3">
        <w:rPr>
          <w:rFonts w:ascii="Calibri" w:hAnsi="Calibri" w:cs="Calibri"/>
        </w:rPr>
        <w:t>:57–69. Inderscience Publishers.</w:t>
      </w:r>
    </w:p>
    <w:p w14:paraId="07F9A622" w14:textId="77777777" w:rsidR="00B849E3" w:rsidRPr="00B849E3" w:rsidRDefault="00B849E3" w:rsidP="00B849E3">
      <w:pPr>
        <w:pStyle w:val="Bibliography"/>
        <w:rPr>
          <w:rFonts w:ascii="Calibri" w:hAnsi="Calibri" w:cs="Calibri"/>
        </w:rPr>
      </w:pPr>
      <w:r w:rsidRPr="00B849E3">
        <w:rPr>
          <w:rFonts w:ascii="Calibri" w:hAnsi="Calibri" w:cs="Calibri"/>
        </w:rPr>
        <w:t>Price S. 2020. War and Tropical Forests: Conservation in Areas of Armed Conflict. CRC Press.</w:t>
      </w:r>
    </w:p>
    <w:p w14:paraId="0F6713D6" w14:textId="77777777" w:rsidR="00B849E3" w:rsidRPr="00B849E3" w:rsidRDefault="00B849E3" w:rsidP="00B849E3">
      <w:pPr>
        <w:pStyle w:val="Bibliography"/>
        <w:rPr>
          <w:rFonts w:ascii="Calibri" w:hAnsi="Calibri" w:cs="Calibri"/>
        </w:rPr>
      </w:pPr>
      <w:r w:rsidRPr="00B849E3">
        <w:rPr>
          <w:rFonts w:ascii="Calibri" w:hAnsi="Calibri" w:cs="Calibri"/>
        </w:rPr>
        <w:t>QGIS Geographic Information System. 2020. Open Source Geospatial Foundation Program. Available from http://qgis.osgeo.org.</w:t>
      </w:r>
    </w:p>
    <w:p w14:paraId="0070B60A" w14:textId="77777777" w:rsidR="00B849E3" w:rsidRPr="00B849E3" w:rsidRDefault="00B849E3" w:rsidP="00B849E3">
      <w:pPr>
        <w:pStyle w:val="Bibliography"/>
        <w:rPr>
          <w:rFonts w:ascii="Calibri" w:hAnsi="Calibri" w:cs="Calibri"/>
        </w:rPr>
      </w:pPr>
      <w:r w:rsidRPr="00B849E3">
        <w:rPr>
          <w:rFonts w:ascii="Calibri" w:hAnsi="Calibri" w:cs="Calibri"/>
        </w:rPr>
        <w:t>Riedel J, Turley WS. 1999. The Politics and Economics of Transition to an Open Market Economy in Viet Nam. OECD, Paris. Available from https://www.oecd-ilibrary.org/content/paper/634117557525 (accessed October 16, 2021).</w:t>
      </w:r>
    </w:p>
    <w:p w14:paraId="7F044112" w14:textId="77777777" w:rsidR="00B849E3" w:rsidRPr="00B849E3" w:rsidRDefault="00B849E3" w:rsidP="00B849E3">
      <w:pPr>
        <w:pStyle w:val="Bibliography"/>
        <w:rPr>
          <w:rFonts w:ascii="Calibri" w:hAnsi="Calibri" w:cs="Calibri"/>
        </w:rPr>
      </w:pPr>
      <w:r w:rsidRPr="00B849E3">
        <w:rPr>
          <w:rFonts w:ascii="Calibri" w:hAnsi="Calibri" w:cs="Calibri"/>
        </w:rPr>
        <w:t xml:space="preserve">Riggs RA, Langston JD, Sayer J. 2018. Incorporating governance into forest transition frameworks to understand and influence Cambodia’s forest landscapes. Forest Policy and Economics </w:t>
      </w:r>
      <w:r w:rsidRPr="00B849E3">
        <w:rPr>
          <w:rFonts w:ascii="Calibri" w:hAnsi="Calibri" w:cs="Calibri"/>
          <w:b/>
          <w:bCs/>
        </w:rPr>
        <w:t>96</w:t>
      </w:r>
      <w:r w:rsidRPr="00B849E3">
        <w:rPr>
          <w:rFonts w:ascii="Calibri" w:hAnsi="Calibri" w:cs="Calibri"/>
        </w:rPr>
        <w:t>:19–27.</w:t>
      </w:r>
    </w:p>
    <w:p w14:paraId="61414C85" w14:textId="77777777" w:rsidR="00B849E3" w:rsidRPr="00B849E3" w:rsidRDefault="00B849E3" w:rsidP="00B849E3">
      <w:pPr>
        <w:pStyle w:val="Bibliography"/>
        <w:rPr>
          <w:rFonts w:ascii="Calibri" w:hAnsi="Calibri" w:cs="Calibri"/>
        </w:rPr>
      </w:pPr>
      <w:r w:rsidRPr="00B849E3">
        <w:rPr>
          <w:rFonts w:ascii="Calibri" w:hAnsi="Calibri" w:cs="Calibri"/>
        </w:rPr>
        <w:t xml:space="preserve">Rudel TK, Coomes OT, Moran E, Achard F, Angelsen A, Xu J, Lambin E. 2005. Forest transitions: towards a global understanding of land use change. Global Environmental Change </w:t>
      </w:r>
      <w:r w:rsidRPr="00B849E3">
        <w:rPr>
          <w:rFonts w:ascii="Calibri" w:hAnsi="Calibri" w:cs="Calibri"/>
          <w:b/>
          <w:bCs/>
        </w:rPr>
        <w:t>15</w:t>
      </w:r>
      <w:r w:rsidRPr="00B849E3">
        <w:rPr>
          <w:rFonts w:ascii="Calibri" w:hAnsi="Calibri" w:cs="Calibri"/>
        </w:rPr>
        <w:t>:23–31.</w:t>
      </w:r>
    </w:p>
    <w:p w14:paraId="21216ECC" w14:textId="77777777" w:rsidR="00B849E3" w:rsidRPr="00B849E3" w:rsidRDefault="00B849E3" w:rsidP="00B849E3">
      <w:pPr>
        <w:pStyle w:val="Bibliography"/>
        <w:rPr>
          <w:rFonts w:ascii="Calibri" w:hAnsi="Calibri" w:cs="Calibri"/>
        </w:rPr>
      </w:pPr>
      <w:r w:rsidRPr="00B849E3">
        <w:rPr>
          <w:rFonts w:ascii="Calibri" w:hAnsi="Calibri" w:cs="Calibri"/>
        </w:rPr>
        <w:t xml:space="preserve">Sodhi NS, Posa MRC, Lee TM, Bickford D, Koh LP, Brook BW. 2010. The state and conservation of Southeast Asian biodiversity. Biodiversity and Conservation </w:t>
      </w:r>
      <w:r w:rsidRPr="00B849E3">
        <w:rPr>
          <w:rFonts w:ascii="Calibri" w:hAnsi="Calibri" w:cs="Calibri"/>
          <w:b/>
          <w:bCs/>
        </w:rPr>
        <w:t>19</w:t>
      </w:r>
      <w:r w:rsidRPr="00B849E3">
        <w:rPr>
          <w:rFonts w:ascii="Calibri" w:hAnsi="Calibri" w:cs="Calibri"/>
        </w:rPr>
        <w:t>:317–328.</w:t>
      </w:r>
    </w:p>
    <w:p w14:paraId="1AA451D7" w14:textId="77777777" w:rsidR="00B849E3" w:rsidRPr="00B849E3" w:rsidRDefault="00B849E3" w:rsidP="00B849E3">
      <w:pPr>
        <w:pStyle w:val="Bibliography"/>
        <w:rPr>
          <w:rFonts w:ascii="Calibri" w:hAnsi="Calibri" w:cs="Calibri"/>
        </w:rPr>
      </w:pPr>
      <w:r w:rsidRPr="00B849E3">
        <w:rPr>
          <w:rFonts w:ascii="Calibri" w:hAnsi="Calibri" w:cs="Calibri"/>
        </w:rPr>
        <w:t>Solcomb M. 2010. An economic histroy of Cambodia in the twentieth century. NUS Press, National University of Singapore. Available from https://library.oapen.org/handle/20.500.12657/26109.</w:t>
      </w:r>
    </w:p>
    <w:p w14:paraId="2CE474C1" w14:textId="77777777" w:rsidR="00B849E3" w:rsidRPr="00B849E3" w:rsidRDefault="00B849E3" w:rsidP="00B849E3">
      <w:pPr>
        <w:pStyle w:val="Bibliography"/>
        <w:rPr>
          <w:rFonts w:ascii="Calibri" w:hAnsi="Calibri" w:cs="Calibri"/>
        </w:rPr>
      </w:pPr>
      <w:r w:rsidRPr="00B849E3">
        <w:rPr>
          <w:rFonts w:ascii="Calibri" w:hAnsi="Calibri" w:cs="Calibri"/>
        </w:rPr>
        <w:t xml:space="preserve">Stern DI. 2004. The Rise and Fall of the Environmental Kuznets Curve. World Development </w:t>
      </w:r>
      <w:r w:rsidRPr="00B849E3">
        <w:rPr>
          <w:rFonts w:ascii="Calibri" w:hAnsi="Calibri" w:cs="Calibri"/>
          <w:b/>
          <w:bCs/>
        </w:rPr>
        <w:t>32</w:t>
      </w:r>
      <w:r w:rsidRPr="00B849E3">
        <w:rPr>
          <w:rFonts w:ascii="Calibri" w:hAnsi="Calibri" w:cs="Calibri"/>
        </w:rPr>
        <w:t>:1419–1439.</w:t>
      </w:r>
    </w:p>
    <w:p w14:paraId="535FED2C" w14:textId="77777777" w:rsidR="00B849E3" w:rsidRPr="00B849E3" w:rsidRDefault="00B849E3" w:rsidP="00B849E3">
      <w:pPr>
        <w:pStyle w:val="Bibliography"/>
        <w:rPr>
          <w:rFonts w:ascii="Calibri" w:hAnsi="Calibri" w:cs="Calibri"/>
        </w:rPr>
      </w:pPr>
      <w:r w:rsidRPr="00B849E3">
        <w:rPr>
          <w:rFonts w:ascii="Calibri" w:hAnsi="Calibri" w:cs="Calibri"/>
        </w:rPr>
        <w:t xml:space="preserve">Stibig H-J, Achard F, Carboni S, Raši R, Miettinen J. 2014. Change in tropical forest cover of Southeast Asia from 1990 to 2010. Biogeosciences </w:t>
      </w:r>
      <w:r w:rsidRPr="00B849E3">
        <w:rPr>
          <w:rFonts w:ascii="Calibri" w:hAnsi="Calibri" w:cs="Calibri"/>
          <w:b/>
          <w:bCs/>
        </w:rPr>
        <w:t>11</w:t>
      </w:r>
      <w:r w:rsidRPr="00B849E3">
        <w:rPr>
          <w:rFonts w:ascii="Calibri" w:hAnsi="Calibri" w:cs="Calibri"/>
        </w:rPr>
        <w:t>:247–258. Copernicus GmbH.</w:t>
      </w:r>
    </w:p>
    <w:p w14:paraId="221AA1C1" w14:textId="77777777" w:rsidR="00B849E3" w:rsidRPr="00B849E3" w:rsidRDefault="00B849E3" w:rsidP="00B849E3">
      <w:pPr>
        <w:pStyle w:val="Bibliography"/>
        <w:rPr>
          <w:rFonts w:ascii="Calibri" w:hAnsi="Calibri" w:cs="Calibri"/>
        </w:rPr>
      </w:pPr>
      <w:r w:rsidRPr="00B849E3">
        <w:rPr>
          <w:rFonts w:ascii="Calibri" w:hAnsi="Calibri" w:cs="Calibri"/>
        </w:rPr>
        <w:t>Taylor JE, Whitney E, Zhu H. 2019. Local-economy impacts of cash crop promotion. IFAD. Available from https://www.ifad.org/en/web/knowledge/publication/asset/41374221 (accessed October 20, 2021).</w:t>
      </w:r>
    </w:p>
    <w:p w14:paraId="72BC2ABF" w14:textId="77777777" w:rsidR="00B849E3" w:rsidRPr="00B849E3" w:rsidRDefault="00B849E3" w:rsidP="00B849E3">
      <w:pPr>
        <w:pStyle w:val="Bibliography"/>
        <w:rPr>
          <w:rFonts w:ascii="Calibri" w:hAnsi="Calibri" w:cs="Calibri"/>
        </w:rPr>
      </w:pPr>
      <w:r w:rsidRPr="00B849E3">
        <w:rPr>
          <w:rFonts w:ascii="Calibri" w:hAnsi="Calibri" w:cs="Calibri"/>
        </w:rPr>
        <w:t>Vrieze P, Kuch N. 2012. Carving up Cambodia: One concesion at a time. The Cambodia Daily:4–11.</w:t>
      </w:r>
    </w:p>
    <w:p w14:paraId="37C0E616" w14:textId="77777777" w:rsidR="00B849E3" w:rsidRPr="00B849E3" w:rsidRDefault="00B849E3" w:rsidP="00B849E3">
      <w:pPr>
        <w:pStyle w:val="Bibliography"/>
        <w:rPr>
          <w:rFonts w:ascii="Calibri" w:hAnsi="Calibri" w:cs="Calibri"/>
        </w:rPr>
      </w:pPr>
      <w:r w:rsidRPr="00B849E3">
        <w:rPr>
          <w:rFonts w:ascii="Calibri" w:hAnsi="Calibri" w:cs="Calibri"/>
        </w:rPr>
        <w:t xml:space="preserve">Watson JEM, Dudley N, Segan DB, Hockings M. 2014. The performance and potential of protected areas. Nature </w:t>
      </w:r>
      <w:r w:rsidRPr="00B849E3">
        <w:rPr>
          <w:rFonts w:ascii="Calibri" w:hAnsi="Calibri" w:cs="Calibri"/>
          <w:b/>
          <w:bCs/>
        </w:rPr>
        <w:t>515</w:t>
      </w:r>
      <w:r w:rsidRPr="00B849E3">
        <w:rPr>
          <w:rFonts w:ascii="Calibri" w:hAnsi="Calibri" w:cs="Calibri"/>
        </w:rPr>
        <w:t>:67–73.</w:t>
      </w:r>
    </w:p>
    <w:p w14:paraId="7E47A7D7" w14:textId="77777777" w:rsidR="00B849E3" w:rsidRPr="00B849E3" w:rsidRDefault="00B849E3" w:rsidP="00B849E3">
      <w:pPr>
        <w:pStyle w:val="Bibliography"/>
        <w:rPr>
          <w:rFonts w:ascii="Calibri" w:hAnsi="Calibri" w:cs="Calibri"/>
        </w:rPr>
      </w:pPr>
      <w:r w:rsidRPr="00B849E3">
        <w:rPr>
          <w:rFonts w:ascii="Calibri" w:hAnsi="Calibri" w:cs="Calibri"/>
        </w:rPr>
        <w:t xml:space="preserve">Wilcove DS, Giam X, Edwards DP, Fisher B, Koh LP. 2013. Navjot’s nightmare revisited: logging, agriculture, and biodiversity in Southeast Asia. Trends in Ecology &amp; Evolution </w:t>
      </w:r>
      <w:r w:rsidRPr="00B849E3">
        <w:rPr>
          <w:rFonts w:ascii="Calibri" w:hAnsi="Calibri" w:cs="Calibri"/>
          <w:b/>
          <w:bCs/>
        </w:rPr>
        <w:t>28</w:t>
      </w:r>
      <w:r w:rsidRPr="00B849E3">
        <w:rPr>
          <w:rFonts w:ascii="Calibri" w:hAnsi="Calibri" w:cs="Calibri"/>
        </w:rPr>
        <w:t>:531–540.</w:t>
      </w:r>
    </w:p>
    <w:p w14:paraId="1DFED8BF" w14:textId="77777777" w:rsidR="00B849E3" w:rsidRPr="00B849E3" w:rsidRDefault="00B849E3" w:rsidP="00B849E3">
      <w:pPr>
        <w:pStyle w:val="Bibliography"/>
        <w:rPr>
          <w:rFonts w:ascii="Calibri" w:hAnsi="Calibri" w:cs="Calibri"/>
        </w:rPr>
      </w:pPr>
      <w:r w:rsidRPr="00B849E3">
        <w:rPr>
          <w:rFonts w:ascii="Calibri" w:hAnsi="Calibri" w:cs="Calibri"/>
        </w:rPr>
        <w:t>Williams M. 2003. Deforesting the Earth: From Prehistory to Global Crisis. University of Chicago Press.</w:t>
      </w:r>
    </w:p>
    <w:p w14:paraId="54CDD1C1" w14:textId="77777777" w:rsidR="00B849E3" w:rsidRPr="00B849E3" w:rsidRDefault="00B849E3" w:rsidP="00B849E3">
      <w:pPr>
        <w:pStyle w:val="Bibliography"/>
        <w:rPr>
          <w:rFonts w:ascii="Calibri" w:hAnsi="Calibri" w:cs="Calibri"/>
        </w:rPr>
      </w:pPr>
      <w:r w:rsidRPr="00B849E3">
        <w:rPr>
          <w:rFonts w:ascii="Calibri" w:hAnsi="Calibri" w:cs="Calibri"/>
        </w:rPr>
        <w:t>World Bank. 2014. Where have all the poor gone? Cambodia poverty assessment 2013. World Bank Group, Washington DC, USA.</w:t>
      </w:r>
    </w:p>
    <w:p w14:paraId="76F4C60E" w14:textId="77777777" w:rsidR="00B849E3" w:rsidRPr="00B849E3" w:rsidRDefault="00B849E3" w:rsidP="00B849E3">
      <w:pPr>
        <w:pStyle w:val="Bibliography"/>
        <w:rPr>
          <w:rFonts w:ascii="Calibri" w:hAnsi="Calibri" w:cs="Calibri"/>
        </w:rPr>
      </w:pPr>
      <w:r w:rsidRPr="00B849E3">
        <w:rPr>
          <w:rFonts w:ascii="Calibri" w:hAnsi="Calibri" w:cs="Calibri"/>
        </w:rPr>
        <w:t xml:space="preserve">Youn Y-C et al. 2017. Conditions of forest transition in Asian countries. Forest Policy and Economics </w:t>
      </w:r>
      <w:r w:rsidRPr="00B849E3">
        <w:rPr>
          <w:rFonts w:ascii="Calibri" w:hAnsi="Calibri" w:cs="Calibri"/>
          <w:b/>
          <w:bCs/>
        </w:rPr>
        <w:t>76</w:t>
      </w:r>
      <w:r w:rsidRPr="00B849E3">
        <w:rPr>
          <w:rFonts w:ascii="Calibri" w:hAnsi="Calibri" w:cs="Calibri"/>
        </w:rPr>
        <w:t>:14–24.</w:t>
      </w:r>
    </w:p>
    <w:p w14:paraId="275F0B56"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Zaehringer JG, Lundsgaard-Hansen L, Thein TT, Llopis JC, Tun NN, Myint W, Schneider F. 2020. The cash crop boom in southern Myanmar: tracing land use regime shifts through participatory mapping. Ecosystems and People </w:t>
      </w:r>
      <w:r w:rsidRPr="00B849E3">
        <w:rPr>
          <w:rFonts w:ascii="Calibri" w:hAnsi="Calibri" w:cs="Calibri"/>
          <w:b/>
          <w:bCs/>
        </w:rPr>
        <w:t>16</w:t>
      </w:r>
      <w:r w:rsidRPr="00B849E3">
        <w:rPr>
          <w:rFonts w:ascii="Calibri" w:hAnsi="Calibri" w:cs="Calibri"/>
        </w:rPr>
        <w:t>:36–49. Taylor &amp; Francis.</w:t>
      </w:r>
    </w:p>
    <w:p w14:paraId="0442ACA6" w14:textId="77777777" w:rsidR="00B849E3" w:rsidRPr="00B849E3" w:rsidRDefault="00B849E3" w:rsidP="00B849E3">
      <w:pPr>
        <w:pStyle w:val="Bibliography"/>
        <w:rPr>
          <w:rFonts w:ascii="Calibri" w:hAnsi="Calibri" w:cs="Calibri"/>
        </w:rPr>
      </w:pPr>
      <w:r w:rsidRPr="00B849E3">
        <w:rPr>
          <w:rFonts w:ascii="Calibri" w:hAnsi="Calibri" w:cs="Calibri"/>
        </w:rPr>
        <w:t>Zeng Z, Estes L, Ziegler AD, Chen A, Searchinger T, Hua F, Guan K, Jintrawet A, Wood EF. 2018. Highland cropland expansion and forest loss in Southeast Asia in the twenty-first century. Nature Geoscience:1.</w:t>
      </w:r>
    </w:p>
    <w:p w14:paraId="06DFD7BB" w14:textId="6851C63D" w:rsidR="00347783" w:rsidRPr="00526FE6" w:rsidRDefault="00B849E3" w:rsidP="000A46B5">
      <w:pPr>
        <w:rPr>
          <w:b/>
          <w:bCs/>
        </w:rPr>
      </w:pPr>
      <w:r>
        <w:rPr>
          <w:b/>
          <w:bCs/>
        </w:rPr>
        <w:fldChar w:fldCharType="end"/>
      </w:r>
      <w:r w:rsidR="00526FE6"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ls Bunnefeld" w:date="2021-11-16T11:04:00Z" w:initials="NB">
    <w:p w14:paraId="21935F8C" w14:textId="40331D5B" w:rsidR="00D621FA" w:rsidRDefault="00D621FA">
      <w:pPr>
        <w:pStyle w:val="CommentText"/>
      </w:pPr>
      <w:r>
        <w:rPr>
          <w:rStyle w:val="CommentReference"/>
        </w:rPr>
        <w:annotationRef/>
      </w:r>
      <w:r w:rsidR="007B1551">
        <w:t xml:space="preserve">Say in half a sentence how and in what direction. </w:t>
      </w:r>
    </w:p>
  </w:comment>
  <w:comment w:id="1" w:author="Nils Bunnefeld" w:date="2021-11-16T11:05:00Z" w:initials="NB">
    <w:p w14:paraId="1884A48D" w14:textId="603FA8AC" w:rsidR="005A29DF" w:rsidRDefault="005A29DF">
      <w:pPr>
        <w:pStyle w:val="CommentText"/>
      </w:pPr>
      <w:r>
        <w:rPr>
          <w:rStyle w:val="CommentReference"/>
        </w:rPr>
        <w:annotationRef/>
      </w:r>
      <w:r>
        <w:t xml:space="preserve">This term seems loaded, </w:t>
      </w:r>
      <w:r w:rsidR="00A471B3">
        <w:t>maybe rephrase.</w:t>
      </w:r>
    </w:p>
  </w:comment>
  <w:comment w:id="2" w:author="Nils Bunnefeld" w:date="2021-11-16T11:07:00Z" w:initials="NB">
    <w:p w14:paraId="6B053D07" w14:textId="39FE236B" w:rsidR="00F8550F" w:rsidRDefault="00F8550F">
      <w:pPr>
        <w:pStyle w:val="CommentText"/>
      </w:pPr>
      <w:r>
        <w:rPr>
          <w:rStyle w:val="CommentReference"/>
        </w:rPr>
        <w:annotationRef/>
      </w:r>
      <w:r>
        <w:t xml:space="preserve">Not as much as my previous comment, but language </w:t>
      </w:r>
      <w:proofErr w:type="gramStart"/>
      <w:r>
        <w:t>seems to infer</w:t>
      </w:r>
      <w:proofErr w:type="gramEnd"/>
      <w:r>
        <w:t xml:space="preserve"> a </w:t>
      </w:r>
      <w:r w:rsidR="009F48E1">
        <w:t xml:space="preserve">bit of frustration, maybe not ideal for a PhD thesis. </w:t>
      </w:r>
    </w:p>
  </w:comment>
  <w:comment w:id="3" w:author="Nils Bunnefeld" w:date="2021-11-16T11:10:00Z" w:initials="NB">
    <w:p w14:paraId="5A81218B" w14:textId="52B1040F" w:rsidR="00C37341" w:rsidRDefault="00C37341">
      <w:pPr>
        <w:pStyle w:val="CommentText"/>
      </w:pPr>
      <w:r>
        <w:rPr>
          <w:rStyle w:val="CommentReference"/>
        </w:rPr>
        <w:annotationRef/>
      </w:r>
      <w:r>
        <w:t xml:space="preserve">You either need to have a reference or rephrase so that it is clear that you conclude from your intro so far that this is </w:t>
      </w:r>
      <w:proofErr w:type="gramStart"/>
      <w:r>
        <w:t>important</w:t>
      </w:r>
      <w:proofErr w:type="gramEnd"/>
      <w:r>
        <w:t xml:space="preserve"> and you are going to do this in this chapter. </w:t>
      </w:r>
    </w:p>
  </w:comment>
  <w:comment w:id="10" w:author="Nils Bunnefeld" w:date="2021-11-16T11:12:00Z" w:initials="NB">
    <w:p w14:paraId="5FBF7951" w14:textId="037ED10E" w:rsidR="00083CBD" w:rsidRDefault="00083CBD">
      <w:pPr>
        <w:pStyle w:val="CommentText"/>
      </w:pPr>
      <w:r>
        <w:rPr>
          <w:rStyle w:val="CommentReference"/>
        </w:rPr>
        <w:annotationRef/>
      </w:r>
      <w:r>
        <w:t xml:space="preserve">You have said this before. Make sure that you acknowledge this… as mentioned </w:t>
      </w:r>
      <w:r w:rsidR="005D4048">
        <w:t xml:space="preserve">above for global trends, deforestation also has consequences for SEA. Alternatively, you could leave this out here because it doesn’t relate strongly to the rest of the para. </w:t>
      </w:r>
    </w:p>
  </w:comment>
  <w:comment w:id="11" w:author="Nils Bunnefeld" w:date="2021-11-16T11:13:00Z" w:initials="NB">
    <w:p w14:paraId="6D7CB1DA" w14:textId="7E05BBE0" w:rsidR="00F2363D" w:rsidRDefault="00F2363D">
      <w:pPr>
        <w:pStyle w:val="CommentText"/>
      </w:pPr>
      <w:r>
        <w:rPr>
          <w:rStyle w:val="CommentReference"/>
        </w:rPr>
        <w:annotationRef/>
      </w:r>
      <w:r>
        <w:t xml:space="preserve">I don’t think this is the place for statements that clearly express an opinion. </w:t>
      </w:r>
      <w:r w:rsidR="00E3329F">
        <w:t>Your own statements can fit in the discussion, otherwise you need to reference here and say celebrated by whom and why and how</w:t>
      </w:r>
      <w:r w:rsidR="004D5194">
        <w:t xml:space="preserve">. Or leave this sentence out here and come back to this in the discussion. </w:t>
      </w:r>
    </w:p>
  </w:comment>
  <w:comment w:id="12" w:author="Nils Bunnefeld" w:date="2021-11-16T11:16:00Z" w:initials="NB">
    <w:p w14:paraId="64F4C5D8" w14:textId="5A3D4CF5" w:rsidR="005052EC" w:rsidRDefault="005052EC">
      <w:pPr>
        <w:pStyle w:val="CommentText"/>
      </w:pPr>
      <w:r>
        <w:rPr>
          <w:rStyle w:val="CommentReference"/>
        </w:rPr>
        <w:annotationRef/>
      </w:r>
      <w:r>
        <w:t xml:space="preserve">You need to clearly distinguish between what you report from others and reference it and what you conclude is needed and thus what you are going to do here. The line between the two is too vague for me. </w:t>
      </w:r>
    </w:p>
  </w:comment>
  <w:comment w:id="15" w:author="Nils Bunnefeld" w:date="2021-11-16T11:18:00Z" w:initials="NB">
    <w:p w14:paraId="4D683C7A" w14:textId="75FEAB40" w:rsidR="001A6A5A" w:rsidRDefault="001A6A5A">
      <w:pPr>
        <w:pStyle w:val="CommentText"/>
      </w:pPr>
      <w:r>
        <w:rPr>
          <w:rStyle w:val="CommentReference"/>
        </w:rPr>
        <w:annotationRef/>
      </w:r>
      <w:r>
        <w:t xml:space="preserve">No need for emotive language here. Unless you want to say more criticism than something else, in which case you use comparative language. But on </w:t>
      </w:r>
      <w:proofErr w:type="gramStart"/>
      <w:r>
        <w:t>it’s</w:t>
      </w:r>
      <w:proofErr w:type="gramEnd"/>
      <w:r>
        <w:t xml:space="preserve"> own enormous does not add any information here. </w:t>
      </w:r>
    </w:p>
  </w:comment>
  <w:comment w:id="16" w:author="Nils Bunnefeld" w:date="2021-11-16T11:20:00Z" w:initials="NB">
    <w:p w14:paraId="73C9A9A9" w14:textId="1732DE5C" w:rsidR="0059266A" w:rsidRDefault="0059266A">
      <w:pPr>
        <w:pStyle w:val="CommentText"/>
      </w:pPr>
      <w:r>
        <w:rPr>
          <w:rStyle w:val="CommentReference"/>
        </w:rPr>
        <w:annotationRef/>
      </w:r>
      <w:r>
        <w:t xml:space="preserve">Strictly speaking you need to say swift compared to whom, but I can see that in this case you get away with it if you wanted </w:t>
      </w:r>
      <w:proofErr w:type="gramStart"/>
      <w:r>
        <w:t>to .</w:t>
      </w:r>
      <w:proofErr w:type="gramEnd"/>
      <w:r>
        <w:t xml:space="preserve"> </w:t>
      </w:r>
    </w:p>
  </w:comment>
  <w:comment w:id="18" w:author="Nils Bunnefeld" w:date="2021-11-16T11:21:00Z" w:initials="NB">
    <w:p w14:paraId="495D1F9B" w14:textId="3B591FE7" w:rsidR="0059266A" w:rsidRDefault="0059266A">
      <w:pPr>
        <w:pStyle w:val="CommentText"/>
      </w:pPr>
      <w:r>
        <w:rPr>
          <w:rStyle w:val="CommentReference"/>
        </w:rPr>
        <w:annotationRef/>
      </w:r>
      <w:r>
        <w:t xml:space="preserve">I am just deleting these extra words </w:t>
      </w:r>
      <w:proofErr w:type="gramStart"/>
      <w:r>
        <w:t>now,</w:t>
      </w:r>
      <w:proofErr w:type="gramEnd"/>
      <w:r>
        <w:t xml:space="preserve"> you get the idea why. </w:t>
      </w:r>
    </w:p>
  </w:comment>
  <w:comment w:id="20" w:author="Nils Bunnefeld" w:date="2021-11-16T11:22:00Z" w:initials="NB">
    <w:p w14:paraId="0CC1C103" w14:textId="5CC717BD" w:rsidR="003C0A4E" w:rsidRDefault="003C0A4E">
      <w:pPr>
        <w:pStyle w:val="CommentText"/>
      </w:pPr>
      <w:r>
        <w:rPr>
          <w:rStyle w:val="CommentReference"/>
        </w:rPr>
        <w:annotationRef/>
      </w:r>
      <w:r>
        <w:t xml:space="preserve">It’s fine, but I would </w:t>
      </w:r>
      <w:r w:rsidR="00C549C5">
        <w:t xml:space="preserve">add that you are going to look at this in this chapter. Make the distinction </w:t>
      </w:r>
      <w:proofErr w:type="gramStart"/>
      <w:r w:rsidR="00C549C5">
        <w:t>more clear</w:t>
      </w:r>
      <w:proofErr w:type="gramEnd"/>
      <w:r w:rsidR="00C549C5">
        <w:t xml:space="preserve">, that when you have no reference, then this is something you are going to provide answers on in this chapter. </w:t>
      </w:r>
    </w:p>
  </w:comment>
  <w:comment w:id="21" w:author="Nils Bunnefeld" w:date="2021-11-16T11:23:00Z" w:initials="NB">
    <w:p w14:paraId="78CAE039" w14:textId="3D3BCC8B" w:rsidR="00E86A5E" w:rsidRDefault="00E86A5E">
      <w:pPr>
        <w:pStyle w:val="CommentText"/>
      </w:pPr>
      <w:r>
        <w:rPr>
          <w:rStyle w:val="CommentReference"/>
        </w:rPr>
        <w:annotationRef/>
      </w:r>
      <w:r w:rsidR="00017C9B">
        <w:t xml:space="preserve">I would say in general, not only </w:t>
      </w:r>
      <w:proofErr w:type="gramStart"/>
      <w:r w:rsidR="00017C9B">
        <w:t>SEA?</w:t>
      </w:r>
      <w:proofErr w:type="gramEnd"/>
      <w:r w:rsidR="00017C9B">
        <w:t xml:space="preserve"> </w:t>
      </w:r>
    </w:p>
  </w:comment>
  <w:comment w:id="22" w:author="Matthew Nuttall" w:date="2021-10-15T11:37:00Z" w:initials="MN">
    <w:p w14:paraId="6CAA9A42" w14:textId="0F5FAEA4"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r w:rsidR="00C65E6A">
        <w:t>. There are references in the subsequent sentences to show which previous studies I refer to</w:t>
      </w:r>
    </w:p>
  </w:comment>
  <w:comment w:id="23" w:author="Nils Bunnefeld" w:date="2021-11-16T11:26:00Z" w:initials="NB">
    <w:p w14:paraId="39EDB7ED" w14:textId="3675052D" w:rsidR="00207D8C" w:rsidRDefault="00207D8C">
      <w:pPr>
        <w:pStyle w:val="CommentText"/>
      </w:pPr>
      <w:r>
        <w:rPr>
          <w:rStyle w:val="CommentReference"/>
        </w:rPr>
        <w:annotationRef/>
      </w:r>
      <w:r>
        <w:t>I would add abbreviations and their meaning in the caption</w:t>
      </w:r>
    </w:p>
  </w:comment>
  <w:comment w:id="24"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5"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26" w:author="Nils Bunnefeld" w:date="2021-11-16T11:28:00Z" w:initials="NB">
    <w:p w14:paraId="0EF57957" w14:textId="025E834F" w:rsidR="00B25CEC" w:rsidRDefault="00B25CEC">
      <w:pPr>
        <w:pStyle w:val="CommentText"/>
      </w:pPr>
      <w:r>
        <w:rPr>
          <w:rStyle w:val="CommentReference"/>
        </w:rPr>
        <w:annotationRef/>
      </w:r>
      <w:r>
        <w:t xml:space="preserve">Add years as a reminder. </w:t>
      </w:r>
    </w:p>
  </w:comment>
  <w:comment w:id="27" w:author="Nils Bunnefeld" w:date="2021-11-16T11:29:00Z" w:initials="NB">
    <w:p w14:paraId="2D4FBD57" w14:textId="4283ABA3" w:rsidR="00E12225" w:rsidRDefault="00E12225">
      <w:pPr>
        <w:pStyle w:val="CommentText"/>
      </w:pPr>
      <w:r>
        <w:rPr>
          <w:rStyle w:val="CommentReference"/>
        </w:rPr>
        <w:annotationRef/>
      </w:r>
      <w:r>
        <w:t>No ref in results needed, they are in the methods</w:t>
      </w:r>
    </w:p>
  </w:comment>
  <w:comment w:id="32" w:author="Nils Bunnefeld" w:date="2021-11-16T11:30:00Z" w:initials="NB">
    <w:p w14:paraId="636470F4" w14:textId="72D62059" w:rsidR="00DA5B11" w:rsidRDefault="00DA5B11">
      <w:pPr>
        <w:pStyle w:val="CommentText"/>
      </w:pPr>
      <w:r>
        <w:rPr>
          <w:rStyle w:val="CommentReference"/>
        </w:rPr>
        <w:annotationRef/>
      </w:r>
      <w:r>
        <w:t xml:space="preserve">I would move this to the discussion, but you could leave it here if you wanted. </w:t>
      </w:r>
      <w:r w:rsidR="008250D4">
        <w:t xml:space="preserve">The results get a bit long and wordy though. </w:t>
      </w:r>
    </w:p>
  </w:comment>
  <w:comment w:id="34" w:author="Nils Bunnefeld" w:date="2021-11-16T11:31:00Z" w:initials="NB">
    <w:p w14:paraId="1BA3F88F" w14:textId="5661CC3E" w:rsidR="008250D4" w:rsidRDefault="008250D4">
      <w:pPr>
        <w:pStyle w:val="CommentText"/>
      </w:pPr>
      <w:r>
        <w:rPr>
          <w:rStyle w:val="CommentReference"/>
        </w:rPr>
        <w:annotationRef/>
      </w:r>
      <w:r>
        <w:t xml:space="preserve">Same here. </w:t>
      </w:r>
    </w:p>
  </w:comment>
  <w:comment w:id="35" w:author="Nils Bunnefeld" w:date="2021-11-16T11:31:00Z" w:initials="NB">
    <w:p w14:paraId="041396EB" w14:textId="0E89E7B6" w:rsidR="00487F6E" w:rsidRDefault="00487F6E">
      <w:pPr>
        <w:pStyle w:val="CommentText"/>
      </w:pPr>
      <w:r>
        <w:rPr>
          <w:rStyle w:val="CommentReference"/>
        </w:rPr>
        <w:annotationRef/>
      </w:r>
      <w:r>
        <w:t xml:space="preserve">And here. </w:t>
      </w:r>
    </w:p>
  </w:comment>
  <w:comment w:id="44" w:author="Nils Bunnefeld" w:date="2021-11-16T11:32:00Z" w:initials="NB">
    <w:p w14:paraId="44B18D58" w14:textId="1AA4A744" w:rsidR="002A3321" w:rsidRDefault="002A3321">
      <w:pPr>
        <w:pStyle w:val="CommentText"/>
      </w:pPr>
      <w:r>
        <w:rPr>
          <w:rStyle w:val="CommentReference"/>
        </w:rPr>
        <w:annotationRef/>
      </w:r>
      <w:r>
        <w:t>I would leave this to the discussion.</w:t>
      </w:r>
    </w:p>
  </w:comment>
  <w:comment w:id="46" w:author="Nils Bunnefeld" w:date="2021-11-16T11:33:00Z" w:initials="NB">
    <w:p w14:paraId="6D6C51B1" w14:textId="374FCF41" w:rsidR="006539F0" w:rsidRDefault="006539F0">
      <w:pPr>
        <w:pStyle w:val="CommentText"/>
      </w:pPr>
      <w:r>
        <w:rPr>
          <w:rStyle w:val="CommentReference"/>
        </w:rPr>
        <w:annotationRef/>
      </w:r>
      <w:r>
        <w:t xml:space="preserve">Leave this to the discussion. </w:t>
      </w:r>
    </w:p>
  </w:comment>
  <w:comment w:id="47" w:author="Nils Bunnefeld" w:date="2021-11-16T11:34:00Z" w:initials="NB">
    <w:p w14:paraId="0BCED459" w14:textId="5281FBF6" w:rsidR="006539F0" w:rsidRDefault="006539F0">
      <w:pPr>
        <w:pStyle w:val="CommentText"/>
      </w:pPr>
      <w:r>
        <w:rPr>
          <w:rStyle w:val="CommentReference"/>
        </w:rPr>
        <w:annotationRef/>
      </w:r>
      <w:r>
        <w:t xml:space="preserve">And this. </w:t>
      </w:r>
    </w:p>
  </w:comment>
  <w:comment w:id="48" w:author="Nils Bunnefeld" w:date="2021-11-16T11:36:00Z" w:initials="NB">
    <w:p w14:paraId="51DD4249" w14:textId="29EF176F" w:rsidR="00771BC1" w:rsidRDefault="00771BC1">
      <w:pPr>
        <w:pStyle w:val="CommentText"/>
      </w:pPr>
      <w:r>
        <w:rPr>
          <w:rStyle w:val="CommentReference"/>
        </w:rPr>
        <w:annotationRef/>
      </w:r>
      <w:r>
        <w:t xml:space="preserve">Fig2,3,4 need to clearly show which trends are </w:t>
      </w:r>
      <w:r w:rsidR="00883BDF">
        <w:t xml:space="preserve">significant. If not significant, strictly speaking, you shouldn’t show a trend line because there is no trend. </w:t>
      </w:r>
      <w:r w:rsidR="00B55697">
        <w:t xml:space="preserve">In a thesis it’s fine to show all data, but in a paper only significant data and line plots would be shown. </w:t>
      </w:r>
    </w:p>
  </w:comment>
  <w:comment w:id="49"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50"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51" w:author="Nils Bunnefeld" w:date="2021-11-16T11:35:00Z" w:initials="NB">
    <w:p w14:paraId="059647A2" w14:textId="35567BEF" w:rsidR="00D27EC5" w:rsidRDefault="00D27EC5">
      <w:pPr>
        <w:pStyle w:val="CommentText"/>
      </w:pPr>
      <w:r>
        <w:rPr>
          <w:rStyle w:val="CommentReference"/>
        </w:rPr>
        <w:annotationRef/>
      </w:r>
      <w:r>
        <w:t xml:space="preserve">I would show them on the log scale. </w:t>
      </w:r>
      <w:r w:rsidR="00771BC1">
        <w:t xml:space="preserve">It defeats the point of the modelling if the data and models not fit. </w:t>
      </w:r>
    </w:p>
  </w:comment>
  <w:comment w:id="52" w:author="Nils Bunnefeld" w:date="2021-11-16T11:38:00Z" w:initials="NB">
    <w:p w14:paraId="61D954F9" w14:textId="0C613045" w:rsidR="0050787F" w:rsidRDefault="0050787F">
      <w:pPr>
        <w:pStyle w:val="CommentText"/>
      </w:pPr>
      <w:r>
        <w:rPr>
          <w:rStyle w:val="CommentReference"/>
        </w:rPr>
        <w:annotationRef/>
      </w:r>
      <w:r>
        <w:t xml:space="preserve">Just say which ones they are, rather than </w:t>
      </w:r>
      <w:r w:rsidR="00C23335">
        <w:t xml:space="preserve">judging that there are few…. Few in relation to what, your expectations, the selected variables you added, others added…. Too vague I would say. </w:t>
      </w:r>
    </w:p>
  </w:comment>
  <w:comment w:id="54" w:author="Nils Bunnefeld" w:date="2021-11-16T11:41:00Z" w:initials="NB">
    <w:p w14:paraId="1E95A0D6" w14:textId="6F80EC47" w:rsidR="007A0630" w:rsidRDefault="007A0630">
      <w:pPr>
        <w:pStyle w:val="CommentText"/>
      </w:pPr>
      <w:r>
        <w:rPr>
          <w:rStyle w:val="CommentReference"/>
        </w:rPr>
        <w:annotationRef/>
      </w:r>
      <w:r>
        <w:t xml:space="preserve">I would not start with the model where you found very little. I would start with the ELCs and then say </w:t>
      </w:r>
      <w:r w:rsidR="00EE4CB3">
        <w:t>you didn’t find any drivers of forest loss and how that relates to ELCs</w:t>
      </w:r>
    </w:p>
  </w:comment>
  <w:comment w:id="55" w:author="Nils Bunnefeld" w:date="2021-11-16T11:43:00Z" w:initials="NB">
    <w:p w14:paraId="27AFA742" w14:textId="7EC04600" w:rsidR="00813994" w:rsidRDefault="00813994">
      <w:pPr>
        <w:pStyle w:val="CommentText"/>
      </w:pPr>
      <w:r>
        <w:rPr>
          <w:rStyle w:val="CommentReference"/>
        </w:rPr>
        <w:annotationRef/>
      </w:r>
      <w:r>
        <w:t xml:space="preserve">Is this a sub heading under ELCs? </w:t>
      </w:r>
      <w:r w:rsidR="00165B35">
        <w:t xml:space="preserve">Would be good to make this clear. </w:t>
      </w:r>
    </w:p>
  </w:comment>
  <w:comment w:id="56" w:author="Nils Bunnefeld" w:date="2021-11-16T11:45:00Z" w:initials="NB">
    <w:p w14:paraId="7D9D89C3" w14:textId="3477D5CF" w:rsidR="00F823D9" w:rsidRDefault="00F823D9">
      <w:pPr>
        <w:pStyle w:val="CommentText"/>
      </w:pPr>
      <w:r>
        <w:rPr>
          <w:rStyle w:val="CommentReference"/>
        </w:rPr>
        <w:annotationRef/>
      </w:r>
      <w:r>
        <w:t>I would adda ref at the end, even if you use or move one down, because otherwise it is expected that it’s a result from your study.</w:t>
      </w:r>
    </w:p>
  </w:comment>
  <w:comment w:id="59" w:author="Nils Bunnefeld" w:date="2021-11-16T11:46:00Z" w:initials="NB">
    <w:p w14:paraId="3FBD445E" w14:textId="2E818C38" w:rsidR="00AF6A54" w:rsidRDefault="00AF6A54">
      <w:pPr>
        <w:pStyle w:val="CommentText"/>
      </w:pPr>
      <w:r>
        <w:rPr>
          <w:rStyle w:val="CommentReference"/>
        </w:rPr>
        <w:annotationRef/>
      </w:r>
      <w:r>
        <w:t>Predicted (it’s form your models, no</w:t>
      </w:r>
      <w:proofErr w:type="gramStart"/>
      <w:r>
        <w:t>? )</w:t>
      </w:r>
      <w:proofErr w:type="gramEnd"/>
    </w:p>
  </w:comment>
  <w:comment w:id="60" w:author="Nils Bunnefeld" w:date="2021-11-16T11:47:00Z" w:initials="NB">
    <w:p w14:paraId="7A436DE9" w14:textId="6272F638" w:rsidR="00FC2F47" w:rsidRDefault="00FC2F47">
      <w:pPr>
        <w:pStyle w:val="CommentText"/>
      </w:pPr>
      <w:r>
        <w:rPr>
          <w:rStyle w:val="CommentReference"/>
        </w:rPr>
        <w:annotationRef/>
      </w:r>
      <w:r>
        <w:t xml:space="preserve">I like these </w:t>
      </w:r>
      <w:proofErr w:type="gramStart"/>
      <w:r>
        <w:t>illust</w:t>
      </w:r>
      <w:r w:rsidR="000C4401">
        <w:t>rations,</w:t>
      </w:r>
      <w:proofErr w:type="gramEnd"/>
      <w:r w:rsidR="000C4401">
        <w:t xml:space="preserve"> I think they work well. </w:t>
      </w:r>
    </w:p>
  </w:comment>
  <w:comment w:id="61"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62"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 w:id="63" w:author="Nils Bunnefeld" w:date="2021-11-16T11:48:00Z" w:initials="NB">
    <w:p w14:paraId="79048671" w14:textId="3E162735" w:rsidR="002F296A" w:rsidRDefault="002F296A">
      <w:pPr>
        <w:pStyle w:val="CommentText"/>
      </w:pPr>
      <w:r>
        <w:rPr>
          <w:rStyle w:val="CommentReference"/>
        </w:rPr>
        <w:annotationRef/>
      </w:r>
      <w:r>
        <w:t xml:space="preserve">This is not an informative heading. </w:t>
      </w:r>
    </w:p>
  </w:comment>
  <w:comment w:id="64" w:author="Nils Bunnefeld" w:date="2021-11-16T11:48:00Z" w:initials="NB">
    <w:p w14:paraId="68D59F53" w14:textId="674CDE75" w:rsidR="00932AF6" w:rsidRDefault="00932AF6">
      <w:pPr>
        <w:pStyle w:val="CommentText"/>
      </w:pPr>
      <w:r>
        <w:rPr>
          <w:rStyle w:val="CommentReference"/>
        </w:rPr>
        <w:annotationRef/>
      </w:r>
      <w:r>
        <w:t xml:space="preserve">Ha, this is what I would expect if you </w:t>
      </w:r>
      <w:proofErr w:type="gramStart"/>
      <w:r>
        <w:t>use</w:t>
      </w:r>
      <w:proofErr w:type="gramEnd"/>
      <w:r>
        <w:t xml:space="preserve"> the word swift, a nice comparison. </w:t>
      </w:r>
    </w:p>
  </w:comment>
  <w:comment w:id="65" w:author="Nils Bunnefeld" w:date="2021-11-16T11:49:00Z" w:initials="NB">
    <w:p w14:paraId="7FADFB54" w14:textId="3C5F6D16" w:rsidR="0042188D" w:rsidRDefault="0042188D">
      <w:pPr>
        <w:pStyle w:val="CommentText"/>
      </w:pPr>
      <w:r>
        <w:rPr>
          <w:rStyle w:val="CommentReference"/>
        </w:rPr>
        <w:annotationRef/>
      </w:r>
      <w:r>
        <w:t>Popula</w:t>
      </w:r>
      <w:r w:rsidR="00030438">
        <w:t>r</w:t>
      </w:r>
      <w:r>
        <w:t xml:space="preserve"> among who</w:t>
      </w:r>
      <w:r w:rsidR="00030438">
        <w:t xml:space="preserve">m, compared to </w:t>
      </w:r>
      <w:proofErr w:type="gramStart"/>
      <w:r w:rsidR="00030438">
        <w:t>what ?</w:t>
      </w:r>
      <w:proofErr w:type="gramEnd"/>
      <w:r w:rsidR="00030438">
        <w:t xml:space="preserve"> </w:t>
      </w:r>
    </w:p>
  </w:comment>
  <w:comment w:id="66" w:author="Nils Bunnefeld" w:date="2021-11-16T11:50:00Z" w:initials="NB">
    <w:p w14:paraId="352D0ECC" w14:textId="135B2E9E" w:rsidR="00F0501A" w:rsidRDefault="00F0501A">
      <w:pPr>
        <w:pStyle w:val="CommentText"/>
      </w:pPr>
      <w:r>
        <w:rPr>
          <w:rStyle w:val="CommentReference"/>
        </w:rPr>
        <w:annotationRef/>
      </w:r>
      <w:r>
        <w:t xml:space="preserve">Seems </w:t>
      </w:r>
      <w:proofErr w:type="gramStart"/>
      <w:r>
        <w:t>pretty vague</w:t>
      </w:r>
      <w:proofErr w:type="gramEnd"/>
      <w:r>
        <w:t xml:space="preserve"> statement to me. Or it is meant motivational, which is not ideal here. Maybe delete this? </w:t>
      </w:r>
    </w:p>
  </w:comment>
  <w:comment w:id="67" w:author="Nils Bunnefeld" w:date="2021-11-16T11:51:00Z" w:initials="NB">
    <w:p w14:paraId="6A1E2755" w14:textId="2EFC678A" w:rsidR="00AA479C" w:rsidRDefault="00AA479C">
      <w:pPr>
        <w:pStyle w:val="CommentText"/>
      </w:pPr>
      <w:r>
        <w:rPr>
          <w:rStyle w:val="CommentReference"/>
        </w:rPr>
        <w:annotationRef/>
      </w:r>
      <w:r>
        <w:t xml:space="preserve">Why perhaps? If based on your assessment, then go for it, or you can say based on the literature etc. I would not use perhaps which is vague and unclear why you are not sure. </w:t>
      </w:r>
    </w:p>
  </w:comment>
  <w:comment w:id="68" w:author="Nils Bunnefeld" w:date="2021-11-16T11:52:00Z" w:initials="NB">
    <w:p w14:paraId="29293EB4" w14:textId="3622DE3A" w:rsidR="004D465D" w:rsidRDefault="004D465D">
      <w:pPr>
        <w:pStyle w:val="CommentText"/>
      </w:pPr>
      <w:r>
        <w:rPr>
          <w:rStyle w:val="CommentReference"/>
        </w:rPr>
        <w:annotationRef/>
      </w:r>
      <w:r>
        <w:t>Have not been decreasing over the last xx years</w:t>
      </w:r>
      <w:r w:rsidR="002D6A26">
        <w:t xml:space="preserve">. This is too vague and needs to more specific. </w:t>
      </w:r>
    </w:p>
  </w:comment>
  <w:comment w:id="69" w:author="Nils Bunnefeld" w:date="2021-11-16T11:54:00Z" w:initials="NB">
    <w:p w14:paraId="27216A94" w14:textId="4493EC41" w:rsidR="00626B93" w:rsidRDefault="00626B93">
      <w:pPr>
        <w:pStyle w:val="CommentText"/>
      </w:pPr>
      <w:r>
        <w:rPr>
          <w:rStyle w:val="CommentReference"/>
        </w:rPr>
        <w:annotationRef/>
      </w:r>
      <w:r>
        <w:t xml:space="preserve">This seems to me too vague, feels a bit of </w:t>
      </w:r>
      <w:r w:rsidR="00BD08B7">
        <w:t xml:space="preserve">motivational and almost a bit of </w:t>
      </w:r>
      <w:proofErr w:type="spellStart"/>
      <w:r w:rsidR="00BD08B7">
        <w:t>accusational</w:t>
      </w:r>
      <w:proofErr w:type="spellEnd"/>
      <w:proofErr w:type="gramStart"/>
      <w:r w:rsidR="00BD08B7">
        <w:t xml:space="preserv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35F8C" w15:done="0"/>
  <w15:commentEx w15:paraId="1884A48D" w15:done="0"/>
  <w15:commentEx w15:paraId="6B053D07" w15:done="0"/>
  <w15:commentEx w15:paraId="5A81218B" w15:done="0"/>
  <w15:commentEx w15:paraId="5FBF7951" w15:done="0"/>
  <w15:commentEx w15:paraId="6D7CB1DA" w15:done="0"/>
  <w15:commentEx w15:paraId="64F4C5D8" w15:done="0"/>
  <w15:commentEx w15:paraId="4D683C7A" w15:done="0"/>
  <w15:commentEx w15:paraId="73C9A9A9" w15:done="0"/>
  <w15:commentEx w15:paraId="495D1F9B" w15:done="0"/>
  <w15:commentEx w15:paraId="0CC1C103" w15:done="0"/>
  <w15:commentEx w15:paraId="78CAE039" w15:done="0"/>
  <w15:commentEx w15:paraId="6CAA9A42" w15:done="0"/>
  <w15:commentEx w15:paraId="39EDB7ED" w15:done="0"/>
  <w15:commentEx w15:paraId="2D5FA456" w15:done="0"/>
  <w15:commentEx w15:paraId="6CB6EAF2" w15:paraIdParent="2D5FA456" w15:done="0"/>
  <w15:commentEx w15:paraId="0EF57957" w15:done="0"/>
  <w15:commentEx w15:paraId="2D4FBD57" w15:done="0"/>
  <w15:commentEx w15:paraId="636470F4" w15:done="0"/>
  <w15:commentEx w15:paraId="1BA3F88F" w15:done="0"/>
  <w15:commentEx w15:paraId="041396EB" w15:done="0"/>
  <w15:commentEx w15:paraId="44B18D58" w15:done="0"/>
  <w15:commentEx w15:paraId="6D6C51B1" w15:done="0"/>
  <w15:commentEx w15:paraId="0BCED459" w15:done="0"/>
  <w15:commentEx w15:paraId="51DD4249" w15:done="0"/>
  <w15:commentEx w15:paraId="60B0B8AE" w15:done="0"/>
  <w15:commentEx w15:paraId="010198B6" w15:paraIdParent="60B0B8AE" w15:done="0"/>
  <w15:commentEx w15:paraId="059647A2" w15:paraIdParent="60B0B8AE" w15:done="0"/>
  <w15:commentEx w15:paraId="61D954F9" w15:done="0"/>
  <w15:commentEx w15:paraId="1E95A0D6" w15:done="0"/>
  <w15:commentEx w15:paraId="27AFA742" w15:done="0"/>
  <w15:commentEx w15:paraId="7D9D89C3" w15:done="0"/>
  <w15:commentEx w15:paraId="3FBD445E" w15:done="0"/>
  <w15:commentEx w15:paraId="7A436DE9" w15:done="0"/>
  <w15:commentEx w15:paraId="6EB9E1FD" w15:done="0"/>
  <w15:commentEx w15:paraId="56911E07" w15:paraIdParent="6EB9E1FD" w15:done="0"/>
  <w15:commentEx w15:paraId="79048671" w15:done="0"/>
  <w15:commentEx w15:paraId="68D59F53" w15:done="0"/>
  <w15:commentEx w15:paraId="7FADFB54" w15:done="0"/>
  <w15:commentEx w15:paraId="352D0ECC" w15:done="0"/>
  <w15:commentEx w15:paraId="6A1E2755" w15:done="0"/>
  <w15:commentEx w15:paraId="29293EB4" w15:done="0"/>
  <w15:commentEx w15:paraId="27216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0ECC" w16cex:dateUtc="2021-11-16T11:04:00Z"/>
  <w16cex:commentExtensible w16cex:durableId="253E0F0D" w16cex:dateUtc="2021-11-16T11:05:00Z"/>
  <w16cex:commentExtensible w16cex:durableId="253E0F5D" w16cex:dateUtc="2021-11-16T11:07:00Z"/>
  <w16cex:commentExtensible w16cex:durableId="253E1019" w16cex:dateUtc="2021-11-16T11:10:00Z"/>
  <w16cex:commentExtensible w16cex:durableId="253E1087" w16cex:dateUtc="2021-11-16T11:12:00Z"/>
  <w16cex:commentExtensible w16cex:durableId="253E10F6" w16cex:dateUtc="2021-11-16T11:13:00Z"/>
  <w16cex:commentExtensible w16cex:durableId="253E11A2" w16cex:dateUtc="2021-11-16T11:16:00Z"/>
  <w16cex:commentExtensible w16cex:durableId="253E1204" w16cex:dateUtc="2021-11-16T11:18:00Z"/>
  <w16cex:commentExtensible w16cex:durableId="253E1261" w16cex:dateUtc="2021-11-16T11:20:00Z"/>
  <w16cex:commentExtensible w16cex:durableId="253E129E" w16cex:dateUtc="2021-11-16T11:21:00Z"/>
  <w16cex:commentExtensible w16cex:durableId="253E12E5" w16cex:dateUtc="2021-11-16T11:22:00Z"/>
  <w16cex:commentExtensible w16cex:durableId="253E133C" w16cex:dateUtc="2021-11-16T11:23:00Z"/>
  <w16cex:commentExtensible w16cex:durableId="2513E68F" w16cex:dateUtc="2021-10-15T10:37:00Z"/>
  <w16cex:commentExtensible w16cex:durableId="253E13F1" w16cex:dateUtc="2021-11-16T11:26:00Z"/>
  <w16cex:commentExtensible w16cex:durableId="24FEE438" w16cex:dateUtc="2021-09-29T12:10:00Z"/>
  <w16cex:commentExtensible w16cex:durableId="25151A60" w16cex:dateUtc="2021-10-16T08:31:00Z"/>
  <w16cex:commentExtensible w16cex:durableId="253E1465" w16cex:dateUtc="2021-11-16T11:28:00Z"/>
  <w16cex:commentExtensible w16cex:durableId="253E1480" w16cex:dateUtc="2021-11-16T11:29:00Z"/>
  <w16cex:commentExtensible w16cex:durableId="253E14D6" w16cex:dateUtc="2021-11-16T11:30:00Z"/>
  <w16cex:commentExtensible w16cex:durableId="253E150B" w16cex:dateUtc="2021-11-16T11:31:00Z"/>
  <w16cex:commentExtensible w16cex:durableId="253E1518" w16cex:dateUtc="2021-11-16T11:31:00Z"/>
  <w16cex:commentExtensible w16cex:durableId="253E156B" w16cex:dateUtc="2021-11-16T11:32:00Z"/>
  <w16cex:commentExtensible w16cex:durableId="253E159F" w16cex:dateUtc="2021-11-16T11:33:00Z"/>
  <w16cex:commentExtensible w16cex:durableId="253E15A9" w16cex:dateUtc="2021-11-16T11:34:00Z"/>
  <w16cex:commentExtensible w16cex:durableId="253E1637" w16cex:dateUtc="2021-11-16T11:36:00Z"/>
  <w16cex:commentExtensible w16cex:durableId="24FEFA42" w16cex:dateUtc="2021-09-29T13:44:00Z"/>
  <w16cex:commentExtensible w16cex:durableId="25151CCF" w16cex:dateUtc="2021-10-16T08:41:00Z"/>
  <w16cex:commentExtensible w16cex:durableId="253E15F8" w16cex:dateUtc="2021-11-16T11:35:00Z"/>
  <w16cex:commentExtensible w16cex:durableId="253E16C3" w16cex:dateUtc="2021-11-16T11:38:00Z"/>
  <w16cex:commentExtensible w16cex:durableId="253E176D" w16cex:dateUtc="2021-11-16T11:41:00Z"/>
  <w16cex:commentExtensible w16cex:durableId="253E17DD" w16cex:dateUtc="2021-11-16T11:43:00Z"/>
  <w16cex:commentExtensible w16cex:durableId="253E1850" w16cex:dateUtc="2021-11-16T11:45:00Z"/>
  <w16cex:commentExtensible w16cex:durableId="253E1893" w16cex:dateUtc="2021-11-16T11:46:00Z"/>
  <w16cex:commentExtensible w16cex:durableId="253E18C8" w16cex:dateUtc="2021-11-16T11:47:00Z"/>
  <w16cex:commentExtensible w16cex:durableId="24FEFF7F" w16cex:dateUtc="2021-09-29T14:06:00Z"/>
  <w16cex:commentExtensible w16cex:durableId="25156F9F" w16cex:dateUtc="2021-10-16T14:34:00Z"/>
  <w16cex:commentExtensible w16cex:durableId="253E190D" w16cex:dateUtc="2021-11-16T11:48:00Z"/>
  <w16cex:commentExtensible w16cex:durableId="253E1928" w16cex:dateUtc="2021-11-16T11:48:00Z"/>
  <w16cex:commentExtensible w16cex:durableId="253E1954" w16cex:dateUtc="2021-11-16T11:49:00Z"/>
  <w16cex:commentExtensible w16cex:durableId="253E198E" w16cex:dateUtc="2021-11-16T11:50:00Z"/>
  <w16cex:commentExtensible w16cex:durableId="253E19B6" w16cex:dateUtc="2021-11-16T11:51:00Z"/>
  <w16cex:commentExtensible w16cex:durableId="253E1A0D" w16cex:dateUtc="2021-11-16T11:52:00Z"/>
  <w16cex:commentExtensible w16cex:durableId="253E1A5B" w16cex:dateUtc="2021-11-16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35F8C" w16cid:durableId="253E0ECC"/>
  <w16cid:commentId w16cid:paraId="1884A48D" w16cid:durableId="253E0F0D"/>
  <w16cid:commentId w16cid:paraId="6B053D07" w16cid:durableId="253E0F5D"/>
  <w16cid:commentId w16cid:paraId="5A81218B" w16cid:durableId="253E1019"/>
  <w16cid:commentId w16cid:paraId="5FBF7951" w16cid:durableId="253E1087"/>
  <w16cid:commentId w16cid:paraId="6D7CB1DA" w16cid:durableId="253E10F6"/>
  <w16cid:commentId w16cid:paraId="64F4C5D8" w16cid:durableId="253E11A2"/>
  <w16cid:commentId w16cid:paraId="4D683C7A" w16cid:durableId="253E1204"/>
  <w16cid:commentId w16cid:paraId="73C9A9A9" w16cid:durableId="253E1261"/>
  <w16cid:commentId w16cid:paraId="495D1F9B" w16cid:durableId="253E129E"/>
  <w16cid:commentId w16cid:paraId="0CC1C103" w16cid:durableId="253E12E5"/>
  <w16cid:commentId w16cid:paraId="78CAE039" w16cid:durableId="253E133C"/>
  <w16cid:commentId w16cid:paraId="6CAA9A42" w16cid:durableId="2513E68F"/>
  <w16cid:commentId w16cid:paraId="39EDB7ED" w16cid:durableId="253E13F1"/>
  <w16cid:commentId w16cid:paraId="2D5FA456" w16cid:durableId="24FEE438"/>
  <w16cid:commentId w16cid:paraId="6CB6EAF2" w16cid:durableId="25151A60"/>
  <w16cid:commentId w16cid:paraId="0EF57957" w16cid:durableId="253E1465"/>
  <w16cid:commentId w16cid:paraId="2D4FBD57" w16cid:durableId="253E1480"/>
  <w16cid:commentId w16cid:paraId="636470F4" w16cid:durableId="253E14D6"/>
  <w16cid:commentId w16cid:paraId="1BA3F88F" w16cid:durableId="253E150B"/>
  <w16cid:commentId w16cid:paraId="041396EB" w16cid:durableId="253E1518"/>
  <w16cid:commentId w16cid:paraId="44B18D58" w16cid:durableId="253E156B"/>
  <w16cid:commentId w16cid:paraId="6D6C51B1" w16cid:durableId="253E159F"/>
  <w16cid:commentId w16cid:paraId="0BCED459" w16cid:durableId="253E15A9"/>
  <w16cid:commentId w16cid:paraId="51DD4249" w16cid:durableId="253E1637"/>
  <w16cid:commentId w16cid:paraId="60B0B8AE" w16cid:durableId="24FEFA42"/>
  <w16cid:commentId w16cid:paraId="010198B6" w16cid:durableId="25151CCF"/>
  <w16cid:commentId w16cid:paraId="059647A2" w16cid:durableId="253E15F8"/>
  <w16cid:commentId w16cid:paraId="61D954F9" w16cid:durableId="253E16C3"/>
  <w16cid:commentId w16cid:paraId="1E95A0D6" w16cid:durableId="253E176D"/>
  <w16cid:commentId w16cid:paraId="27AFA742" w16cid:durableId="253E17DD"/>
  <w16cid:commentId w16cid:paraId="7D9D89C3" w16cid:durableId="253E1850"/>
  <w16cid:commentId w16cid:paraId="3FBD445E" w16cid:durableId="253E1893"/>
  <w16cid:commentId w16cid:paraId="7A436DE9" w16cid:durableId="253E18C8"/>
  <w16cid:commentId w16cid:paraId="6EB9E1FD" w16cid:durableId="24FEFF7F"/>
  <w16cid:commentId w16cid:paraId="56911E07" w16cid:durableId="25156F9F"/>
  <w16cid:commentId w16cid:paraId="79048671" w16cid:durableId="253E190D"/>
  <w16cid:commentId w16cid:paraId="68D59F53" w16cid:durableId="253E1928"/>
  <w16cid:commentId w16cid:paraId="7FADFB54" w16cid:durableId="253E1954"/>
  <w16cid:commentId w16cid:paraId="352D0ECC" w16cid:durableId="253E198E"/>
  <w16cid:commentId w16cid:paraId="6A1E2755" w16cid:durableId="253E19B6"/>
  <w16cid:commentId w16cid:paraId="29293EB4" w16cid:durableId="253E1A0D"/>
  <w16cid:commentId w16cid:paraId="27216A94" w16cid:durableId="253E1A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17C9B"/>
    <w:rsid w:val="00030438"/>
    <w:rsid w:val="00046338"/>
    <w:rsid w:val="00050B93"/>
    <w:rsid w:val="00083CBD"/>
    <w:rsid w:val="000A29B4"/>
    <w:rsid w:val="000A46B5"/>
    <w:rsid w:val="000B1FE5"/>
    <w:rsid w:val="000C4401"/>
    <w:rsid w:val="000E2087"/>
    <w:rsid w:val="000E32E5"/>
    <w:rsid w:val="001272BE"/>
    <w:rsid w:val="00131C5D"/>
    <w:rsid w:val="00141381"/>
    <w:rsid w:val="001564FE"/>
    <w:rsid w:val="00165B35"/>
    <w:rsid w:val="001A6A5A"/>
    <w:rsid w:val="001A6F37"/>
    <w:rsid w:val="001B2E6F"/>
    <w:rsid w:val="001D4CBF"/>
    <w:rsid w:val="001E2F1B"/>
    <w:rsid w:val="001F2B94"/>
    <w:rsid w:val="00207D8C"/>
    <w:rsid w:val="00207E3B"/>
    <w:rsid w:val="002238D4"/>
    <w:rsid w:val="00261C3D"/>
    <w:rsid w:val="00296541"/>
    <w:rsid w:val="002A3321"/>
    <w:rsid w:val="002D02E5"/>
    <w:rsid w:val="002D6A26"/>
    <w:rsid w:val="002E4677"/>
    <w:rsid w:val="002F296A"/>
    <w:rsid w:val="00316ABA"/>
    <w:rsid w:val="003205E2"/>
    <w:rsid w:val="00347783"/>
    <w:rsid w:val="00351418"/>
    <w:rsid w:val="0036712C"/>
    <w:rsid w:val="00381FF1"/>
    <w:rsid w:val="003B7206"/>
    <w:rsid w:val="003C0A4E"/>
    <w:rsid w:val="003D5F3C"/>
    <w:rsid w:val="00406839"/>
    <w:rsid w:val="00415058"/>
    <w:rsid w:val="0042188D"/>
    <w:rsid w:val="00425E0A"/>
    <w:rsid w:val="0042633E"/>
    <w:rsid w:val="004663FA"/>
    <w:rsid w:val="004705A9"/>
    <w:rsid w:val="004740E7"/>
    <w:rsid w:val="00487F6E"/>
    <w:rsid w:val="004C2131"/>
    <w:rsid w:val="004C71CC"/>
    <w:rsid w:val="004D465D"/>
    <w:rsid w:val="004D5194"/>
    <w:rsid w:val="005052EC"/>
    <w:rsid w:val="0050787F"/>
    <w:rsid w:val="005252BE"/>
    <w:rsid w:val="00526FE6"/>
    <w:rsid w:val="00537AE8"/>
    <w:rsid w:val="005620D2"/>
    <w:rsid w:val="00562B5B"/>
    <w:rsid w:val="005760C1"/>
    <w:rsid w:val="0059266A"/>
    <w:rsid w:val="005A24EE"/>
    <w:rsid w:val="005A29DF"/>
    <w:rsid w:val="005C1D76"/>
    <w:rsid w:val="005C460B"/>
    <w:rsid w:val="005D4048"/>
    <w:rsid w:val="005F7FE3"/>
    <w:rsid w:val="00626B93"/>
    <w:rsid w:val="0064115C"/>
    <w:rsid w:val="00643D5E"/>
    <w:rsid w:val="006539F0"/>
    <w:rsid w:val="00667CED"/>
    <w:rsid w:val="006A1042"/>
    <w:rsid w:val="006A5CDB"/>
    <w:rsid w:val="006C7758"/>
    <w:rsid w:val="006E1ED5"/>
    <w:rsid w:val="006F2311"/>
    <w:rsid w:val="006F2802"/>
    <w:rsid w:val="00721329"/>
    <w:rsid w:val="0072569A"/>
    <w:rsid w:val="00771BC1"/>
    <w:rsid w:val="007739D7"/>
    <w:rsid w:val="007760EE"/>
    <w:rsid w:val="0079611B"/>
    <w:rsid w:val="007A0630"/>
    <w:rsid w:val="007A4E6E"/>
    <w:rsid w:val="007B1551"/>
    <w:rsid w:val="007C7AA3"/>
    <w:rsid w:val="007D0A39"/>
    <w:rsid w:val="007D5AEB"/>
    <w:rsid w:val="007D6A50"/>
    <w:rsid w:val="007E4D4B"/>
    <w:rsid w:val="007F1C9B"/>
    <w:rsid w:val="00801E63"/>
    <w:rsid w:val="008064C8"/>
    <w:rsid w:val="00811B11"/>
    <w:rsid w:val="00811E4E"/>
    <w:rsid w:val="00813994"/>
    <w:rsid w:val="00822264"/>
    <w:rsid w:val="008250D4"/>
    <w:rsid w:val="00883BDF"/>
    <w:rsid w:val="00892E24"/>
    <w:rsid w:val="00894AFB"/>
    <w:rsid w:val="0089542A"/>
    <w:rsid w:val="008B3DA9"/>
    <w:rsid w:val="008B6ED5"/>
    <w:rsid w:val="008C58A9"/>
    <w:rsid w:val="008E0F3D"/>
    <w:rsid w:val="009252A0"/>
    <w:rsid w:val="00932AF6"/>
    <w:rsid w:val="0093383C"/>
    <w:rsid w:val="009436B4"/>
    <w:rsid w:val="00947237"/>
    <w:rsid w:val="009F455B"/>
    <w:rsid w:val="009F48E1"/>
    <w:rsid w:val="00A11214"/>
    <w:rsid w:val="00A471B3"/>
    <w:rsid w:val="00A54C9C"/>
    <w:rsid w:val="00A81029"/>
    <w:rsid w:val="00A8102F"/>
    <w:rsid w:val="00AA479C"/>
    <w:rsid w:val="00AD3F12"/>
    <w:rsid w:val="00AD70AA"/>
    <w:rsid w:val="00AF2607"/>
    <w:rsid w:val="00AF6A54"/>
    <w:rsid w:val="00B00DDB"/>
    <w:rsid w:val="00B206A3"/>
    <w:rsid w:val="00B25CEC"/>
    <w:rsid w:val="00B55697"/>
    <w:rsid w:val="00B5750E"/>
    <w:rsid w:val="00B66116"/>
    <w:rsid w:val="00B82439"/>
    <w:rsid w:val="00B849E3"/>
    <w:rsid w:val="00BA731E"/>
    <w:rsid w:val="00BD08B7"/>
    <w:rsid w:val="00BF6BF7"/>
    <w:rsid w:val="00C039EE"/>
    <w:rsid w:val="00C16DA9"/>
    <w:rsid w:val="00C23335"/>
    <w:rsid w:val="00C3282B"/>
    <w:rsid w:val="00C37341"/>
    <w:rsid w:val="00C549C5"/>
    <w:rsid w:val="00C65931"/>
    <w:rsid w:val="00C65E6A"/>
    <w:rsid w:val="00C831FB"/>
    <w:rsid w:val="00C84941"/>
    <w:rsid w:val="00C95BE8"/>
    <w:rsid w:val="00CB0FA6"/>
    <w:rsid w:val="00CC4F5A"/>
    <w:rsid w:val="00CD4BBD"/>
    <w:rsid w:val="00D225BC"/>
    <w:rsid w:val="00D27EC5"/>
    <w:rsid w:val="00D621FA"/>
    <w:rsid w:val="00D807A0"/>
    <w:rsid w:val="00D90A79"/>
    <w:rsid w:val="00D955C9"/>
    <w:rsid w:val="00DA5B11"/>
    <w:rsid w:val="00DB2B52"/>
    <w:rsid w:val="00DC13AB"/>
    <w:rsid w:val="00DD0C5C"/>
    <w:rsid w:val="00DD2646"/>
    <w:rsid w:val="00DE2591"/>
    <w:rsid w:val="00E12225"/>
    <w:rsid w:val="00E23AF3"/>
    <w:rsid w:val="00E30129"/>
    <w:rsid w:val="00E3329F"/>
    <w:rsid w:val="00E33FCE"/>
    <w:rsid w:val="00E64809"/>
    <w:rsid w:val="00E64AFA"/>
    <w:rsid w:val="00E82045"/>
    <w:rsid w:val="00E86A5E"/>
    <w:rsid w:val="00EB3FD0"/>
    <w:rsid w:val="00EE4B81"/>
    <w:rsid w:val="00EE4CB3"/>
    <w:rsid w:val="00EF0EDF"/>
    <w:rsid w:val="00EF1213"/>
    <w:rsid w:val="00F0501A"/>
    <w:rsid w:val="00F05DBA"/>
    <w:rsid w:val="00F114D0"/>
    <w:rsid w:val="00F12033"/>
    <w:rsid w:val="00F1302E"/>
    <w:rsid w:val="00F2363D"/>
    <w:rsid w:val="00F40B07"/>
    <w:rsid w:val="00F4635E"/>
    <w:rsid w:val="00F513EE"/>
    <w:rsid w:val="00F55680"/>
    <w:rsid w:val="00F63159"/>
    <w:rsid w:val="00F823D9"/>
    <w:rsid w:val="00F8550F"/>
    <w:rsid w:val="00FB65AB"/>
    <w:rsid w:val="00FC0B89"/>
    <w:rsid w:val="00FC2F47"/>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51367</Words>
  <Characters>292798</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Bunnefeld</dc:creator>
  <cp:keywords/>
  <dc:description/>
  <cp:lastModifiedBy>Nils Bunnefeld</cp:lastModifiedBy>
  <cp:revision>59</cp:revision>
  <dcterms:created xsi:type="dcterms:W3CDTF">2021-11-16T11:03:00Z</dcterms:created>
  <dcterms:modified xsi:type="dcterms:W3CDTF">2021-11-16T11:55:00Z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id="XVU51WBH"/&gt;&lt;style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