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0420F" w14:textId="443C5563" w:rsidR="00E33FCE" w:rsidRPr="00E33FCE" w:rsidRDefault="00E33FCE">
      <w:pPr>
        <w:rPr>
          <w:b/>
          <w:bCs/>
          <w:sz w:val="24"/>
          <w:szCs w:val="24"/>
        </w:rPr>
      </w:pPr>
      <w:r w:rsidRPr="00E33FCE">
        <w:rPr>
          <w:b/>
          <w:bCs/>
          <w:sz w:val="24"/>
          <w:szCs w:val="24"/>
        </w:rPr>
        <w:t xml:space="preserve">Chapter </w:t>
      </w:r>
      <w:r w:rsidR="0038235D">
        <w:rPr>
          <w:b/>
          <w:bCs/>
          <w:sz w:val="24"/>
          <w:szCs w:val="24"/>
        </w:rPr>
        <w:t>2</w:t>
      </w:r>
    </w:p>
    <w:p w14:paraId="65DDFC89" w14:textId="733BB280" w:rsidR="00612128" w:rsidRDefault="000A0B92">
      <w:pPr>
        <w:rPr>
          <w:b/>
          <w:bCs/>
        </w:rPr>
      </w:pPr>
      <w:r>
        <w:rPr>
          <w:b/>
          <w:bCs/>
        </w:rPr>
        <w:t xml:space="preserve">2.1 </w:t>
      </w:r>
      <w:r w:rsidR="000A46B5">
        <w:rPr>
          <w:b/>
          <w:bCs/>
        </w:rPr>
        <w:t>I</w:t>
      </w:r>
      <w:r>
        <w:rPr>
          <w:b/>
          <w:bCs/>
        </w:rPr>
        <w:t>NTRODUCTION</w:t>
      </w:r>
    </w:p>
    <w:p w14:paraId="16FEF78C" w14:textId="68299755" w:rsidR="0042633E" w:rsidRDefault="00DB2B52">
      <w:r>
        <w:t xml:space="preserve">Deforestation from human activities is one of the </w:t>
      </w:r>
      <w:r w:rsidR="000B1FE5">
        <w:t>greatest</w:t>
      </w:r>
      <w:r>
        <w:t xml:space="preserve"> threats to biodiversity</w:t>
      </w:r>
      <w:r w:rsidR="00811E4E">
        <w:t xml:space="preserve"> around the world </w:t>
      </w:r>
      <w:r w:rsidR="00811E4E">
        <w:fldChar w:fldCharType="begin"/>
      </w:r>
      <w:r w:rsidR="00811E4E">
        <w:instrText xml:space="preserve"> ADDIN ZOTERO_ITEM CSL_CITATION {"citationID":"XspUBFGQ","properties":{"formattedCitation":"(Estoque et al. 2019; Hoang &amp; Kanemoto 2021)","plainCitation":"(Estoque et al. 2019; Hoang &amp; Kanemoto 2021)","noteIndex":0},"citationItems":[{"id":2193,"uris":["http://zotero.org/users/2170232/items/XLXDWBAC"],"uri":["http://zotero.org/users/2170232/items/XLXDWBAC"],"itemData":{"id":2193,"type":"article-journal","abstract":"While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811E4E">
        <w:fldChar w:fldCharType="separate"/>
      </w:r>
      <w:r w:rsidR="00811E4E" w:rsidRPr="00811E4E">
        <w:rPr>
          <w:rFonts w:ascii="Calibri" w:hAnsi="Calibri" w:cs="Calibri"/>
        </w:rPr>
        <w:t>(Estoque et al. 2019; Hoang &amp; Kanemoto 2021)</w:t>
      </w:r>
      <w:r w:rsidR="00811E4E">
        <w:fldChar w:fldCharType="end"/>
      </w:r>
      <w:r w:rsidR="00811E4E">
        <w:t>, and the scale of land use change is such that the global climate is being affected</w:t>
      </w:r>
      <w:r w:rsidR="00327EA7">
        <w:t xml:space="preserve"> through changes to the radiative forcing caused by land cover and land use</w:t>
      </w:r>
      <w:r w:rsidR="00811E4E">
        <w:t xml:space="preserve"> </w:t>
      </w:r>
      <w:r w:rsidR="00811E4E">
        <w:fldChar w:fldCharType="begin"/>
      </w:r>
      <w:r w:rsidR="00811E4E">
        <w:instrText xml:space="preserve"> ADDIN ZOTERO_ITEM CSL_CITATION {"citationID":"PN12D8bw","properties":{"formattedCitation":"(Jiao et al. 2017)","plainCitation":"(Jiao et al. 2017)","noteIndex":0},"citationItems":[{"id":2918,"uris":["http://zotero.org/users/2170232/items/CL48AS5T"],"uri":["http://zotero.org/users/2170232/items/CL48AS5T"],"itemData":{"id":2918,"type":"article-journal","abstract":"Large-scale deforestation and reforestation have contributed substantially to historical and contemporary global climate change in part through albedo-induced radiative forcing, with meaningful implications for forest management aiming to mitigate climate change. Associated warming or cooling varies widely across the globe due to a range of factors including forest type, snow cover, and insolation, but resulting geographic variation remains poorly described and has been largely based on model assessments. This study provides an observation-based approach to quantify local and global radiative forcings from large-scale deforestation and reforestation and further examines mechanisms that result in the spatial heterogeneity of radiative forcing. We incorporate a new spatially and temporally explicit land cover-specific albedo product derived from Moderate Resolution Imaging Spectroradiometer with a historical land use data set (Land Use Harmonization product). Spatial variation in radiative forcing was attributed to four mechanisms, including the change in snow-covered albedo, change in snow-free albedo, snow cover fraction, and incoming solar radiation. We find an albedo-only radiative forcing (RF) of −0.819 W m−2 if year 2000 forests were completely deforested and converted to croplands. Albedo RF from global reforestation of present-day croplands to recover year 1700 forests is estimated to be 0.161 W m−2. Snow-cover fraction is identified as the primary factor in determining the spatial variation of radiative forcing in winter, while the magnitude of the change in snow-free albedo is the primary factor determining variations in summertime RF. Findings reinforce the notion that, for conifers at the snowier high latitudes, albedo RF diminishes the warming from forest loss and the cooling from forest gain more so than for other forest types, latitudes, and climate settings.","container-title":"Climatic Change","DOI":"10.1007/s10584-017-1962-8","ISSN":"1573-1480","issue":"3","journalAbbreviation":"Climatic Change","language":"en","page":"463-476","source":"Springer Link","title":"Global climate forcing from albedo change caused by large-scale deforestation and reforestation: quantification and attribution of geographic variation","title-short":"Global climate forcing from albedo change caused by large-scale deforestation and reforestation","volume":"142","author":[{"family":"Jiao","given":"Tong"},{"family":"Williams","given":"Christopher A."},{"family":"Ghimire","given":"Bardan"},{"family":"Masek","given":"Jeffrey"},{"family":"Gao","given":"Feng"},{"family":"Schaaf","given":"Crystal"}],"issued":{"date-parts":[["2017",6,1]]}}}],"schema":"https://github.com/citation-style-language/schema/raw/master/csl-citation.json"} </w:instrText>
      </w:r>
      <w:r w:rsidR="00811E4E">
        <w:fldChar w:fldCharType="separate"/>
      </w:r>
      <w:r w:rsidR="00811E4E" w:rsidRPr="00811E4E">
        <w:rPr>
          <w:rFonts w:ascii="Calibri" w:hAnsi="Calibri" w:cs="Calibri"/>
        </w:rPr>
        <w:t>(Jiao et al. 2017)</w:t>
      </w:r>
      <w:r w:rsidR="00811E4E">
        <w:fldChar w:fldCharType="end"/>
      </w:r>
      <w:r w:rsidR="00811E4E">
        <w:t xml:space="preserve">. </w:t>
      </w:r>
      <w:r w:rsidR="00E30129">
        <w:t>T</w:t>
      </w:r>
      <w:r w:rsidR="00811E4E">
        <w:t xml:space="preserve">he production and trade in agricultural commodities </w:t>
      </w:r>
      <w:r w:rsidR="00E30129">
        <w:t>driven by</w:t>
      </w:r>
      <w:r w:rsidR="00811E4E">
        <w:t xml:space="preserve"> modern consumption patterns </w:t>
      </w:r>
      <w:r w:rsidR="00E30129">
        <w:t xml:space="preserve">is responsible for the majority of forest loss around the world </w:t>
      </w:r>
      <w:r w:rsidR="00E30129">
        <w:fldChar w:fldCharType="begin"/>
      </w:r>
      <w:r w:rsidR="00E30129">
        <w:instrText xml:space="preserve"> ADDIN ZOTERO_ITEM CSL_CITATION {"citationID":"W0jDtgZT","properties":{"formattedCitation":"(Curtis et al. 2018; Pendrill et al. 2019; Hoang &amp; Kanemoto 2021)","plainCitation":"(Curtis et al. 2018; Pendrill et al. 2019; Hoang &amp; Kanemoto 2021)","noteIndex":0},"citationItems":[{"id":2375,"uris":["http://zotero.org/users/2170232/items/MGBJXYEN"],"uri":["http://zotero.org/users/2170232/items/MGBJXYEN"],"itemData":{"id":2375,"type":"article-journal","abstract":"Mapping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C."}],"issued":{"date-parts":[["2018"]]}}},{"id":2917,"uris":["http://zotero.org/users/2170232/items/6H456Z27"],"uri":["http://zotero.org/users/2170232/items/6H456Z27"],"itemData":{"id":2917,"type":"article-journal","abstract":"While many developed countries are increasing their forest cover, deforestation is still rife in the tropics and subtropics. With international trade in forest-risk commodities on the rise, it is becoming increasingly important to consider between-country trade linkages in assessing the drivers of—and possible connections between—forest loss and gain across countries. Previous studies have shown that countries that have undergone a forest transition (and are now increasing their forest cover) tend to displace land use outside their borders. However, lack of comprehensive data on deforestation drivers imply that it has not been possible to ascertain whether this has accelerated forest loss in sourcing countries. To remedy this, we present a land-balance model that quantifies deforestation embodied in production of agricultural and forestry commodities at country level across the tropics and subtropics, subsequently tracing embodied deforestation to countries of apparent consumption using a physical, country-to-country trade model. We find that in the period 2005–2013, 62% (5.5 Mha yr−1) of forest loss could be attributed to expanding commercial cropland, pastures and tree plantations. The commodity groups most commonly associated with deforestation were cattle meat, forestry products, oil palm, cereals and soybeans, though variation between countries and regions was large. A large (26%) and slightly increasing share of deforestation was attributed to international demand, the bulk of which (87%) was exported to countries that either exhibit decreasing deforestation rates or increasing forest cover (late- or post-forest transition countries), particularly in Europe and Asia (China, India, and Russia). About a third of the net forest gains in post-forest transition countries was in this way offset by imports of commodities causing deforestation elsewhere, suggesting that achieving a global forest transition will be substantially more challenging than achieving national or regional ones.","DOI":"10.1088/1748-9326/ab0d41","ISSN":"1748-9326","issue":"5","journalAbbreviation":"Environ. Res. Lett.","language":"en","note":"publisher: IOP Publishing","page":"055003","source":"Institute of Physics","title":"Deforestation displaced: trade in forest-risk commodities and the prospects for a global forest transition","title-short":"Deforestation displaced","volume":"14","author":[{"family":"Pendrill","given":"Florence"},{"family":"Persson","given":"U. Martin"},{"family":"Godar","given":"Javier"},{"family":"Kastner","given":"Thomas"}],"issued":{"date-parts":[["2019",5]]}}},{"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E30129">
        <w:fldChar w:fldCharType="separate"/>
      </w:r>
      <w:r w:rsidR="00E30129" w:rsidRPr="00E30129">
        <w:rPr>
          <w:rFonts w:ascii="Calibri" w:hAnsi="Calibri" w:cs="Calibri"/>
        </w:rPr>
        <w:t>(Curtis et al. 2018; Pendrill et al. 2019; Hoang &amp; Kanemoto 2021)</w:t>
      </w:r>
      <w:r w:rsidR="00E30129">
        <w:fldChar w:fldCharType="end"/>
      </w:r>
      <w:r w:rsidR="00E30129">
        <w:t xml:space="preserve">. </w:t>
      </w:r>
      <w:r w:rsidR="00643D5E">
        <w:t>This is because a</w:t>
      </w:r>
      <w:r w:rsidR="00E30129">
        <w:t xml:space="preserve">gricultural production is a fundamental component of many national economies, both for improving food security within countries and for national income generation via international export markets </w:t>
      </w:r>
      <w:r w:rsidR="00526FE6">
        <w:fldChar w:fldCharType="begin"/>
      </w:r>
      <w:r w:rsidR="00526FE6">
        <w:instrText xml:space="preserve"> ADDIN ZOTERO_ITEM CSL_CITATION {"citationID":"Puz15C7I","properties":{"formattedCitation":"(Eliste &amp; Zorya 2015)","plainCitation":"(Eliste &amp;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526FE6">
        <w:fldChar w:fldCharType="separate"/>
      </w:r>
      <w:r w:rsidR="00526FE6" w:rsidRPr="00526FE6">
        <w:rPr>
          <w:rFonts w:ascii="Calibri" w:hAnsi="Calibri" w:cs="Calibri"/>
        </w:rPr>
        <w:t>(Eliste &amp; Zorya 2015)</w:t>
      </w:r>
      <w:r w:rsidR="00526FE6">
        <w:fldChar w:fldCharType="end"/>
      </w:r>
      <w:r w:rsidR="00E30129">
        <w:t xml:space="preserve">. </w:t>
      </w:r>
      <w:r w:rsidR="000A29B4">
        <w:t>Growth within agricultural sector</w:t>
      </w:r>
      <w:r w:rsidR="0042633E">
        <w:t>s</w:t>
      </w:r>
      <w:r w:rsidR="000A29B4">
        <w:t>, and other natural resource-based industries, is therefore an important</w:t>
      </w:r>
      <w:r w:rsidR="001272BE">
        <w:t xml:space="preserve"> approach</w:t>
      </w:r>
      <w:r w:rsidR="000A29B4">
        <w:t xml:space="preserve"> f</w:t>
      </w:r>
      <w:r w:rsidR="00E30129">
        <w:t>or lower income nations</w:t>
      </w:r>
      <w:r w:rsidR="000A29B4">
        <w:t xml:space="preserve"> where economic development is a priority</w:t>
      </w:r>
      <w:r w:rsidR="00E30129">
        <w:t xml:space="preserve"> </w:t>
      </w:r>
      <w:r w:rsidR="000A29B4">
        <w:fldChar w:fldCharType="begin"/>
      </w:r>
      <w:r w:rsidR="001564FE">
        <w:instrText xml:space="preserve"> ADDIN ZOTERO_ITEM CSL_CITATION {"citationID":"iSEpO5xM","properties":{"formattedCitation":"(Eliste &amp; Zorya 2015; Caravaggio 2020b)","plainCitation":"(Eliste &amp; Zorya 2015; Caravaggio 2020b)","noteIndex":0},"citationItems":[{"id":2752,"uris":["http://zotero.org/users/2170232/items/U2ZTSPR5"],"uri":["http://zotero.org/users/2170232/items/U2ZTSPR5"],"itemData":{"id":2752,"type":"report","event-place":"Washington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id":2923,"uris":["http://zotero.org/users/2170232/items/PJSP8TMJ"],"uri":["http://zotero.org/users/2170232/items/PJSP8TMJ"],"itemData":{"id":2923,"type":"article-journal","abstract":"This paper investigates an unresolved question in environmental economics: An Environmental Kuznets Curve for deforestation (EKCd). It relies on a 55 year panel of forest cover data reconstructed from the periodic national forest inventories of 114 countries clustered in low, middle, and high income groups—as defined by the World Bank—and examines these clusters within both static and dynamic frameworks. The results are supportive of the inverse U-shaped EKC for deforestation. For low income countries strong effort will be required to avoid further increases in forest loss as these countries develop. Middle income countries, the largest cluster under investigation, display the classic bell-shaped EKCd with the turning point for a decreasing rate of deforestation at US$ 3,790. Deforestation continues thereafter, only at a lower rate until, eventually, for high income countries these rates become negative and these economies begin to show absolute gains in total forest cover. While the combined results from the three clusters confirm the existence of an EKCd, its relatively elevated turning point and the even higher level of development at which forests begin to increase and recover, raise important concern, but also opportunity, for the modern policies and management addressing global forest cover—doubts and opportunities on which the conclusion to this paper reflects further.","container-title":"Forest Policy and Economics","DOI":"10.1016/j.forpol.2020.102282","ISSN":"1389-9341","journalAbbreviation":"Forest Policy and Economics","language":"en","page":"102282","source":"ScienceDirect","title":"A global empirical re-assessment of the Environmental Kuznets curve for deforestation","volume":"119","author":[{"family":"Caravaggio","given":"Nicola"}],"issued":{"date-parts":[["2020",10,1]]}}}],"schema":"https://github.com/citation-style-language/schema/raw/master/csl-citation.json"} </w:instrText>
      </w:r>
      <w:r w:rsidR="000A29B4">
        <w:fldChar w:fldCharType="separate"/>
      </w:r>
      <w:r w:rsidR="001564FE" w:rsidRPr="001564FE">
        <w:rPr>
          <w:rFonts w:ascii="Calibri" w:hAnsi="Calibri" w:cs="Calibri"/>
        </w:rPr>
        <w:t>(Eliste &amp; Zorya 2015; Caravaggio 2020b)</w:t>
      </w:r>
      <w:r w:rsidR="000A29B4">
        <w:fldChar w:fldCharType="end"/>
      </w:r>
      <w:r w:rsidR="00E30129">
        <w:t xml:space="preserve">. </w:t>
      </w:r>
      <w:r w:rsidR="00643D5E">
        <w:t xml:space="preserve">Forests have </w:t>
      </w:r>
      <w:r w:rsidR="001272BE">
        <w:t xml:space="preserve">been </w:t>
      </w:r>
      <w:r w:rsidR="008E5F84">
        <w:t>used to sustain</w:t>
      </w:r>
      <w:r w:rsidR="00643D5E">
        <w:t xml:space="preserve"> economic growth throughout much of human history </w:t>
      </w:r>
      <w:r w:rsidR="00643D5E">
        <w:fldChar w:fldCharType="begin"/>
      </w:r>
      <w:r w:rsidR="00643D5E">
        <w:instrText xml:space="preserve"> ADDIN ZOTERO_ITEM CSL_CITATION {"citationID":"MH5emw2c","properties":{"formattedCitation":"(Williams 2003)","plainCitation":"(Williams 2003)","noteIndex":0},"citationItems":[{"id":2919,"uris":["http://zotero.org/users/2170232/items/IG7UGS9F"],"uri":["http://zotero.org/users/2170232/items/IG7UGS9F"],"itemData":{"id":2919,"type":"book","abstract":"Since humans first appeared on the earth, we've been cutting down trees for fuel and shelter. Indeed, the thinning, changing, and wholesale clearing of forests are among the most important ways humans have transformed the global environment. With the onset of industrialization and colonization the process has accelerated, as agriculture, metal smelting, trade, war, territorial expansion, and even cultural aversion to forests have all taken their toll.  Michael Williams surveys ten thousand years of history to trace how, why, and when human-induced deforestation has shaped economies, societies, and landscapes around the world. Beginning with the return of the forests to Europe, North America, and the tropics after the Ice Ages, Williams traces the impact of human-set fires for gathering and hunting, land clearing for agriculture, and other activities from the Paleolithic through the classical world and the Middle Ages. He then continues the story from the 1500s to the early 1900s, focusing on forest clearing both within Europe and by European imperialists and industrialists abroad, in such places as the New World and India, China, Japan, and Latin America. Finally, he covers the present-day and alarming escalation of deforestation, with the ever-increasing human population placing a possibly unsupportable burden on the world's forests.  Accessible and nonsensationalist, Deforesting the Earth provides the historical and geographical background we need for a deeper understanding of deforestation's tremendous impact on the environment and the people who inhabit it.","ISBN":"978-0-226-89926-8","language":"en","note":"Google-Books-ID: bDrV3F6TYCMC","number-of-pages":"716","publisher":"University of Chicago Press","source":"Google Books","title":"Deforesting the Earth: From Prehistory to Global Crisis","title-short":"Deforesting the Earth","author":[{"family":"Williams","given":"Michael"}],"issued":{"date-parts":[["2003"]]}}}],"schema":"https://github.com/citation-style-language/schema/raw/master/csl-citation.json"} </w:instrText>
      </w:r>
      <w:r w:rsidR="00643D5E">
        <w:fldChar w:fldCharType="separate"/>
      </w:r>
      <w:r w:rsidR="00643D5E" w:rsidRPr="00811E4E">
        <w:rPr>
          <w:rFonts w:ascii="Calibri" w:hAnsi="Calibri" w:cs="Calibri"/>
        </w:rPr>
        <w:t>(Williams 2003)</w:t>
      </w:r>
      <w:r w:rsidR="00643D5E">
        <w:fldChar w:fldCharType="end"/>
      </w:r>
      <w:r w:rsidR="00643D5E">
        <w:t xml:space="preserve">, and </w:t>
      </w:r>
      <w:r w:rsidR="008E5F84">
        <w:t xml:space="preserve">this trend </w:t>
      </w:r>
      <w:r w:rsidR="001E6D1D">
        <w:t>continues today</w:t>
      </w:r>
      <w:r w:rsidR="00643D5E">
        <w:t xml:space="preserve">; between 2005-2013 the expansion of commercial agriculture, plantations, and pastures were responsible for 62% of forest loss across the tropics and subtropics </w:t>
      </w:r>
      <w:r w:rsidR="00643D5E">
        <w:fldChar w:fldCharType="begin"/>
      </w:r>
      <w:r w:rsidR="00643D5E">
        <w:instrText xml:space="preserve"> ADDIN ZOTERO_ITEM CSL_CITATION {"citationID":"1Z1qEtt2","properties":{"formattedCitation":"(Pendrill et al. 2019)","plainCitation":"(Pendrill et al. 2019)","noteIndex":0},"citationItems":[{"id":2917,"uris":["http://zotero.org/users/2170232/items/6H456Z27"],"uri":["http://zotero.org/users/2170232/items/6H456Z27"],"itemData":{"id":2917,"type":"article-journal","abstract":"While many developed countries are increasing their forest cover, deforestation is still rife in the tropics and subtropics. With international trade in forest-risk commodities on the rise, it is becoming increasingly important to consider between-country trade linkages in assessing the drivers of—and possible connections between—forest loss and gain across countries. Previous studies have shown that countries that have undergone a forest transition (and are now increasing their forest cover) tend to displace land use outside their borders. However, lack of comprehensive data on deforestation drivers imply that it has not been possible to ascertain whether this has accelerated forest loss in sourcing countries. To remedy this, we present a land-balance model that quantifies deforestation embodied in production of agricultural and forestry commodities at country level across the tropics and subtropics, subsequently tracing embodied deforestation to countries of apparent consumption using a physical, country-to-country trade model. We find that in the period 2005–2013, 62% (5.5 Mha yr−1) of forest loss could be attributed to expanding commercial cropland, pastures and tree plantations. The commodity groups most commonly associated with deforestation were cattle meat, forestry products, oil palm, cereals and soybeans, though variation between countries and regions was large. A large (26%) and slightly increasing share of deforestation was attributed to international demand, the bulk of which (87%) was exported to countries that either exhibit decreasing deforestation rates or increasing forest cover (late- or post-forest transition countries), particularly in Europe and Asia (China, India, and Russia). About a third of the net forest gains in post-forest transition countries was in this way offset by imports of commodities causing deforestation elsewhere, suggesting that achieving a global forest transition will be substantially more challenging than achieving national or regional ones.","DOI":"10.1088/1748-9326/ab0d41","ISSN":"1748-9326","issue":"5","journalAbbreviation":"Environ. Res. Lett.","language":"en","note":"publisher: IOP Publishing","page":"055003","source":"Institute of Physics","title":"Deforestation displaced: trade in forest-risk commodities and the prospects for a global forest transition","title-short":"Deforestation displaced","volume":"14","author":[{"family":"Pendrill","given":"Florence"},{"family":"Persson","given":"U. Martin"},{"family":"Godar","given":"Javier"},{"family":"Kastner","given":"Thomas"}],"issued":{"date-parts":[["2019",5]]}}}],"schema":"https://github.com/citation-style-language/schema/raw/master/csl-citation.json"} </w:instrText>
      </w:r>
      <w:r w:rsidR="00643D5E">
        <w:fldChar w:fldCharType="separate"/>
      </w:r>
      <w:r w:rsidR="00643D5E" w:rsidRPr="00643D5E">
        <w:rPr>
          <w:rFonts w:ascii="Calibri" w:hAnsi="Calibri" w:cs="Calibri"/>
        </w:rPr>
        <w:t>(Pendrill et al. 2019)</w:t>
      </w:r>
      <w:r w:rsidR="00643D5E">
        <w:fldChar w:fldCharType="end"/>
      </w:r>
      <w:r w:rsidR="00643D5E">
        <w:t xml:space="preserve">. </w:t>
      </w:r>
      <w:r w:rsidR="000B1FE5">
        <w:t>As</w:t>
      </w:r>
      <w:r w:rsidR="0042633E">
        <w:t xml:space="preserve"> developing nations strive for economic development, forests and other natural resources are exploited</w:t>
      </w:r>
      <w:r w:rsidR="001272BE">
        <w:t>,</w:t>
      </w:r>
      <w:r w:rsidR="0042633E">
        <w:t xml:space="preserve"> often with negative consequences for biodiversity, climate change, local livelihoods, and environmental processes and services </w:t>
      </w:r>
      <w:r w:rsidR="00526FE6">
        <w:fldChar w:fldCharType="begin"/>
      </w:r>
      <w:r w:rsidR="00526FE6">
        <w:instrText xml:space="preserve"> ADDIN ZOTERO_ITEM CSL_CITATION {"citationID":"pqOUbu4o","properties":{"formattedCitation":"(Caravaggio 2020a)","plainCitation":"(Caravaggio 2020a)","noteIndex":0},"citationItems":[{"id":2921,"uris":["http://zotero.org/users/2170232/items/SETQBMMZ"],"uri":["http://zotero.org/users/2170232/items/SETQBMMZ"],"itemData":{"id":2921,"type":"article-journal","abstract":"This paper reviews the literature of an unresolved question in environmental economics, the environmental Kuznets curve for deforestation (EKCd). It begins by summarizing the general EKC, the idea that economies draw on their environmental resources during initial growth but, with further growth above some level, their environmental decline attains a turning point. Most investigations of the EKCd are limited to approximately 25 years of FAO forest cover data and most feature sets of developing countries. These are short time series for a resource like forests and the paucity of evidence from developed countries is another weakness. Further discussion of two related concepts, the Forest Transition and a von-Thünen-based forest development pattern, shows a second EKC turning point for deforestation which (unlike environmental resources like, say, CO2) can recover with reforestation and addition to the forest base. Altogether, this background of experience recommends that future examinations of the unresolved EKCd reconsider, among others, the duration and thoroughness of the data, the extent of the cross-sectional international coverage, and the potential of a second turning point occurring for higher levels of development.","container-title":"Forest Policy and Economics","DOI":"10.1016/j.forpol.2020.102259","ISSN":"1389-9341","journalAbbreviation":"Forest Policy and Economics","language":"en","page":"102259","source":"ScienceDirect","title":"Economic growth and the forest development path: A theoretical re-assessment of the environmental Kuznets curve for deforestation","title-short":"Economic growth and the forest development path","volume":"118","author":[{"family":"Caravaggio","given":"Nicola"}],"issued":{"date-parts":[["2020",9,1]]}}}],"schema":"https://github.com/citation-style-language/schema/raw/master/csl-citation.json"} </w:instrText>
      </w:r>
      <w:r w:rsidR="00526FE6">
        <w:fldChar w:fldCharType="separate"/>
      </w:r>
      <w:r w:rsidR="00526FE6" w:rsidRPr="00526FE6">
        <w:rPr>
          <w:rFonts w:ascii="Calibri" w:hAnsi="Calibri" w:cs="Calibri"/>
        </w:rPr>
        <w:t>(Caravaggio 2020a)</w:t>
      </w:r>
      <w:r w:rsidR="00526FE6">
        <w:fldChar w:fldCharType="end"/>
      </w:r>
      <w:r w:rsidR="0042633E">
        <w:t xml:space="preserve">. </w:t>
      </w:r>
    </w:p>
    <w:p w14:paraId="2301DF28" w14:textId="126E8F29" w:rsidR="0079611B" w:rsidRPr="000A0B92" w:rsidRDefault="000A0B92">
      <w:pPr>
        <w:rPr>
          <w:b/>
          <w:bCs/>
          <w:i/>
          <w:iCs/>
        </w:rPr>
      </w:pPr>
      <w:r w:rsidRPr="000A0B92">
        <w:rPr>
          <w:b/>
          <w:bCs/>
          <w:i/>
          <w:iCs/>
        </w:rPr>
        <w:t xml:space="preserve">2.1.1 </w:t>
      </w:r>
      <w:r w:rsidR="0079611B" w:rsidRPr="000A0B92">
        <w:rPr>
          <w:b/>
          <w:bCs/>
          <w:i/>
          <w:iCs/>
        </w:rPr>
        <w:t>Economic development and deforestation</w:t>
      </w:r>
    </w:p>
    <w:p w14:paraId="6E51D916" w14:textId="76734F6D" w:rsidR="006C7758" w:rsidRPr="00327EA7" w:rsidRDefault="0042633E">
      <w:r>
        <w:t>There are several environmental economic theories that link</w:t>
      </w:r>
      <w:r w:rsidR="001564FE">
        <w:t xml:space="preserve"> economic development to forest loss, with the environmental Kuznets curve for deforestation (EKCd</w:t>
      </w:r>
      <w:r w:rsidR="00425E0A">
        <w:t xml:space="preserve">, </w:t>
      </w:r>
      <w:r w:rsidR="00425E0A">
        <w:fldChar w:fldCharType="begin"/>
      </w:r>
      <w:r w:rsidR="00BA731E">
        <w:instrText xml:space="preserve"> ADDIN ZOTERO_ITEM CSL_CITATION {"citationID":"zTMo4FZs","properties":{"formattedCitation":"(Cropper &amp; Griffiths 1994)","plainCitation":"(Cropper &amp; Griffiths 1994)","dontUpdate":true,"noteIndex":0},"citationItems":[{"id":2926,"uris":["http://zotero.org/users/2170232/items/F85CVNPV"],"uri":["http://zotero.org/users/2170232/items/F85CVNPV"],"itemData":{"id":2926,"type":"article-journal","container-title":"The American Economic Review","ISSN":"0002-8282","issue":"2","note":"publisher: American Economic Association","page":"250-254","source":"JSTOR","title":"The Interaction of Population Growth and Environmental Quality","volume":"84","author":[{"family":"Cropper","given":"Maureen"},{"family":"Griffiths","given":"Charles"}],"issued":{"date-parts":[["1994"]]}}}],"schema":"https://github.com/citation-style-language/schema/raw/master/csl-citation.json"} </w:instrText>
      </w:r>
      <w:r w:rsidR="00425E0A">
        <w:fldChar w:fldCharType="separate"/>
      </w:r>
      <w:r w:rsidR="00425E0A" w:rsidRPr="00425E0A">
        <w:rPr>
          <w:rFonts w:ascii="Calibri" w:hAnsi="Calibri" w:cs="Calibri"/>
        </w:rPr>
        <w:t>Cropper &amp; Griffiths 1994)</w:t>
      </w:r>
      <w:r w:rsidR="00425E0A">
        <w:fldChar w:fldCharType="end"/>
      </w:r>
      <w:r w:rsidR="001564FE">
        <w:t xml:space="preserve"> and Forest Transitions (FT</w:t>
      </w:r>
      <w:r w:rsidR="00425E0A">
        <w:t xml:space="preserve">, </w:t>
      </w:r>
      <w:r w:rsidR="00425E0A">
        <w:fldChar w:fldCharType="begin"/>
      </w:r>
      <w:r w:rsidR="00BA731E">
        <w:instrText xml:space="preserve"> ADDIN ZOTERO_ITEM CSL_CITATION {"citationID":"My5BCpJy","properties":{"formattedCitation":"(Mather 1992)","plainCitation":"(Mather 1992)","dontUpdate":true,"noteIndex":0},"citationItems":[{"id":2738,"uris":["http://zotero.org/users/2170232/items/RUWCKH8R"],"uri":["http://zotero.org/users/2170232/items/RUWCKH8R"],"itemData":{"id":2738,"type":"article-journal","abstract":"The concept of the forest transition or forest-area transition is discussed in terms of the change from decreasing to expanding forest areas that has taken place in many developed countries. Similarities between historical deforestation in now-developed countries and current deforestation in developing countries are outlined. The question of why and how the forest transition takes place is posed, and some preliminary discussion of the variables that may influence it is presented. Prospects for a forest transition in the tropical world and the world as a whole are considered.","container-title":"Area","ISSN":"0004-0894","issue":"4","note":"publisher: [Royal Geographical Society (with the Institute of British Geographers), Wiley]","page":"367-379","source":"JSTOR","title":"The Forest Transition","volume":"24","author":[{"family":"Mather","given":"A. S."}],"issued":{"date-parts":[["1992"]]}}}],"schema":"https://github.com/citation-style-language/schema/raw/master/csl-citation.json"} </w:instrText>
      </w:r>
      <w:r w:rsidR="00425E0A">
        <w:fldChar w:fldCharType="separate"/>
      </w:r>
      <w:r w:rsidR="00425E0A" w:rsidRPr="00425E0A">
        <w:rPr>
          <w:rFonts w:ascii="Calibri" w:hAnsi="Calibri" w:cs="Calibri"/>
        </w:rPr>
        <w:t>Mather 1992)</w:t>
      </w:r>
      <w:r w:rsidR="00425E0A">
        <w:fldChar w:fldCharType="end"/>
      </w:r>
      <w:r w:rsidR="001564FE">
        <w:t xml:space="preserve"> being the most studied and debated </w:t>
      </w:r>
      <w:r w:rsidR="001564FE">
        <w:fldChar w:fldCharType="begin"/>
      </w:r>
      <w:r w:rsidR="001564FE">
        <w:instrText xml:space="preserve"> ADDIN ZOTERO_ITEM CSL_CITATION {"citationID":"ZvyZdMo6","properties":{"formattedCitation":"(Caravaggio 2020a)","plainCitation":"(Caravaggio 2020a)","noteIndex":0},"citationItems":[{"id":2921,"uris":["http://zotero.org/users/2170232/items/SETQBMMZ"],"uri":["http://zotero.org/users/2170232/items/SETQBMMZ"],"itemData":{"id":2921,"type":"article-journal","abstract":"This paper reviews the literature of an unresolved question in environmental economics, the environmental Kuznets curve for deforestation (EKCd). It begins by summarizing the general EKC, the idea that economies draw on their environmental resources during initial growth but, with further growth above some level, their environmental decline attains a turning point. Most investigations of the EKCd are limited to approximately 25 years of FAO forest cover data and most feature sets of developing countries. These are short time series for a resource like forests and the paucity of evidence from developed countries is another weakness. Further discussion of two related concepts, the Forest Transition and a von-Thünen-based forest development pattern, shows a second EKC turning point for deforestation which (unlike environmental resources like, say, CO2) can recover with reforestation and addition to the forest base. Altogether, this background of experience recommends that future examinations of the unresolved EKCd reconsider, among others, the duration and thoroughness of the data, the extent of the cross-sectional international coverage, and the potential of a second turning point occurring for higher levels of development.","container-title":"Forest Policy and Economics","DOI":"10.1016/j.forpol.2020.102259","ISSN":"1389-9341","journalAbbreviation":"Forest Policy and Economics","language":"en","page":"102259","source":"ScienceDirect","title":"Economic growth and the forest development path: A theoretical re-assessment of the environmental Kuznets curve for deforestation","title-short":"Economic growth and the forest development path","volume":"118","author":[{"family":"Caravaggio","given":"Nicola"}],"issued":{"date-parts":[["2020",9,1]]}}}],"schema":"https://github.com/citation-style-language/schema/raw/master/csl-citation.json"} </w:instrText>
      </w:r>
      <w:r w:rsidR="001564FE">
        <w:fldChar w:fldCharType="separate"/>
      </w:r>
      <w:r w:rsidR="001564FE" w:rsidRPr="001564FE">
        <w:rPr>
          <w:rFonts w:ascii="Calibri" w:hAnsi="Calibri" w:cs="Calibri"/>
        </w:rPr>
        <w:t>(Caravaggio 2020a)</w:t>
      </w:r>
      <w:r w:rsidR="001564FE">
        <w:fldChar w:fldCharType="end"/>
      </w:r>
      <w:r w:rsidR="001564FE">
        <w:t>.</w:t>
      </w:r>
      <w:r w:rsidR="00425E0A">
        <w:t xml:space="preserve"> The ECkd </w:t>
      </w:r>
      <w:r w:rsidR="00B5750E">
        <w:t>predicts increasing</w:t>
      </w:r>
      <w:r w:rsidR="008064C8">
        <w:t xml:space="preserve"> rates of</w:t>
      </w:r>
      <w:r w:rsidR="00B5750E">
        <w:t xml:space="preserve"> deforestation with increasing economic development</w:t>
      </w:r>
      <w:r w:rsidR="004C2131">
        <w:t xml:space="preserve"> until a tipping point is reached, after which further economic development (and</w:t>
      </w:r>
      <w:r w:rsidR="004663FA">
        <w:t xml:space="preserve"> associated</w:t>
      </w:r>
      <w:r w:rsidR="004C2131">
        <w:t xml:space="preserve"> shifts in the structure of economies) results in decreasing rates of deforestation until net forest loss changes to net forest gain </w:t>
      </w:r>
      <w:r w:rsidR="00425E0A">
        <w:fldChar w:fldCharType="begin"/>
      </w:r>
      <w:r w:rsidR="00425E0A">
        <w:instrText xml:space="preserve"> ADDIN ZOTERO_ITEM CSL_CITATION {"citationID":"ZqXE8zEU","properties":{"formattedCitation":"(Bhattarai &amp; Hammig 2004)","plainCitation":"(Bhattarai &amp; Hammig 2004)","noteIndex":0},"citationItems":[{"id":2122,"uris":["http://zotero.org/users/2170232/items/NINHSHM7"],"uri":["http://zotero.org/users/2170232/items/NINHSHM7"],"itemData":{"id":2122,"type":"article-journal","abstract":"This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forests","volume":"9","author":[{"family":"Bhattarai","given":"Madhusudan"},{"family":"Hammig","given":"Michael"}],"issued":{"date-parts":[["2004",7]]}}}],"schema":"https://github.com/citation-style-language/schema/raw/master/csl-citation.json"} </w:instrText>
      </w:r>
      <w:r w:rsidR="00425E0A">
        <w:fldChar w:fldCharType="separate"/>
      </w:r>
      <w:r w:rsidR="00425E0A" w:rsidRPr="00425E0A">
        <w:rPr>
          <w:rFonts w:ascii="Calibri" w:hAnsi="Calibri" w:cs="Calibri"/>
        </w:rPr>
        <w:t>(Bhattarai &amp; Hammig 2004)</w:t>
      </w:r>
      <w:r w:rsidR="00425E0A">
        <w:fldChar w:fldCharType="end"/>
      </w:r>
      <w:r w:rsidR="004C2131">
        <w:t>.</w:t>
      </w:r>
      <w:r w:rsidR="00B5750E">
        <w:t xml:space="preserve"> </w:t>
      </w:r>
      <w:r w:rsidR="00425E0A">
        <w:t xml:space="preserve">Similarly, the FT theory predicts decreasing forest cover with increasing economic development, </w:t>
      </w:r>
      <w:r w:rsidR="008064C8">
        <w:t xml:space="preserve">with the rate of forest cover loss accelerating </w:t>
      </w:r>
      <w:r w:rsidR="00425E0A">
        <w:t>until the tipping point</w:t>
      </w:r>
      <w:r w:rsidR="008064C8">
        <w:t>, as described above,</w:t>
      </w:r>
      <w:r w:rsidR="00425E0A">
        <w:t xml:space="preserve"> is reached</w:t>
      </w:r>
      <w:r w:rsidR="008064C8">
        <w:t xml:space="preserve">, after which </w:t>
      </w:r>
      <w:r w:rsidR="004663FA">
        <w:t xml:space="preserve">loss of </w:t>
      </w:r>
      <w:r w:rsidR="008064C8">
        <w:t xml:space="preserve">forest cover slows. The point at which forest cover begins to increase is termed a forest transition </w:t>
      </w:r>
      <w:r w:rsidR="008064C8">
        <w:fldChar w:fldCharType="begin"/>
      </w:r>
      <w:r w:rsidR="008064C8">
        <w:instrText xml:space="preserve"> ADDIN ZOTERO_ITEM CSL_CITATION {"citationID":"6KFX5c5F","properties":{"formattedCitation":"(Lambin &amp; Meyfroidt 2010)","plainCitation":"(Lambin &amp; Meyfroidt 2010)","noteIndex":0},"citationItems":[{"id":1672,"uris":["http://zotero.org/users/2170232/items/4AESYRD7"],"uri":["http://zotero.org/users/2170232/items/4AESYRD7"],"itemData":{"id":1672,"type":"article-journal","abstract":"The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8064C8">
        <w:fldChar w:fldCharType="separate"/>
      </w:r>
      <w:r w:rsidR="008064C8" w:rsidRPr="008064C8">
        <w:rPr>
          <w:rFonts w:ascii="Calibri" w:hAnsi="Calibri" w:cs="Calibri"/>
        </w:rPr>
        <w:t>(Lambin &amp; Meyfroidt 2010)</w:t>
      </w:r>
      <w:r w:rsidR="008064C8">
        <w:fldChar w:fldCharType="end"/>
      </w:r>
      <w:r w:rsidR="008064C8">
        <w:t>. Thus, the EKCd and the FT curve</w:t>
      </w:r>
      <w:r w:rsidR="000B1FE5">
        <w:t>s</w:t>
      </w:r>
      <w:r w:rsidR="008064C8">
        <w:t xml:space="preserve"> are correlated </w:t>
      </w:r>
      <w:r w:rsidR="000B1FE5">
        <w:t>but</w:t>
      </w:r>
      <w:r w:rsidR="008064C8">
        <w:t xml:space="preserve"> inverse. Despite rampant deforestation in much of the tropics </w:t>
      </w:r>
      <w:r w:rsidR="00526FE6">
        <w:fldChar w:fldCharType="begin"/>
      </w:r>
      <w:r w:rsidR="00526FE6">
        <w:instrText xml:space="preserve"> ADDIN ZOTERO_ITEM CSL_CITATION {"citationID":"JDvO8a0z","properties":{"formattedCitation":"(Sodhi et al. 2010; Estoque et al. 2019)","plainCitation":"(Sodhi et al. 2010; Estoque et al. 2019)","noteIndex":0},"citationItems":[{"id":2297,"uris":["http://zotero.org/users/2170232/items/S5R8A7NT"],"uri":["http://zotero.org/users/2170232/items/S5R8A7NT"],"itemData":{"id":2297,"type":"article-journal","container-title":"Biodiversity and Conservation","DOI":"10.1007/s10531-009-9607-5","ISSN":"0960-3115, 1572-9710","issue":"2","language":"en","page":"317-328","source":"CrossRef","title":"The state and conservation of Southeast Asian biodiversity","volume":"19","author":[{"family":"Sodhi","given":"Navjot S."},{"family":"Posa","given":"Mary Rose C."},{"family":"Lee","given":"Tien Ming"},{"family":"Bickford","given":"David"},{"family":"Koh","given":"Lian Pin"},{"family":"Brook","given":"Barry W."}],"issued":{"date-parts":[["2010",2]]}}},{"id":2193,"uris":["http://zotero.org/users/2170232/items/XLXDWBAC"],"uri":["http://zotero.org/users/2170232/items/XLXDWBAC"],"itemData":{"id":2193,"type":"article-journal","abstract":"While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00526FE6">
        <w:fldChar w:fldCharType="separate"/>
      </w:r>
      <w:r w:rsidR="00526FE6" w:rsidRPr="00526FE6">
        <w:rPr>
          <w:rFonts w:ascii="Calibri" w:hAnsi="Calibri" w:cs="Calibri"/>
        </w:rPr>
        <w:t>(Sodhi et al. 2010; Estoque et al. 2019)</w:t>
      </w:r>
      <w:r w:rsidR="00526FE6">
        <w:fldChar w:fldCharType="end"/>
      </w:r>
      <w:r w:rsidR="008064C8">
        <w:t>, global</w:t>
      </w:r>
      <w:r w:rsidR="00F05DBA">
        <w:t xml:space="preserve"> deforestation rates</w:t>
      </w:r>
      <w:r w:rsidR="007A0D24">
        <w:t xml:space="preserve"> (of natural forests)</w:t>
      </w:r>
      <w:r w:rsidR="00F05DBA">
        <w:t xml:space="preserve"> are decreasing</w:t>
      </w:r>
      <w:r w:rsidR="00B5750E">
        <w:t xml:space="preserve"> </w:t>
      </w:r>
      <w:r w:rsidR="00B5750E">
        <w:fldChar w:fldCharType="begin"/>
      </w:r>
      <w:r w:rsidR="00B5750E">
        <w:instrText xml:space="preserve"> ADDIN ZOTERO_ITEM CSL_CITATION {"citationID":"DPtb7bYj","properties":{"formattedCitation":"(FAO 2020)","plainCitation":"(FAO 2020)","noteIndex":0},"citationItems":[{"id":2925,"uris":["http://zotero.org/users/2170232/items/YUJ3LYCT"],"uri":["http://zotero.org/users/2170232/items/YUJ3LYCT"],"itemData":{"id":2925,"type":"book","abstract":"FAO completed its first assessment of the world’s forest resources in 1948. At that time, its major objective was to collect information on available timber supply to satisfy post-war reconstruction demand. Since then, the Global Forest Resources Assessment (FRA) has evolved into a comprehensive evaluation of forest resources and their condition, management and uses, covering all the thematic elements of sustainable forest management. \n\nThis, the latest of these assessments, examines the status of, and trends in, forest resources over the period 1990–2020, drawing on the efforts of hundreds of experts worldwide. The production of FRA 2020 also involved collaboration among many partner organizations, thereby reducing the reporting burden on countries, increasing synergies among reporting processes, and improving data consistency. \n\nThe results of FRA 2020 are available in several formats, including this report and an online database containing the original inputs of countries and territories as well as desk studies and regional and global analyses prepared by FAO. I invite you to use these materials to support our common journey towards a more sustainable future with forests. \n\nLast updated date 18/11/2020 (rewording on tables and figures), see the Corrigendum","event-place":"Rome, Italy","ISBN":"978-92-5-132974-0","language":"en","note":"DOI: 10.4060/ca9825en","number-of-pages":"184","publisher":"FAO","publisher-place":"Rome, Italy","source":"FAO Publications","title":"Global Forest Resources Assessment 2020: Main report","title-short":"Global Forest Resources Assessment 2020","URL":"https://www.fao.org/documents/card/en/c/ca9825en","author":[{"literal":"FAO"}],"accessed":{"date-parts":[["2021",10,21]]},"issued":{"date-parts":[["2020"]]}}}],"schema":"https://github.com/citation-style-language/schema/raw/master/csl-citation.json"} </w:instrText>
      </w:r>
      <w:r w:rsidR="00B5750E">
        <w:fldChar w:fldCharType="separate"/>
      </w:r>
      <w:r w:rsidR="00B5750E" w:rsidRPr="00B5750E">
        <w:rPr>
          <w:rFonts w:ascii="Calibri" w:hAnsi="Calibri" w:cs="Calibri"/>
        </w:rPr>
        <w:t>(FAO 2020)</w:t>
      </w:r>
      <w:r w:rsidR="00B5750E">
        <w:fldChar w:fldCharType="end"/>
      </w:r>
      <w:r w:rsidR="008064C8">
        <w:t>.</w:t>
      </w:r>
      <w:r w:rsidR="00B5750E">
        <w:t xml:space="preserve"> </w:t>
      </w:r>
      <w:r w:rsidR="008064C8">
        <w:t>R</w:t>
      </w:r>
      <w:r w:rsidR="00B5750E">
        <w:t xml:space="preserve">ecent studies provide evidence </w:t>
      </w:r>
      <w:r w:rsidR="004C2131">
        <w:t>to support the EKC</w:t>
      </w:r>
      <w:r w:rsidR="008064C8">
        <w:t>d</w:t>
      </w:r>
      <w:r w:rsidR="004C2131">
        <w:t xml:space="preserve"> theory, and</w:t>
      </w:r>
      <w:r w:rsidR="008064C8">
        <w:t xml:space="preserve"> suggest</w:t>
      </w:r>
      <w:r w:rsidR="004C2131">
        <w:t xml:space="preserve"> a possible move towards a global forest transition </w:t>
      </w:r>
      <w:r w:rsidR="004C2131">
        <w:fldChar w:fldCharType="begin"/>
      </w:r>
      <w:r w:rsidR="001564FE">
        <w:instrText xml:space="preserve"> ADDIN ZOTERO_ITEM CSL_CITATION {"citationID":"Mc3gaMuY","properties":{"formattedCitation":"(Caravaggio 2020b)","plainCitation":"(Caravaggio 2020b)","noteIndex":0},"citationItems":[{"id":2923,"uris":["http://zotero.org/users/2170232/items/PJSP8TMJ"],"uri":["http://zotero.org/users/2170232/items/PJSP8TMJ"],"itemData":{"id":2923,"type":"article-journal","abstract":"This paper investigates an unresolved question in environmental economics: An Environmental Kuznets Curve for deforestation (EKCd). It relies on a 55 year panel of forest cover data reconstructed from the periodic national forest inventories of 114 countries clustered in low, middle, and high income groups—as defined by the World Bank—and examines these clusters within both static and dynamic frameworks. The results are supportive of the inverse U-shaped EKC for deforestation. For low income countries strong effort will be required to avoid further increases in forest loss as these countries develop. Middle income countries, the largest cluster under investigation, display the classic bell-shaped EKCd with the turning point for a decreasing rate of deforestation at US$ 3,790. Deforestation continues thereafter, only at a lower rate until, eventually, for high income countries these rates become negative and these economies begin to show absolute gains in total forest cover. While the combined results from the three clusters confirm the existence of an EKCd, its relatively elevated turning point and the even higher level of development at which forests begin to increase and recover, raise important concern, but also opportunity, for the modern policies and management addressing global forest cover—doubts and opportunities on which the conclusion to this paper reflects further.","container-title":"Forest Policy and Economics","DOI":"10.1016/j.forpol.2020.102282","ISSN":"1389-9341","journalAbbreviation":"Forest Policy and Economics","language":"en","page":"102282","source":"ScienceDirect","title":"A global empirical re-assessment of the Environmental Kuznets curve for deforestation","volume":"119","author":[{"family":"Caravaggio","given":"Nicola"}],"issued":{"date-parts":[["2020",10,1]]}}}],"schema":"https://github.com/citation-style-language/schema/raw/master/csl-citation.json"} </w:instrText>
      </w:r>
      <w:r w:rsidR="004C2131">
        <w:fldChar w:fldCharType="separate"/>
      </w:r>
      <w:r w:rsidR="001564FE" w:rsidRPr="001564FE">
        <w:rPr>
          <w:rFonts w:ascii="Calibri" w:hAnsi="Calibri" w:cs="Calibri"/>
        </w:rPr>
        <w:t>(Caravaggio 2020b)</w:t>
      </w:r>
      <w:r w:rsidR="004C2131">
        <w:fldChar w:fldCharType="end"/>
      </w:r>
      <w:r w:rsidR="004C2131">
        <w:t>.</w:t>
      </w:r>
      <w:r w:rsidR="008064C8">
        <w:t xml:space="preserve"> </w:t>
      </w:r>
      <w:r w:rsidR="00D807A0">
        <w:t>Indeed,</w:t>
      </w:r>
      <w:r w:rsidR="008064C8">
        <w:t xml:space="preserve"> there are multiple case studies</w:t>
      </w:r>
      <w:r w:rsidR="00D807A0">
        <w:t xml:space="preserve"> demonstrating how individual countries have undergone forest transitions</w:t>
      </w:r>
      <w:r w:rsidR="004663FA">
        <w:t xml:space="preserve"> and are increasing national forest cover</w:t>
      </w:r>
      <w:r w:rsidR="00D807A0">
        <w:t xml:space="preserve">, including India </w:t>
      </w:r>
      <w:r w:rsidR="00D807A0">
        <w:fldChar w:fldCharType="begin"/>
      </w:r>
      <w:r w:rsidR="00D807A0">
        <w:instrText xml:space="preserve"> ADDIN ZOTERO_ITEM CSL_CITATION {"citationID":"vsyiKnxB","properties":{"formattedCitation":"(Bhattacharya et al. 2010)","plainCitation":"(Bhattacharya et al. 2010)","noteIndex":0},"citationItems":[{"id":2904,"uris":["http://zotero.org/users/2170232/items/8UIGWD3F"],"uri":["http://zotero.org/users/2170232/items/8UIGWD3F"],"itemData":{"id":2904,"type":"article-journal","abstract":"Joint Forest Management (JFM), embracing the philosophy of forest conservation and livelihood improvement through cooperation between state and civil society, has emerged over the past decades both as a specific paradigm of forest governance in India and as India's largest community forestry program. The JFM program, evolved during early 1970s covering a few forest villages as a model for reversing the trend of degraded forest ecosystem through the active protection by local villagers. The JFM program is implemented currently by 106,482 Joint Forest Management Committees (JFMC) and it covers 22 million ha of forests spread across 28 constituent states of India and union territories. JFM emerged against a backdrop of two centuries of centralised bureaucratic control over forest management in India. Centralized control during the 19th and 20th centuries failed either to conserve resources or to contribute substantially to the well-being of local populations. However, inconsistent persuasions from decentralization policies in India under present forest policy (1988) have prompted people to analyse the theoretical basis for accepting that decentralization would bring improvements in forest ecosystem management. Still others have contested the de facto rationale for decentralization (i.e., improved forest management) and have suggested that decentralization may be a manipulation by elites to serve their own interests or to shift power, for example from national to international agencies that have funded decentralization. Thirty years from its inception, there are now concerns for the recent effectiveness of JFM (over the past 20 years) because it is a group action that is getting old and is perhaps losing some of its pioneering drive and innovativeness. Although JFM has been administered nationally, decisions on implementation detail have been left to the individual states, resulting in different strategies. The long history of JFM has also provided scope for experiences with it to change over time as well as between places. Given the range of experiences with and perceptions of JFM, as well as the importance of the objectives JFM ostensibly serves, the time is ripe therefore for a retrospective evaluation to take stock of its actual achievements, its status and ways forward. The current paper seeks to provide such a review and analysis. The paper highlights design and implementation issues related to government resolutions, benefits-sharing and forest offences. It also assesses the critical design factors and key drivers responsible for institutional reforms. The paper evaluates impacts of protection on forest productivity and on the livelihoods of local communities. It highlights that the JFM program, by virtue of the diversity of its implementation, provides an ideal laboratory for exploring why similar reforms can lead to different outcomes. The paper argued that though there are supporting government policy and guideline and massive fund support, why there has been a low down of enthusiasm for JFM in the last two decades. From experiences, it suggests strategies for its revival and JFM can further contribute effective toward forest conservation and enhanced livelihood opportunities in the future.","container-title":"Resources, Conservation and Recycling","DOI":"10.1016/j.resconrec.2009.10.003","ISSN":"0921-3449","issue":"8","journalAbbreviation":"Resources, Conservation and Recycling","language":"en","page":"469-480","source":"ScienceDirect","title":"Joint forest management in India: Experiences of two decades","title-short":"Joint forest management in India","volume":"54","author":[{"family":"Bhattacharya","given":"Prodyut"},{"family":"Pradhan","given":"Lolita"},{"family":"Yadav","given":"Ganesh"}],"issued":{"date-parts":[["2010",6,1]]}}}],"schema":"https://github.com/citation-style-language/schema/raw/master/csl-citation.json"} </w:instrText>
      </w:r>
      <w:r w:rsidR="00D807A0">
        <w:fldChar w:fldCharType="separate"/>
      </w:r>
      <w:r w:rsidR="00D807A0" w:rsidRPr="00D807A0">
        <w:rPr>
          <w:rFonts w:ascii="Calibri" w:hAnsi="Calibri" w:cs="Calibri"/>
        </w:rPr>
        <w:t>(Bhattacharya et al. 2010)</w:t>
      </w:r>
      <w:r w:rsidR="00D807A0">
        <w:fldChar w:fldCharType="end"/>
      </w:r>
      <w:r w:rsidR="00D807A0">
        <w:t xml:space="preserve">, Vietnam </w:t>
      </w:r>
      <w:r w:rsidR="00D807A0">
        <w:fldChar w:fldCharType="begin"/>
      </w:r>
      <w:r w:rsidR="00D807A0">
        <w:instrText xml:space="preserve"> ADDIN ZOTERO_ITEM CSL_CITATION {"citationID":"uxtTlPvz","properties":{"formattedCitation":"(Meyfroidt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rsidR="00D807A0">
        <w:fldChar w:fldCharType="separate"/>
      </w:r>
      <w:r w:rsidR="00D807A0" w:rsidRPr="00D807A0">
        <w:rPr>
          <w:rFonts w:ascii="Calibri" w:hAnsi="Calibri" w:cs="Calibri"/>
        </w:rPr>
        <w:t>(Meyfroidt &amp; Lambin 2008)</w:t>
      </w:r>
      <w:r w:rsidR="00D807A0">
        <w:fldChar w:fldCharType="end"/>
      </w:r>
      <w:r w:rsidR="00D807A0">
        <w:t xml:space="preserve">, China </w:t>
      </w:r>
      <w:r w:rsidR="00D807A0">
        <w:fldChar w:fldCharType="begin"/>
      </w:r>
      <w:r w:rsidR="00D807A0">
        <w:instrText xml:space="preserve"> ADDIN ZOTERO_ITEM CSL_CITATION {"citationID":"7gRd9dZ5","properties":{"formattedCitation":"(He et al. 2014)","plainCitation":"(He et al. 2014)","noteIndex":0},"citationItems":[{"id":2908,"uris":["http://zotero.org/users/2170232/items/GI3GI4ET"],"uri":["http://zotero.org/users/2170232/items/GI3GI4ET"],"itemData":{"id":2908,"type":"article-journal","abstract":"China has experienced extensive forest transition, from net deforestation to net forestation. Existing theories have highlighted economic growth, the intensification of agriculture and forest scarcity as the pathways of this transition, and studies, in particular from China, have also highlighted the contribution of a huge state afforestation program and the improved implementation and enforcement of forest protection policy and law. However, few studies have paid attention to local dynamics to provide a contextualized understanding of how forest transition has taken place at the local level and the significance of local factors in this change. This paper examines forest transition pathways in two villages in China. We consider the historical perspective and compare their local dynamics and variations to reach an understanding of the process of forest recovery at the local level. The results show that state forestry policies, including afforestation policy and tenure reform, arguably contribute to forest increase, while local processes including livelihood change and institutional factors play a key role in driving and shaping forest transition. We argue that there is a need for local-level studies and recommend including local institutions in forest transition analysis, contextualizing the socio-ecological interactions within the broader concept of political economy.","container-title":"Forests","DOI":"10.3390/f5020214","issue":"2","language":"en","note":"number: 2\npublisher: Multidisciplinary Digital Publishing Institute","page":"214-233","source":"www.mdpi.com","title":"Local Dynamics Driving Forest Transition: Insights from Upland Villages in Southwest China","title-short":"Local Dynamics Driving Forest Transition","volume":"5","author":[{"family":"He","given":"Jun"},{"family":"Lang","given":"Rong"},{"family":"Xu","given":"Jianchu"}],"issued":{"date-parts":[["2014",2]]}}}],"schema":"https://github.com/citation-style-language/schema/raw/master/csl-citation.json"} </w:instrText>
      </w:r>
      <w:r w:rsidR="00D807A0">
        <w:fldChar w:fldCharType="separate"/>
      </w:r>
      <w:r w:rsidR="00D807A0" w:rsidRPr="00D807A0">
        <w:rPr>
          <w:rFonts w:ascii="Calibri" w:hAnsi="Calibri" w:cs="Calibri"/>
        </w:rPr>
        <w:t>(He et al. 2014)</w:t>
      </w:r>
      <w:r w:rsidR="00D807A0">
        <w:fldChar w:fldCharType="end"/>
      </w:r>
      <w:r w:rsidR="00D807A0">
        <w:t xml:space="preserve">, and South Korea </w:t>
      </w:r>
      <w:r w:rsidR="00D807A0">
        <w:fldChar w:fldCharType="begin"/>
      </w:r>
      <w:r w:rsidR="00D807A0">
        <w:instrText xml:space="preserve"> ADDIN ZOTERO_ITEM CSL_CITATION {"citationID":"waF9C57Z","properties":{"formattedCitation":"(Youn et al. 2017)","plainCitation":"(Youn et al. 2017)","noteIndex":0},"citationItems":[{"id":2895,"uris":["http://zotero.org/users/2170232/items/NL89FZLE"],"uri":["http://zotero.org/users/2170232/items/NL89FZLE"],"itemData":{"id":2895,"type":"article-journal","abstract":"This study identifies the important factors that contribute to or inhibit forest transitions in nine Asian countries: China, India, Indonesia, Japan, Laos, Malaysia, Republic of Korea, Philippines, and Vietnam. A qualitative comparative analysis method was used to determine which conditions or combinations of conditions led to or prevented a forest transition. Under the condition of public ownership with no private forest tenure or ownership of forest land, there was no instance of forest transition among the nine countries studied. Under the condition of non-liberal timber trade policies, there was no instance of forest transition in the countries studied. The results of this analysis suggest that for a forest transition to occur, the country should liberalize timber import and provide forest tenure to the private sector. Based on these results, we argue that in order for a forest transition to take place or for REDD+ to be effective, the state should allow for private sector to participate in forest management and create market conditions that meet the demand for timber via trade policy alignment.","collection-title":"Forest transition in Asia","container-title":"Forest Policy and Economics","DOI":"10.1016/j.forpol.2016.07.005","ISSN":"1389-9341","journalAbbreviation":"Forest Policy and Economics","language":"en","page":"14-24","source":"ScienceDirect","title":"Conditions of forest transition in Asian countries","volume":"76","author":[{"family":"Youn","given":"Yeo-Chang"},{"family":"Choi","given":"Junyeong"},{"family":"Jong","given":"Wil","non-dropping-particle":"de"},{"family":"Liu","given":"Jinlong"},{"family":"Park","given":"Mi Sun"},{"family":"Camacho","given":"Leni D."},{"family":"Tachibana","given":"Satoshi"},{"family":"Huudung","given":"Nguyen Din"},{"family":"Bhojvaid","given":"Padam Parkash"},{"family":"Damayanti","given":"Ellyn K."},{"family":"Wanneng","given":"Phongxiong"},{"family":"Othman","given":"Mohd Shawahid"}],"issued":{"date-parts":[["2017",3,1]]}}}],"schema":"https://github.com/citation-style-language/schema/raw/master/csl-citation.json"} </w:instrText>
      </w:r>
      <w:r w:rsidR="00D807A0">
        <w:fldChar w:fldCharType="separate"/>
      </w:r>
      <w:r w:rsidR="00D807A0" w:rsidRPr="00D807A0">
        <w:rPr>
          <w:rFonts w:ascii="Calibri" w:hAnsi="Calibri" w:cs="Calibri"/>
        </w:rPr>
        <w:t>(Youn et al. 2017)</w:t>
      </w:r>
      <w:r w:rsidR="00D807A0">
        <w:fldChar w:fldCharType="end"/>
      </w:r>
      <w:r w:rsidR="007A0D24">
        <w:t>, although it is worth noting that these increases can include planted forests</w:t>
      </w:r>
      <w:r w:rsidR="00D807A0">
        <w:t>.</w:t>
      </w:r>
      <w:r w:rsidR="008064C8">
        <w:t xml:space="preserve"> </w:t>
      </w:r>
      <w:r w:rsidR="00D807A0">
        <w:t xml:space="preserve">Nevertheless, there are still many countries </w:t>
      </w:r>
      <w:r w:rsidR="000E2087">
        <w:t xml:space="preserve">where economic development and global demand for commodities are driving high rates of forest loss, often in some of the most biodiverse regions </w:t>
      </w:r>
      <w:r w:rsidR="000E2087">
        <w:fldChar w:fldCharType="begin"/>
      </w:r>
      <w:r w:rsidR="000E2087">
        <w:instrText xml:space="preserve"> ADDIN ZOTERO_ITEM CSL_CITATION {"citationID":"kTy0Cljy","properties":{"formattedCitation":"(Hoang &amp; Kanemoto 2021)","plainCitation":"(Hoang &amp; Kanemoto 2021)","noteIndex":0},"citationItems":[{"id":2634,"uris":["http://zotero.org/users/2170232/items/FYD69L4I"],"uri":["http://zotero.org/users/2170232/items/FYD69L4I"],"itemData":{"id":2634,"type":"article-journal","abstract":"Deforestation,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0E2087">
        <w:fldChar w:fldCharType="separate"/>
      </w:r>
      <w:r w:rsidR="000E2087" w:rsidRPr="000E2087">
        <w:rPr>
          <w:rFonts w:ascii="Calibri" w:hAnsi="Calibri" w:cs="Calibri"/>
        </w:rPr>
        <w:t>(Hoang &amp; Kanemoto 2021)</w:t>
      </w:r>
      <w:r w:rsidR="000E2087">
        <w:fldChar w:fldCharType="end"/>
      </w:r>
      <w:r w:rsidR="000E2087">
        <w:t>.</w:t>
      </w:r>
      <w:r w:rsidR="004663FA">
        <w:t xml:space="preserve"> </w:t>
      </w:r>
      <w:r w:rsidR="006A5CDB">
        <w:t xml:space="preserve">In addition to meeting the required </w:t>
      </w:r>
      <w:r w:rsidR="006A5CDB" w:rsidRPr="007A0D24">
        <w:t>economic conditions</w:t>
      </w:r>
      <w:r w:rsidR="007A0D24" w:rsidRPr="007A0D24">
        <w:t xml:space="preserve"> </w:t>
      </w:r>
      <w:r w:rsidR="007A0D24">
        <w:t>that precede forest transitions</w:t>
      </w:r>
      <w:r w:rsidR="007A0D24">
        <w:t xml:space="preserve">, for example </w:t>
      </w:r>
      <w:r w:rsidR="007A0D24">
        <w:t>integration into global markets for capital, commodities, and labour</w:t>
      </w:r>
      <w:r w:rsidR="006A5CDB">
        <w:t>, effective governance relating to land use, forest protection, and agriculture is critical to ensure</w:t>
      </w:r>
      <w:r w:rsidR="001272BE">
        <w:t xml:space="preserve"> that</w:t>
      </w:r>
      <w:r w:rsidR="006A5CDB">
        <w:t xml:space="preserve"> forest transitions occur </w:t>
      </w:r>
      <w:r w:rsidR="006A5CDB">
        <w:fldChar w:fldCharType="begin"/>
      </w:r>
      <w:r w:rsidR="006A5CDB">
        <w:instrText xml:space="preserve"> ADDIN ZOTERO_ITEM CSL_CITATION {"citationID":"MSdYvTW6","properties":{"formattedCitation":"(Riggs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6A5CDB">
        <w:fldChar w:fldCharType="separate"/>
      </w:r>
      <w:r w:rsidR="006A5CDB" w:rsidRPr="006A5CDB">
        <w:rPr>
          <w:rFonts w:ascii="Calibri" w:hAnsi="Calibri" w:cs="Calibri"/>
        </w:rPr>
        <w:t>(Riggs et al. 2018)</w:t>
      </w:r>
      <w:r w:rsidR="006A5CDB">
        <w:fldChar w:fldCharType="end"/>
      </w:r>
      <w:r w:rsidR="006A5CDB">
        <w:t xml:space="preserve">. </w:t>
      </w:r>
      <w:r w:rsidR="00327EA7">
        <w:t>Therefore, u</w:t>
      </w:r>
      <w:r w:rsidR="006A5CDB" w:rsidRPr="006A5CDB">
        <w:t>nderstanding the relationships between</w:t>
      </w:r>
      <w:r w:rsidR="001272BE">
        <w:t xml:space="preserve"> both</w:t>
      </w:r>
      <w:r w:rsidR="006A5CDB" w:rsidRPr="006A5CDB">
        <w:t xml:space="preserve"> economic development and the agricultural sector on direct and indirect drivers of forest loss is crucial to develop appropriate policies</w:t>
      </w:r>
      <w:r w:rsidR="006A5CDB">
        <w:t>,</w:t>
      </w:r>
      <w:r w:rsidR="006A5CDB" w:rsidRPr="006A5CDB">
        <w:t xml:space="preserve"> identify leverage </w:t>
      </w:r>
      <w:r w:rsidR="006A5CDB" w:rsidRPr="006A5CDB">
        <w:lastRenderedPageBreak/>
        <w:t>points</w:t>
      </w:r>
      <w:r w:rsidR="006A5CDB">
        <w:t>, and support effective governance</w:t>
      </w:r>
      <w:r w:rsidR="006A5CDB" w:rsidRPr="006C7758">
        <w:rPr>
          <w:i/>
          <w:iCs/>
        </w:rPr>
        <w:t>.</w:t>
      </w:r>
      <w:r w:rsidR="00327EA7">
        <w:t xml:space="preserve"> </w:t>
      </w:r>
      <w:r w:rsidR="009B402C">
        <w:t>No previous studies have modelled the relationships between economic factors, agriculture, and forest loss in Cambodia, and this chapter aims to fill this knowledge gap.</w:t>
      </w:r>
    </w:p>
    <w:p w14:paraId="5029C368" w14:textId="2D208BEE" w:rsidR="006C7758" w:rsidRPr="000A0B92" w:rsidRDefault="000A0B92">
      <w:pPr>
        <w:rPr>
          <w:b/>
          <w:bCs/>
          <w:i/>
          <w:iCs/>
        </w:rPr>
      </w:pPr>
      <w:r w:rsidRPr="000A0B92">
        <w:rPr>
          <w:b/>
          <w:bCs/>
          <w:i/>
          <w:iCs/>
        </w:rPr>
        <w:t xml:space="preserve">2.1.2 </w:t>
      </w:r>
      <w:r w:rsidR="00351418" w:rsidRPr="000A0B92">
        <w:rPr>
          <w:b/>
          <w:bCs/>
          <w:i/>
          <w:iCs/>
        </w:rPr>
        <w:t xml:space="preserve">Deforestation in </w:t>
      </w:r>
      <w:r w:rsidR="006C7758" w:rsidRPr="000A0B92">
        <w:rPr>
          <w:b/>
          <w:bCs/>
          <w:i/>
          <w:iCs/>
        </w:rPr>
        <w:t>S</w:t>
      </w:r>
      <w:r w:rsidR="00C37341" w:rsidRPr="000A0B92">
        <w:rPr>
          <w:b/>
          <w:bCs/>
          <w:i/>
          <w:iCs/>
        </w:rPr>
        <w:t>outh</w:t>
      </w:r>
      <w:r w:rsidR="009B402C" w:rsidRPr="000A0B92">
        <w:rPr>
          <w:b/>
          <w:bCs/>
          <w:i/>
          <w:iCs/>
        </w:rPr>
        <w:t>e</w:t>
      </w:r>
      <w:r w:rsidR="00351418" w:rsidRPr="000A0B92">
        <w:rPr>
          <w:b/>
          <w:bCs/>
          <w:i/>
          <w:iCs/>
        </w:rPr>
        <w:t xml:space="preserve">ast </w:t>
      </w:r>
      <w:r w:rsidR="006C7758" w:rsidRPr="000A0B92">
        <w:rPr>
          <w:b/>
          <w:bCs/>
          <w:i/>
          <w:iCs/>
        </w:rPr>
        <w:t>A</w:t>
      </w:r>
      <w:r w:rsidR="00351418" w:rsidRPr="000A0B92">
        <w:rPr>
          <w:b/>
          <w:bCs/>
          <w:i/>
          <w:iCs/>
        </w:rPr>
        <w:t>sia</w:t>
      </w:r>
      <w:r w:rsidR="006C7758" w:rsidRPr="000A0B92">
        <w:rPr>
          <w:b/>
          <w:bCs/>
          <w:i/>
          <w:iCs/>
        </w:rPr>
        <w:t xml:space="preserve"> </w:t>
      </w:r>
    </w:p>
    <w:p w14:paraId="75DB6808" w14:textId="63342AA5" w:rsidR="006C7758" w:rsidRDefault="006A5CDB" w:rsidP="006C7758">
      <w:r w:rsidRPr="006A5CDB">
        <w:t>Southeast Asia (SEA) is characterised by complex biogeography and extensive tropical forest cover resulting in exceptional biological diversity</w:t>
      </w:r>
      <w:r w:rsidR="00261C3D">
        <w:t>, but has one of the highest deforestation rates in the world</w:t>
      </w:r>
      <w:r>
        <w:t xml:space="preserve"> </w:t>
      </w:r>
      <w:r>
        <w:fldChar w:fldCharType="begin"/>
      </w:r>
      <w:r>
        <w:instrText xml:space="preserve"> ADDIN ZOTERO_ITEM CSL_CITATION {"citationID":"IrRbN4Y9","properties":{"formattedCitation":"(Hughes 2017)","plainCitation":"(Hughes 2017)","noteIndex":0},"citationItems":[{"id":2333,"uris":["http://zotero.org/users/2170232/items/JBG8BXBR"],"uri":["http://zotero.org/users/2170232/items/JBG8BXBR"],"itemData":{"id":2333,"type":"article-journal","abstract":"Southeast Asia (SE Asia) is a known global hotspot of biodiversity and endemism, yet the region is also one of the most biotically threatened. Ecosystems across the region are threatened by an array of drivers, each of which increases the probability of extinction of species in a variety of ecosystems. These issues are symptomatic of the issues that face the global tropics; however, with around 4 billion people in the wider region and the associated pressures on biodiversity, this region may be under some of the greatest levels of biotic threat. Deforestation rates in SE Asia are some of the highest globally, additionally it has the highest rate of mining in the tropics, around the greatest number of hydropower dams under construction, and a consumption of species for traditional medicines which is a threat to biodiversity globally. In this review, the greatest threats to regional biodiversity in the SE Asian region are discussed. Tree-plantations and deforestation represent one of the most imminent threats, and some countries have already lost over half their original forest cover (i.e., the Philippines, parts of Indonesia), with projections of as much as 98% loss for some regions in the coming decade. Hunting and trade represent a significant threat as demand stems not only for food, but also for medicine, for ornamentation, and as a status symbol. Mining represents a frequently overlooked threat, as the Asian region is one of the greatest exporters of limestone and various minerals globally, and the cost of this to biodiversity is not only through the direct loss of areas for mines, but also through the development of roads that further fragment the landscape, the leakage of heavy metals, and the destruction of limestone karsts, which represent global endemicity hotspots. Reservoir construction, wetland drainage, fires, pollution, invasive species, disease, and finally climate change are also considered. Once each issue has been discussed, the overall prognosis of regional biodiversity and priority actions to protect SE Asian biodiversity in the future is discussed.","container-title":"Ecosphere","DOI":"10.1002/ecs2.1624","ISSN":"2150-8925","issue":"1","language":"en","page":"e01624","source":"Wiley Online Library","title":"Understanding the drivers of Southeast Asian biodiversity loss","volume":"8","author":[{"family":"Hughes","given":"Alice C."}],"issued":{"date-parts":[["2017"]]}}}],"schema":"https://github.com/citation-style-language/schema/raw/master/csl-citation.json"} </w:instrText>
      </w:r>
      <w:r>
        <w:fldChar w:fldCharType="separate"/>
      </w:r>
      <w:r w:rsidRPr="006A5CDB">
        <w:rPr>
          <w:rFonts w:ascii="Calibri" w:hAnsi="Calibri" w:cs="Calibri"/>
        </w:rPr>
        <w:t>(Hughes 2017)</w:t>
      </w:r>
      <w:r>
        <w:fldChar w:fldCharType="end"/>
      </w:r>
      <w:r>
        <w:t>.</w:t>
      </w:r>
      <w:r w:rsidRPr="006A5CDB">
        <w:t xml:space="preserve"> </w:t>
      </w:r>
      <w:r w:rsidR="009B402C">
        <w:t>As with deforestation around the world, t</w:t>
      </w:r>
      <w:r w:rsidR="006C7758" w:rsidRPr="006C7758">
        <w:t xml:space="preserve">he loss of SEA’s forests has potentially severe consequences for climate change </w:t>
      </w:r>
      <w:r w:rsidR="006C7758" w:rsidRPr="006C7758">
        <w:fldChar w:fldCharType="begin"/>
      </w:r>
      <w:r w:rsidR="00811E4E">
        <w:instrText xml:space="preserve"> ADDIN ZOTERO_ITEM CSL_CITATION {"citationID":"AseaowXU","properties":{"formattedCitation":"(Ceddia et al. 2015)","plainCitation":"(Ceddia et al. 2015)","noteIndex":0},"citationItems":[{"id":2142,"uris":["http://zotero.org/users/2170232/items/96TCP83Z"],"uri":["http://zotero.org/users/2170232/items/96TCP83Z"],"itemData":{"id":2142,"type":"article-journal","abstract":"Agricultural expansion remains the most important proximate cause of tropical deforestation, while interactions between socio-economic, technological and institutional factors represent the fundamental drivers. Projected population increases could further raise the pressure on the remaining forests, unless agricultural intensification allows raising agricultural output without expanding agricultural areas. The purpose of this article is to understand the role of institutional factors in governing the intensification process towards the goal of preserving forests from agricultural pressures, with a focus on Indigenous Peoples’ and local communities’ rights to forests (as embedded in the various tenure regimes). In this paper we adopt an international dimension and analyse the process of agricultural expansion across eleven Latin American countries over the period 1990–2010 to assess whether, in a context of agricultural intensification, different land tenure regimes impact differently on the realization of land-sparing or Jevons paradox. The results, based on a number of multivariate statistical models that controls for socio-economic factors, strongly suggest that the formal recognition of Indigenous Peoples and local communities’ forest rights has played an important role in promoting land sparing or attenuating Jevons paradox.","container-title":"Global Environmental Change","DOI":"10.1016/j.gloenvcha.2015.09.010","ISSN":"0959-3780","journalAbbreviation":"Global Environmental Change","language":"en","page":"316-322","source":"ScienceDirect","title":"Land tenure and agricultural expansion in Latin America: The role of Indigenous Peoples’ and local communities’ forest rights","title-short":"Land tenure and agricultural expansion in Latin America","volume":"35","author":[{"family":"Ceddia","given":"M. Graziano"},{"family":"Gunter","given":"Ulrich"},{"family":"Corriveau-Bourque","given":"Alexandre"}],"issued":{"date-parts":[["2015",11,1]]}}}],"schema":"https://github.com/citation-style-language/schema/raw/master/csl-citation.json"} </w:instrText>
      </w:r>
      <w:r w:rsidR="006C7758" w:rsidRPr="006C7758">
        <w:fldChar w:fldCharType="separate"/>
      </w:r>
      <w:r w:rsidR="00811E4E" w:rsidRPr="00811E4E">
        <w:rPr>
          <w:rFonts w:ascii="Calibri" w:hAnsi="Calibri" w:cs="Calibri"/>
        </w:rPr>
        <w:t>(Ceddia et al. 2015)</w:t>
      </w:r>
      <w:r w:rsidR="006C7758" w:rsidRPr="006C7758">
        <w:fldChar w:fldCharType="end"/>
      </w:r>
      <w:r w:rsidR="006C7758" w:rsidRPr="006C7758">
        <w:t xml:space="preserve">, ecosystem-based adaptation </w:t>
      </w:r>
      <w:r w:rsidR="006C7758" w:rsidRPr="006C7758">
        <w:fldChar w:fldCharType="begin"/>
      </w:r>
      <w:r w:rsidR="00811E4E">
        <w:instrText xml:space="preserve"> ADDIN ZOTERO_ITEM CSL_CITATION {"citationID":"fqc8sra8","properties":{"formattedCitation":"(Estoque et al. 2019)","plainCitation":"(Estoque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006C7758" w:rsidRPr="006C7758">
        <w:fldChar w:fldCharType="separate"/>
      </w:r>
      <w:r w:rsidR="00811E4E" w:rsidRPr="00811E4E">
        <w:rPr>
          <w:rFonts w:ascii="Calibri" w:hAnsi="Calibri" w:cs="Calibri"/>
        </w:rPr>
        <w:t>(Estoque et al. 2019)</w:t>
      </w:r>
      <w:r w:rsidR="006C7758" w:rsidRPr="006C7758">
        <w:fldChar w:fldCharType="end"/>
      </w:r>
      <w:r w:rsidR="006C7758" w:rsidRPr="006C7758">
        <w:t xml:space="preserve">, local people </w:t>
      </w:r>
      <w:r w:rsidR="006C7758" w:rsidRPr="006C7758">
        <w:fldChar w:fldCharType="begin"/>
      </w:r>
      <w:r w:rsidR="00811E4E">
        <w:instrText xml:space="preserve"> ADDIN ZOTERO_ITEM CSL_CITATION {"citationID":"RcrAL2wZ","properties":{"formattedCitation":"(Poffenberger 2006; Culas 2007; Gaughan et al. 2009; Frewer &amp; Chan 2014)","plainCitation":"(Poffenberger 2006; Culas 2007; Gaughan et al. 2009; Frewer &amp; Chan 2014)","noteIndex":0},"citationItems":[{"id":2123,"uris":["http://zotero.org/users/2170232/items/GFXZ4GUN"],"uri":["http://zotero.org/users/2170232/items/GFXZ4GUN"],"itemData":{"id":2123,"type":"article-journal","abstract":"Institutions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J."}],"issued":{"date-parts":[["2007",3,1]]}}},{"id":1667,"uris":["http://zotero.org/users/2170232/items/W5KFBHFU"],"uri":["http://zotero.org/users/2170232/items/W5KFBHFU"],"itemData":{"id":1667,"type":"article-journal","abstract":"GIS-RS techniques offer great potential for providing insights into the spatiality and temporality of the messy realties of deforestation. However, rather than positing that the land use maps produced using these novel technologies can cut through politics, it is argued that the map is merely an artifact of the broader process of land use planning which is constitutive of politics. This article critically reflects on a major land use mapping exercise that the two authors were involved with, in central Cambodia. It argues that GIS analysts need to go beyond merely a concern for ‘the local’, and have their own ‘honest’ teleologies that can navigate the complexities of environmental politics. This article shows how particular categorizations of land use that the analyst creates in accordance with their own desires and the technical limitations of GIS, are often bound up in techniques of government.","container-title":"Human Ecology","DOI":"10.1007/s10745-013-9639-z","ISSN":"0300-7839, 1572-9915","issue":"2","journalAbbreviation":"Hum Ecol","language":"en","page":"267-281","source":"link.springer.com","title":"GIS and the ‘Usual Suspects’-[Mis]understanding Land Use Change in Cambodia","volume":"42","author":[{"family":"Frewer","given":"Tim"},{"family":"Chan","given":"Sopheak"}],"issued":{"date-parts":[["2014",4,1]]}}},{"id":1664,"uris":["http://zotero.org/users/2170232/items/8DCNZD8D"],"uri":["http://zotero.org/users/2170232/items/8DCNZD8D"],"itemData":{"id":1664,"type":"article-journal","abstract":"The Angkor basin of Cambodia, the site of the great Angkor temple complex, has experienced explosive tourism growth since the 1993 onset of national political stability and renewed international investment, which in turn has driven increasing demand for water, wood, and biomass fuel, and rapid and extensive land-use and land-cover change. We use multi-temporal Landsat imagery (1989–2005) to describe the rate and extent of land-cover change throughout the Angkor basin. While 50% of the landscape remained in rice agriculture it is notable that a larger proportion of the area was deforested (23.4%) than experienced forest regrowth (4.9%). Most forest loss occurred between the Angkor temple complex and Phnom Kulen National Park, and was due in part to charcoal production to serve the tourist industry, and also conversion to permanent agriculture. The small area of forest increase was concentrated along the eastern boundary of the main Angkor complex. The interplay among global (tourism, climate), regional (national policies, large-river management), and local (construction and agriculture, energy and water sources to support the tourism industry) factors drives a distinctive but complex pattern of land-use and land-cover change.","container-title":"Applied Geography","DOI":"10.1016/j.apgeog.2008.09.007","ISSN":"0143-6228","issue":"2","journalAbbreviation":"Applied Geography","page":"212-223","source":"ScienceDirect","title":"Tourism, forest conversion, and land transformations in the Angkor basin, Cambodia","volume":"29","author":[{"family":"Gaughan","given":"Andrea E."},{"family":"Binford","given":"Michael W."},{"family":"Southworth","given":"Jane"}],"issued":{"date-parts":[["2009",4,1]]}}},{"id":2737,"uris":["http://zotero.org/users/2170232/items/BT8F3AB3"],"uri":["http://zotero.org/users/2170232/items/BT8F3AB3"],"itemData":{"id":2737,"type":"article-journal","abstract":"This paper documents experiences of community forest management in five Southeast Asian nations. It briefly describes the historical and political context that frames contemporary forest sector changes, examining important shifts occurring in the forest policy sector in Cambodia, Indonesia, the Philippines, Thailand and Vietnam, following the decline of industrial forest management paradigms over the last two decades and the emergence of a new generation of environmentally and socially oriented policies and legislation. The paper explores how these new policies, laws and national programmes are affecting forest-dependent people across the region in an effort to track the transition in forest management on the ground. The paper also examines how community forestry systems are affecting forest cover, biodiversity and rural livelihoods.","container-title":"International Journal of Environment and Sustainable Development","DOI":"10.1504/IJESD.2006.008683","ISSN":"1474-6778","issue":"1","note":"publisher: Inderscience Publishers","page":"57-69","source":"inderscienceonline.com (Atypon)","title":"People in the forest: community forestry experiences from Southeast Asia","title-short":"People in the forest","volume":"5","author":[{"family":"Poffenberger","given":"Mark"}],"issued":{"date-parts":[["2006",1,1]]}}}],"schema":"https://github.com/citation-style-language/schema/raw/master/csl-citation.json"} </w:instrText>
      </w:r>
      <w:r w:rsidR="006C7758" w:rsidRPr="006C7758">
        <w:fldChar w:fldCharType="separate"/>
      </w:r>
      <w:r w:rsidR="00811E4E" w:rsidRPr="00811E4E">
        <w:rPr>
          <w:rFonts w:ascii="Calibri" w:hAnsi="Calibri" w:cs="Calibri"/>
        </w:rPr>
        <w:t>(Poffenberger 2006; Culas 2007; Gaughan et al. 2009; Frewer &amp; Chan 2014)</w:t>
      </w:r>
      <w:r w:rsidR="006C7758" w:rsidRPr="006C7758">
        <w:fldChar w:fldCharType="end"/>
      </w:r>
      <w:r w:rsidR="006C7758" w:rsidRPr="006C7758">
        <w:t xml:space="preserve">, and biodiversity </w:t>
      </w:r>
      <w:r w:rsidR="006C7758" w:rsidRPr="006C7758">
        <w:fldChar w:fldCharType="begin"/>
      </w:r>
      <w:r w:rsidR="00811E4E">
        <w:instrText xml:space="preserve"> ADDIN ZOTERO_ITEM CSL_CITATION {"citationID":"mDx6OkB0","properties":{"formattedCitation":"(Hearn et al. 2018; Chapman et al. 2018)","plainCitation":"(Hearn et al. 2018; Chapman et al. 2018)","noteIndex":0},"citationItems":[{"id":1976,"uris":["http://zotero.org/users/2170232/items/Y9Y4H5KS"],"uri":["http://zotero.org/users/2170232/items/Y9Y4H5KS"],"itemData":{"id":1976,"type":"article-journal","abstract":"Biodiversity conservation strategies increasingly target maintaining evolutionary history and the resilience of ecosystem function, not just species richness (SR). This has led to the emergence of two metrics commonly proposed as tools for decision making: phylogenetic diversity (PD) and functional diversity (FD). Yet, the extent to which they are interchangeable remains poorly understood. We explore shifts in and relationships between FD and PD of bird communities across a disturbance gradient in Borneo, from old-growth tropical forest to oil palm plantation. We show a marked decline in PD, and an increase in phylogenetic mean nearest taxon distance from forest to oil palm, in line with declining SR across the gradient. However, phylogenetic mean pairwise distance is constrained by forest logging more than by conversion to oil palm, taking account of SR. The decline in FD across the gradient is less severe than in PD, with all metrics indicating relatively high trait diversity in oil palm despite low SR, although functional redundancy is much reduced. Accounting for SR, levels of functional over- or under-dispersion of bird communities are strongly coupled to habitat disturbance level rather than to any equivalent phylogenetic metric. Policy implications. We suggest that while phylogenetic diversity (PD) is an improvement on species richness as a proxy for functional diversity (FD), conservation decisions based on phylogenetic diversity alone cannot reliably safeguard maximal functional diversity. Thus, phylogenetic diversity and functional diversity are related but still complementary. Priority setting exercises should use these metrics in combination to identify conservation targets.","container-title":"Journal of Applied Ecology","DOI":"10.1111/1365-2664.13073","ISSN":"1365-2664","issue":"4","language":"en","page":"1604-1614","source":"Wiley Online Library","title":"Contrasting impacts of land-use change on phylogenetic and functional diversity of tropical forest birds","volume":"55","author":[{"family":"Chapman","given":"Philip M."},{"family":"Tobias","given":"Joseph A."},{"family":"Edwards","given":"David P."},{"family":"Davies","given":"Richard G."}],"issued":{"date-parts":[["2018",7,1]]}}},{"id":1842,"uris":["http://zotero.org/users/2170232/items/VQMXAE7B"],"uri":["http://zotero.org/users/2170232/items/VQMXAE7B"],"itemData":{"id":1842,"type":"article-journal","abstract":"The forests of Borneo support some of the highest biodiversity in the world, yet have experienced among the world's highest rates of deforestation. Such rapid forest loss and associated fragmentation reduces the availability of suitable habitat for wildlife and creates dispersion barriers. Understanding the prevalence and impacts of this anthropogenic disturbance, and developing ways in which to mitigate such changes, is thus critical to the conservation of Borneo's wildlife. Here, we applied a path selection function with conditional logistic regression and used it to develop a resistance surface for a population of Sunda clouded leopards (Neofelis diardi) residing within a fragmented and human dominated landscape in Malaysian Borneo. We used cumulative resistant kernel and factorial least-cost path analysis to predict how connectivity may change in response to four future scenarios involving conversion of remaining unproductive forest to palm oil plantations, conversion of unproductive palm oil back to forest, and restoration of a riparian buffer zone along the river, and combination of the two forest restoration scenarios. We showed that Sunda clouded leopard movement is facilitated by forest canopy cover and resisted by non-forest vegetation, particularly recently cleared/planted and underproductive (flooded) plantation areas with low canopy closure. By combining resistant kernel and factorial least-cost path modelling we mapped core areas and the main linkages among them, and identified several key pinch points that may limit regional connectivity of the population. We predict that Sunda clouded leopard connectivity in the region can be greatly enhanced through the protection of privately owned forest patches and the reforestation of underproductive oil palm plantation areas, and creation of a forested buffer zone along the river. Conversely, we show that if the region's unprotected forests were to be converted to plantations then connectivity across the Kinabatangan floodplain would be significantly reduced.","container-title":"Biological Conservation","DOI":"10.1016/j.biocon.2018.04.016","ISSN":"0006-3207","journalAbbreviation":"Biological Conservation","page":"232-240","source":"ScienceDirect","title":"Evaluating scenarios of landscape change for Sunda clouded leopard connectivity in a human dominated landscape","volume":"222","author":[{"family":"Hearn","given":"Andrew J."},{"family":"Cushman","given":"Samuel A."},{"family":"Goossens","given":"Benoit"},{"family":"Macdonald","given":"Ewan"},{"family":"Ross","given":"Joanna"},{"family":"Hunter","given":"Luke T. B."},{"family":"Abram","given":"Nicola K."},{"family":"Macdonald","given":"David W."}],"issued":{"date-parts":[["2018",6,1]]}}}],"schema":"https://github.com/citation-style-language/schema/raw/master/csl-citation.json"} </w:instrText>
      </w:r>
      <w:r w:rsidR="006C7758" w:rsidRPr="006C7758">
        <w:fldChar w:fldCharType="separate"/>
      </w:r>
      <w:r w:rsidR="00811E4E" w:rsidRPr="00811E4E">
        <w:rPr>
          <w:rFonts w:ascii="Calibri" w:hAnsi="Calibri" w:cs="Calibri"/>
        </w:rPr>
        <w:t>(Hearn et al. 2018; Chapman et al. 2018)</w:t>
      </w:r>
      <w:r w:rsidR="006C7758" w:rsidRPr="006C7758">
        <w:fldChar w:fldCharType="end"/>
      </w:r>
      <w:r w:rsidR="006C7758" w:rsidRPr="006C7758">
        <w:t xml:space="preserve">. The drivers of tropical deforestation vary both by location and by scale, ranging from broader drivers such as population pressure and weak institutions </w:t>
      </w:r>
      <w:r w:rsidR="006C7758" w:rsidRPr="006C7758">
        <w:fldChar w:fldCharType="begin"/>
      </w:r>
      <w:r w:rsidR="00811E4E">
        <w:instrText xml:space="preserve"> ADDIN ZOTERO_ITEM CSL_CITATION {"citationID":"EmhxK2qd","properties":{"formattedCitation":"(Geist &amp; Lambin 2002)","plainCitation":"(Geist &amp; Lambin 2002)","noteIndex":0},"citationItems":[{"id":1947,"uris":["http://zotero.org/users/2170232/items/HNTSNFG3"],"uri":["http://zotero.org/users/2170232/items/HNTSNFG3"],"itemData":{"id":1947,"type":"article-journal","abstract":"One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F."}],"issued":{"date-parts":[["2002",2,1]]}}}],"schema":"https://github.com/citation-style-language/schema/raw/master/csl-citation.json"} </w:instrText>
      </w:r>
      <w:r w:rsidR="006C7758" w:rsidRPr="006C7758">
        <w:fldChar w:fldCharType="separate"/>
      </w:r>
      <w:r w:rsidR="00811E4E" w:rsidRPr="00811E4E">
        <w:rPr>
          <w:rFonts w:ascii="Calibri" w:hAnsi="Calibri" w:cs="Calibri"/>
        </w:rPr>
        <w:t>(Geist &amp; Lambin 2002)</w:t>
      </w:r>
      <w:r w:rsidR="006C7758" w:rsidRPr="006C7758">
        <w:fldChar w:fldCharType="end"/>
      </w:r>
      <w:r w:rsidR="006C7758" w:rsidRPr="006C7758">
        <w:t xml:space="preserve">, to proximate causes at a local level such as the expansion of cash crops, agriculture and other food production </w:t>
      </w:r>
      <w:r w:rsidR="006C7758" w:rsidRPr="006C7758">
        <w:fldChar w:fldCharType="begin"/>
      </w:r>
      <w:r w:rsidR="00811E4E">
        <w:instrText xml:space="preserve"> ADDIN ZOTERO_ITEM CSL_CITATION {"citationID":"UpA8XHle","properties":{"formattedCitation":"(Wilcove et al. 2013; Stibig et al. 2014; Imai et al. 2018; Zeng et al. 2018; Estoque et al. 2019)","plainCitation":"(Wilcove et al. 2013; Stibig et al. 2014; Imai et al. 2018; Zeng et al. 2018; 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id":2733,"uris":["http://zotero.org/users/2170232/items/DZPX3TUY"],"uri":["http://zotero.org/users/2170232/items/DZPX3TUY"],"itemData":{"id":2733,"type":"article-journal","abstract":"&lt;p&gt;&lt;strong class=\"journal-contentHeaderColor\"&gt;Abstract.&lt;/strong&gt; The study assesses the extent and trends of forest cover in Southeast Asia for the periods 1990–2000 and 2000–2010 and provides an overview on the main causes of forest cover change. A systematic sample of 418 sites (10 km × 10 km size) located at the one-degree geographical confluence points and covered with satellite imagery of 30 m resolution is used for the assessment. Techniques of image segmentation and automated classification are combined with visual satellite image interpretation and quality control, involving forestry experts from Southeast Asian countries. The accuracy of our results is assessed through an independent consistency assessment, performed from a subsample of 1572 mapping units and resulting in an overall agreement of &gt;85% for the general differentiation of forest cover versus non-forest cover. The total forest cover of Southeast Asia is estimated at 268 Mha in 1990, dropping to 236 Mha in 2010, with annual change rates of 1.75 Mha (&amp;sim;0.67%) and 1.45 Mha (&amp;sim;0.59%) for the periods 1990–2000 and 2000–2010, respectively. The vast majority of forest cover loss (&amp;sim;2 / 3 for 2000–2010) occurred in insular Southeast Asia. Complementing our quantitative results by indicative information on patterns and on processes of forest change, obtained from the screening of satellite imagery and through expert consultation, respectively, confirms the conversion of forest to cash crops plantations (including oil palm) as the main cause of forest loss in Southeast Asia. Logging and the replacement of natural forests by forest plantations are two further important change processes in the region.&lt;/p&gt;","container-title":"Biogeosciences","DOI":"10.5194/bg-11-247-2014","ISSN":"1726-4170","issue":"2","language":"English","note":"publisher: Copernicus GmbH","page":"247-258","source":"bg.copernicus.org","title":"Change in tropical forest cover of Southeast Asia from 1990 to 2010","volume":"11","author":[{"family":"Stibig","given":"H.-J."},{"family":"Achard","given":"F."},{"family":"Carboni","given":"S."},{"family":"Raši","given":"R."},{"family":"Miettinen","given":"J."}],"issued":{"date-parts":[["2014",1,22]]}}},{"id":2195,"uris":["http://zotero.org/users/2170232/items/M5QJLZLP"],"uri":["http://zotero.org/users/2170232/items/M5QJLZLP"],"itemData":{"id":2195,"type":"article-journal","abstract":"In 2004, Navjot Sodhi and colleagues warned that logging and agricultural conversion of Southeast Asia's forests were leading to a biodiversity disaster. We evaluate this prediction against subsequent research and conclude that most of the fauna of the region can persist in logged forests. Conversely, conversion of primary or logged forests to plantation crops, such as oil palm, causes tremendous biodiversity loss. This loss is exacerbated by increased fire frequency. Therefore, we conclude that preventing agricultural conversion of logged forests is essential to conserving the biodiversity of this region. Our analysis also suggests that, because Southeast Asian forests are tightly tied to global commodity markets, conservation payments commensurate with combined returns from logging and subsequent agricultural production may be required to secure long-term forest protection.","container-title":"Trends in Ecology &amp; Evolution","DOI":"10.1016/j.tree.2013.04.005","ISSN":"0169-5347","issue":"9","journalAbbreviation":"Trends in Ecology &amp; Evolution","language":"en","page":"531-540","source":"ScienceDirect","title":"Navjot's nightmare revisited: logging, agriculture, and biodiversity in Southeast Asia","title-short":"Navjot's nightmare revisited","volume":"28","author":[{"family":"Wilcove","given":"David S."},{"family":"Giam","given":"Xingli"},{"family":"Edwards","given":"David P."},{"family":"Fisher","given":"Brendan"},{"family":"Koh","given":"Lian Pin"}],"issued":{"date-parts":[["2013",9,1]]}}},{"id":1978,"uris":["http://zotero.org/users/2170232/items/3I4YRHR4"],"uri":["http://zotero.org/users/2170232/items/3I4YRHR4"],"itemData":{"id":1978,"type":"article-journal","abstract":"Cultivated areas have expanded at the expense of forests, including primary and protected forests, in Southeast Asian highlands, according to an analysis of satellite imagery of the region.","container-title":"Nature Geoscience","DOI":"10.1038/s41561-018-0166-9","ISSN":"1752-0908","language":"en","page":"1","source":"www.nature.com","title":"Highland cropland expansion and forest loss in Southeast Asia in the twenty-first century","author":[{"family":"Zeng","given":"Zhenzhong"},{"family":"Estes","given":"Lyndon"},{"family":"Ziegler","given":"Alan D."},{"family":"Chen","given":"Anping"},{"family":"Searchinger","given":"Timothy"},{"family":"Hua","given":"Fangyuan"},{"family":"Guan","given":"Kaiyu"},{"family":"Jintrawet","given":"Attachai"},{"family":"Wood","given":"Eric F."}],"issued":{"date-parts":[["2018",7,2]]}}}],"schema":"https://github.com/citation-style-language/schema/raw/master/csl-citation.json"} </w:instrText>
      </w:r>
      <w:r w:rsidR="006C7758" w:rsidRPr="006C7758">
        <w:fldChar w:fldCharType="separate"/>
      </w:r>
      <w:r w:rsidR="00811E4E" w:rsidRPr="00811E4E">
        <w:rPr>
          <w:rFonts w:ascii="Calibri" w:hAnsi="Calibri" w:cs="Calibri"/>
        </w:rPr>
        <w:t>(Wilcove et al. 2013; Stibig et al. 2014; Imai et al. 2018; Zeng et al. 2018; Estoque et al. 2019)</w:t>
      </w:r>
      <w:r w:rsidR="006C7758" w:rsidRPr="006C7758">
        <w:fldChar w:fldCharType="end"/>
      </w:r>
      <w:r w:rsidR="006C7758" w:rsidRPr="006C7758">
        <w:t xml:space="preserve">, the associated development of roads and infrastructure that facilitate such expansion </w:t>
      </w:r>
      <w:r w:rsidR="006C7758" w:rsidRPr="006C7758">
        <w:fldChar w:fldCharType="begin"/>
      </w:r>
      <w:r w:rsidR="00811E4E">
        <w:instrText xml:space="preserve"> ADDIN ZOTERO_ITEM CSL_CITATION {"citationID":"rKcBzjEI","properties":{"formattedCitation":"(Hughes 2018)","plainCitation":"(Hughes 2018)","noteIndex":0},"citationItems":[{"id":2335,"uris":["http://zotero.org/users/2170232/items/J2ZS8K3F"],"uri":["http://zotero.org/users/2170232/items/J2ZS8K3F"],"itemData":{"id":2335,"type":"article-journal","abstract":"The Indo-Malaysian region harbours some of the highest diversity globally, yet it is also has the highest rates of deforestation. Furthermore some countries have shown up-to a 10 times increase in the area deforested annually between 2001 and 2014. Large-scale forest clearance is preceded by the growth of road networks which provide a stark warning for the region's future as many of the roads established for clearance or infrastructure are illegal and unmapped. In some regions almost 100% of roads were previously unmapped on the global roads map, yet 99.9% of deforestation occurs within 2.5 km of these roads. In Borneo the majority of plantations are on an industrial-scale averaging over 10 km2 in size, whereas most of the region typically has plantations under 1 km2 integrated into a landscape mosaic, though the preliminary infrastructure for industrial plantations are being developed in parts of the region. Within the coming decade most of the region may lose almost all unprotected forests. As some countries have only 2% of their land-area protected this condemns many of the regions endemic species to extinction. Urgent measures are needed to protect a much larger proportion of remaining forest, as this offers the only means to protect many of the regions endemic species.","container-title":"Biological Conservation","DOI":"10.1016/j.biocon.2018.04.029","ISSN":"0006-3207","journalAbbreviation":"Biological Conservation","page":"129-137","source":"ScienceDirect","title":"Have Indo-Malaysian forests reached the end of the road?","volume":"223","author":[{"family":"Hughes","given":"Alice C."}],"issued":{"date-parts":[["2018"]]}}}],"schema":"https://github.com/citation-style-language/schema/raw/master/csl-citation.json"} </w:instrText>
      </w:r>
      <w:r w:rsidR="006C7758" w:rsidRPr="006C7758">
        <w:fldChar w:fldCharType="separate"/>
      </w:r>
      <w:r w:rsidR="00811E4E" w:rsidRPr="00811E4E">
        <w:rPr>
          <w:rFonts w:ascii="Calibri" w:hAnsi="Calibri" w:cs="Calibri"/>
        </w:rPr>
        <w:t>(Hughes 2018)</w:t>
      </w:r>
      <w:r w:rsidR="006C7758" w:rsidRPr="006C7758">
        <w:fldChar w:fldCharType="end"/>
      </w:r>
      <w:r w:rsidR="006C7758" w:rsidRPr="006C7758">
        <w:t xml:space="preserve">, and civil unrest and war </w:t>
      </w:r>
      <w:r w:rsidR="006C7758" w:rsidRPr="006C7758">
        <w:fldChar w:fldCharType="begin"/>
      </w:r>
      <w:r w:rsidR="00811E4E">
        <w:instrText xml:space="preserve"> ADDIN ZOTERO_ITEM CSL_CITATION {"citationID":"YkGNnzyW","properties":{"formattedCitation":"(Kaimowitz &amp; Faun\\uc0\\u233{} 2003; Price 2020)","plainCitation":"(Kaimowitz &amp; Fauné 2003; Price 2020)","noteIndex":0},"citationItems":[{"id":2743,"uris":["http://zotero.org/users/2170232/items/TGT4FUZQ"],"uri":["http://zotero.org/users/2170232/items/TGT4FUZQ"],"itemData":{"id":2743,"type":"article-journal","abstract":"In the 1980s, Nicaragua's Sandinista government faced armed mestizo and indigenous insurgencies in much of the nation's central and eastern regions. After the Sandinistas lost the 1990 elections, the in-coming government signed peace agreements with the insurgents and facilitated their return to civilian life. With the war over, the Nicaraguan army greatly reduced its troop strength, leaving tens of thousands of people unemployed. Within a few years, however, many former insurgents and soldiers took up arms again for multiple and complex reasons. This paper examines how three groups that rearmed influenced forest conservation in the buffer zone of Nicaragua's Bosawas Biosphere Reserve between 1991 and 1999. The three groups were the mestizo Northern Front 3-80 (FN 3-80) and the Andrés Castro United Forces (FUAC), made up of former ‘Nicaraguan Resistance’ and Sandinista soldiers respectively, and the Miskito YATAMA movement. The presence of these armed groups impeded the government from taking coercive action to remove farmers from the reserve's nucleus. It also limited the advance of cattle ranching. At times, the groups favored logging, at times they did not. The armed conflicts have tended to keep out prudent foreign investors and encourage the presence of smaller companies willing to take greater risks.","container-title":"Journal of Sustainable Forestry","DOI":"10.1300/J091v16n03_02","ISSN":"1054-9811","issue":"3-4","note":"publisher: Taylor &amp; Francis\n_eprint: https://doi.org/10.1300/J091v16n03_02","page":"21-46","source":"Taylor and Francis+NEJM","title":"Contras and Comandantes","volume":"16","author":[{"family":"Kaimowitz","given":"David"},{"family":"Fauné","given":"Angelica"}],"issued":{"date-parts":[["2003",3,1]]}}},{"id":2741,"uris":["http://zotero.org/users/2170232/items/7R5ICILE"],"uri":["http://zotero.org/users/2170232/items/7R5ICILE"],"itemData":{"id":2741,"type":"book","abstract":"Explore the conservation implications of recent armed conflicts in the tropical forest regions of Asia, Africa, and Latin America!  From the lowland rainforests of the Colombian Amazon to the rugged habitat of Rwanda's mountain gorillas, civil, ethnic, and international wars have had severe impacts on tropical forests and the communities they sustain. The reemergence of war and the persistence of its impacts have led many conservationists to reassess their efforts and adapt their strategies to a new set of responsibilities and urgent challenges. War and Tropical Forests: Conservation in Areas of Armed Conflict explores these challenges and the lessons learned by conservationists working in conflict zones around the world. It combines case studies and comparative analyses by leading experts in ecological research, environmental policy, and conservation field programs to provide insight into the environmental dimensions of recent social, political, and humanitarian crises. War and Tropical Forests reviews lessons learned from conflict zones around the world and explores:  the potential of conservation to reduce the frequency, duration, and impact of war  preparation of conservation programs and local communities for crises  strategies for maintaining conservation capacity during times of conflict  the underlying political and economic factors that fuel war  legal mechanisms for addressing wartime damage to tropical forests  building partnerships amidst civil strife and political upheaval  This essential book also examines:  the Indonesian military's role in illegal logging and deforestation  violent conflict and gorilla poaching in the Democratic Republic of Congo  armed movements and forest conservation in Nicaragua's largest protected area  and much more! War and Tropical Forests also addresses the role of militaries in the inequitable control and illicit use of forest resources, the environmental impact of refugees, the growing social and environmental costs of efforts to eradicate drug crops, and the impact of conflict on protected area management in the habitat of Africa's endangered great apes.  War and Tropical Forests is an essential resource for conservation practitioners and policymakers, as well as anyone involved with human rights, conflict resolution, rural development, international law, or foreign relations.","ISBN":"978-1-00-015681-2","language":"en","note":"Google-Books-ID: hxb8DwAAQBAJ","number-of-pages":"224","publisher":"CRC Press","source":"Google Books","title":"War and Tropical Forests: Conservation in Areas of Armed Conflict","title-short":"War and Tropical Forests","author":[{"family":"Price","given":"Steven"}],"issued":{"date-parts":[["2020",9,10]]}}}],"schema":"https://github.com/citation-style-language/schema/raw/master/csl-citation.json"} </w:instrText>
      </w:r>
      <w:r w:rsidR="006C7758" w:rsidRPr="006C7758">
        <w:fldChar w:fldCharType="separate"/>
      </w:r>
      <w:r w:rsidR="00811E4E" w:rsidRPr="00811E4E">
        <w:rPr>
          <w:rFonts w:ascii="Calibri" w:hAnsi="Calibri" w:cs="Calibri"/>
          <w:szCs w:val="24"/>
        </w:rPr>
        <w:t>(Kaimowitz &amp; Fauné 2003; Price 2020)</w:t>
      </w:r>
      <w:r w:rsidR="006C7758" w:rsidRPr="006C7758">
        <w:fldChar w:fldCharType="end"/>
      </w:r>
      <w:r w:rsidR="006C7758" w:rsidRPr="006C7758">
        <w:t xml:space="preserve">. </w:t>
      </w:r>
      <w:r w:rsidR="00261C3D">
        <w:t>Despite the pressure on SEA’s forests, some countries</w:t>
      </w:r>
      <w:r w:rsidR="000B1FE5">
        <w:t xml:space="preserve"> within the region</w:t>
      </w:r>
      <w:r w:rsidR="00261C3D">
        <w:t xml:space="preserve"> have undergone forest transitions and </w:t>
      </w:r>
      <w:r w:rsidR="009436B4">
        <w:t xml:space="preserve">are seeing net increases in forest cover </w:t>
      </w:r>
      <w:r w:rsidR="009436B4">
        <w:fldChar w:fldCharType="begin"/>
      </w:r>
      <w:r w:rsidR="009436B4">
        <w:instrText xml:space="preserve"> ADDIN ZOTERO_ITEM CSL_CITATION {"citationID":"kf2Dyx9V","properties":{"formattedCitation":"(Youn et al. 2017)","plainCitation":"(Youn et al. 2017)","noteIndex":0},"citationItems":[{"id":2895,"uris":["http://zotero.org/users/2170232/items/NL89FZLE"],"uri":["http://zotero.org/users/2170232/items/NL89FZLE"],"itemData":{"id":2895,"type":"article-journal","abstract":"This study identifies the important factors that contribute to or inhibit forest transitions in nine Asian countries: China, India, Indonesia, Japan, Laos, Malaysia, Republic of Korea, Philippines, and Vietnam. A qualitative comparative analysis method was used to determine which conditions or combinations of conditions led to or prevented a forest transition. Under the condition of public ownership with no private forest tenure or ownership of forest land, there was no instance of forest transition among the nine countries studied. Under the condition of non-liberal timber trade policies, there was no instance of forest transition in the countries studied. The results of this analysis suggest that for a forest transition to occur, the country should liberalize timber import and provide forest tenure to the private sector. Based on these results, we argue that in order for a forest transition to take place or for REDD+ to be effective, the state should allow for private sector to participate in forest management and create market conditions that meet the demand for timber via trade policy alignment.","collection-title":"Forest transition in Asia","container-title":"Forest Policy and Economics","DOI":"10.1016/j.forpol.2016.07.005","ISSN":"1389-9341","journalAbbreviation":"Forest Policy and Economics","language":"en","page":"14-24","source":"ScienceDirect","title":"Conditions of forest transition in Asian countries","volume":"76","author":[{"family":"Youn","given":"Yeo-Chang"},{"family":"Choi","given":"Junyeong"},{"family":"Jong","given":"Wil","non-dropping-particle":"de"},{"family":"Liu","given":"Jinlong"},{"family":"Park","given":"Mi Sun"},{"family":"Camacho","given":"Leni D."},{"family":"Tachibana","given":"Satoshi"},{"family":"Huudung","given":"Nguyen Din"},{"family":"Bhojvaid","given":"Padam Parkash"},{"family":"Damayanti","given":"Ellyn K."},{"family":"Wanneng","given":"Phongxiong"},{"family":"Othman","given":"Mohd Shawahid"}],"issued":{"date-parts":[["2017",3,1]]}}}],"schema":"https://github.com/citation-style-language/schema/raw/master/csl-citation.json"} </w:instrText>
      </w:r>
      <w:r w:rsidR="009436B4">
        <w:fldChar w:fldCharType="separate"/>
      </w:r>
      <w:r w:rsidR="009436B4" w:rsidRPr="009436B4">
        <w:rPr>
          <w:rFonts w:ascii="Calibri" w:hAnsi="Calibri" w:cs="Calibri"/>
        </w:rPr>
        <w:t>(Youn et al. 2017)</w:t>
      </w:r>
      <w:r w:rsidR="009436B4">
        <w:fldChar w:fldCharType="end"/>
      </w:r>
      <w:r w:rsidR="009436B4">
        <w:t xml:space="preserve">. There are legitimate criticisms of the simplicity of traditional metrics of forest transitions; primarily that using the broadest interpretation of ‘forest cover’ ignores forest type or quality resulting in, for example, non-native plantations counting towards net forest gains </w:t>
      </w:r>
      <w:r w:rsidR="009436B4">
        <w:fldChar w:fldCharType="begin"/>
      </w:r>
      <w:r w:rsidR="009436B4">
        <w:instrText xml:space="preserve"> ADDIN ZOTERO_ITEM CSL_CITATION {"citationID":"nrOJyfAr","properties":{"formattedCitation":"(Kull 2017)","plainCitation":"(Kull 2017)","noteIndex":0},"citationItems":[{"id":2897,"uris":["http://zotero.org/users/2170232/items/GX7Z95UP"],"uri":["http://zotero.org/users/2170232/items/GX7Z95UP"],"itemData":{"id":2897,"type":"article-journal","abstract":"&lt;p&gt;&lt;strong&gt;Abstract.&lt;/strong&gt; &lt;q&gt;Forest transitions&lt;/q&gt; have recently received much attention, particularly in the hope that the historical transitions from net deforestation to forest recovery documented in several temperate countries might be reproduced in tropical countries. The analysis of forest transitions, however, has struggled with questions of forest definition and has at times focussed purely on tree cover, irrespective of tree types (e.g. native forest or exotic plantations). Furthermore, it has paid little attention to how categories and definitions of forest are used to political effect or shape how forest change is viewed. In this paper, I propose a new heuristic model to address these lacunae, building on a conception of forests as distinct socio-ecological relationships between people, trees, and other actors that maintain and threaten the forest. The model draws on selected work in the forest transition, land change science, and critical social science literatures. It explicitly forces analysts to see forests as much more than a land cover statistic, particularly as it internalizes consideration of forest characteristics and the differential ways in which forests are produced and thought about. The new heuristic model distinguishes between four component forest transitions: transitions in quantitative forest cover (FT1); in characteristics like species composition or density (FT2); in the ecological, socio-economic, and political processes and relationships that constitute particular forests (FT3); and in forest ideologies, discourses, and stories (FT4). The four are interlinked; the third category emerges as the linchpin. An analysis of forest transformations requires attention to diverse social and ecological processes, to power-laden official categories and classifications, and to the discourses and tropes by which people interpret these changes. Diverse examples are used to illustrate the model components and highlight the utility of considering the four categories of forest transitions.&lt;/p&gt;","container-title":"Geographica Helvetica","DOI":"10.5194/gh-72-465-2017","ISSN":"0016-7312","issue":"4","language":"English","note":"publisher: Copernicus GmbH","page":"465-474","source":"gh.copernicus.org","title":"Forest transitions: a new conceptual scheme","title-short":"Forest transitions","volume":"72","author":[{"family":"Kull","given":"Christian A."}],"issued":{"date-parts":[["2017",12,15]]}}}],"schema":"https://github.com/citation-style-language/schema/raw/master/csl-citation.json"} </w:instrText>
      </w:r>
      <w:r w:rsidR="009436B4">
        <w:fldChar w:fldCharType="separate"/>
      </w:r>
      <w:r w:rsidR="009436B4" w:rsidRPr="009436B4">
        <w:rPr>
          <w:rFonts w:ascii="Calibri" w:hAnsi="Calibri" w:cs="Calibri"/>
        </w:rPr>
        <w:t>(Kull 2017)</w:t>
      </w:r>
      <w:r w:rsidR="009436B4">
        <w:fldChar w:fldCharType="end"/>
      </w:r>
      <w:r w:rsidR="009436B4">
        <w:t xml:space="preserve">. </w:t>
      </w:r>
    </w:p>
    <w:p w14:paraId="2ED34F5D" w14:textId="4DCF2A0A" w:rsidR="006A1042" w:rsidRDefault="00894AFB" w:rsidP="006C7758">
      <w:r>
        <w:t>In all Asian case studies of successful forest transition, state intervention has played a role</w:t>
      </w:r>
      <w:r w:rsidR="001E6D1D">
        <w:t>;</w:t>
      </w:r>
      <w:r>
        <w:t xml:space="preserve"> </w:t>
      </w:r>
      <w:r w:rsidR="001E6D1D">
        <w:t>g</w:t>
      </w:r>
      <w:r>
        <w:t>overnment policies and legal frameworks that disincentivise forest clearance and promote sustainable land use are critical factors in facilitating behaviour change at all levels</w:t>
      </w:r>
      <w:r w:rsidR="001E6D1D">
        <w:t xml:space="preserve"> </w:t>
      </w:r>
      <w:r w:rsidR="001E6D1D">
        <w:fldChar w:fldCharType="begin"/>
      </w:r>
      <w:r w:rsidR="001E6D1D">
        <w:instrText xml:space="preserve"> ADDIN ZOTERO_ITEM CSL_CITATION {"citationID":"OJGtKpzB","properties":{"formattedCitation":"(Youn et al. 2017)","plainCitation":"(Youn et al. 2017)","noteIndex":0},"citationItems":[{"id":2895,"uris":["http://zotero.org/users/2170232/items/NL89FZLE"],"uri":["http://zotero.org/users/2170232/items/NL89FZLE"],"itemData":{"id":2895,"type":"article-journal","abstract":"This study identifies the important factors that contribute to or inhibit forest transitions in nine Asian countries: China, India, Indonesia, Japan, Laos, Malaysia, Republic of Korea, Philippines, and Vietnam. A qualitative comparative analysis method was used to determine which conditions or combinations of conditions led to or prevented a forest transition. Under the condition of public ownership with no private forest tenure or ownership of forest land, there was no instance of forest transition among the nine countries studied. Under the condition of non-liberal timber trade policies, there was no instance of forest transition in the countries studied. The results of this analysis suggest that for a forest transition to occur, the country should liberalize timber import and provide forest tenure to the private sector. Based on these results, we argue that in order for a forest transition to take place or for REDD+ to be effective, the state should allow for private sector to participate in forest management and create market conditions that meet the demand for timber via trade policy alignment.","collection-title":"Forest transition in Asia","container-title":"Forest Policy and Economics","DOI":"10.1016/j.forpol.2016.07.005","ISSN":"1389-9341","journalAbbreviation":"Forest Policy and Economics","language":"en","page":"14-24","source":"ScienceDirect","title":"Conditions of forest transition in Asian countries","volume":"76","author":[{"family":"Youn","given":"Yeo-Chang"},{"family":"Choi","given":"Junyeong"},{"family":"Jong","given":"Wil","non-dropping-particle":"de"},{"family":"Liu","given":"Jinlong"},{"family":"Park","given":"Mi Sun"},{"family":"Camacho","given":"Leni D."},{"family":"Tachibana","given":"Satoshi"},{"family":"Huudung","given":"Nguyen Din"},{"family":"Bhojvaid","given":"Padam Parkash"},{"family":"Damayanti","given":"Ellyn K."},{"family":"Wanneng","given":"Phongxiong"},{"family":"Othman","given":"Mohd Shawahid"}],"issued":{"date-parts":[["2017",3,1]]}}}],"schema":"https://github.com/citation-style-language/schema/raw/master/csl-citation.json"} </w:instrText>
      </w:r>
      <w:r w:rsidR="001E6D1D">
        <w:fldChar w:fldCharType="separate"/>
      </w:r>
      <w:r w:rsidR="001E6D1D" w:rsidRPr="00894AFB">
        <w:rPr>
          <w:rFonts w:ascii="Calibri" w:hAnsi="Calibri" w:cs="Calibri"/>
        </w:rPr>
        <w:t>(Youn et al. 2017)</w:t>
      </w:r>
      <w:r w:rsidR="001E6D1D">
        <w:fldChar w:fldCharType="end"/>
      </w:r>
      <w:r w:rsidR="00010974">
        <w:t>.</w:t>
      </w:r>
      <w:r w:rsidR="006A1042">
        <w:t xml:space="preserve"> Understanding the direct and indirect drivers of forest loss can be challenging as the processes are complex, operate at a variety of scales, and consist of multiple feedback loops and dependencies</w:t>
      </w:r>
      <w:r w:rsidR="00BE28F1">
        <w:t xml:space="preserve"> </w:t>
      </w:r>
      <w:r w:rsidR="00BE28F1">
        <w:fldChar w:fldCharType="begin"/>
      </w:r>
      <w:r w:rsidR="00BE28F1">
        <w:instrText xml:space="preserve"> ADDIN ZOTERO_ITEM CSL_CITATION {"citationID":"jSeNAs5y","properties":{"formattedCitation":"(Geist &amp; Lambin 2002; Xu et al. 2019)","plainCitation":"(Geist &amp; Lambin 2002; Xu et al. 2019)","noteIndex":0},"citationItems":[{"id":1947,"uris":["http://zotero.org/users/2170232/items/HNTSNFG3"],"uri":["http://zotero.org/users/2170232/items/HNTSNFG3"],"itemData":{"id":1947,"type":"article-journal","abstract":"One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F."}],"issued":{"date-parts":[["2002",2,1]]}}},{"id":2021,"uris":["http://zotero.org/users/2170232/items/ABVWHT2J"],"uri":["http://zotero.org/users/2170232/items/ABVWHT2J"],"itemData":{"id":2021,"type":"article-journal","abstract":"South and Southeast Asia (SSEA) has been a hotspot for land use and land cover change (LULCC) in the past few decades. The identification and quantification of the drivers of LULCC are crucial for improving our understanding of LULCC trends. So far, the biophysical and socioeconomic drivers of forest change have not been quantified at the regional scale, particularly for SSEA. In this study, we quantify the biophysical and socioeconomic drivers of forest change on a country-by-country basis in SSEA using an integrated quantitative methodology, which systematically accounts for previously published driver information and regional datasets. We synthesize more than 200 publications to identify the drivers of the forest change at different spatial scales in SSEA. Subsequently, we collect spatially explicit proxy data to represent the identified drivers. We quantify the dynamics of forest and agricultural land from 1992 to 2015 using the Climate Change Initiative (CCI) land cover data developed by the European Space Agency (ESA). A geographically weighted regression method is employed to quantify the spatially heterogeneous drivers of forest change. Our results show that socioeconomic drivers are more important than biophysical drivers for the conversion of forest to agricultural land in South Asia and maritime Southeast Asia. In contrast, biophysical drivers are more important than socioeconomic drivers for the conversion of agricultural land to forest in maritime Southeast Asia and less important in South Asia. Both biophysical and socioeconomic drivers contribute approximately equally to both changes in the mainland Southeast Asia region. By quantifying the dynamics of forest and agricultural land and the spatially explicit drivers of their changes in SSEA, this study provides a solid foundation for LULCC modeling and projection.","container-title":"Global Change Biology","DOI":"10.1111/gcb.14611","ISSN":"1365-2486","issue":"6","language":"en","page":"2137-2151","source":"Wiley Online Library","title":"Quantifying the biophysical and socioeconomic drivers of changes in forest and agricultural land in South and Southeast Asia","volume":"25","author":[{"family":"Xu","given":"Xiaoming"},{"family":"Jain","given":"Atul K."},{"family":"Calvin","given":"Katherine V."}],"issued":{"date-parts":[["2019"]]}}}],"schema":"https://github.com/citation-style-language/schema/raw/master/csl-citation.json"} </w:instrText>
      </w:r>
      <w:r w:rsidR="00BE28F1">
        <w:fldChar w:fldCharType="separate"/>
      </w:r>
      <w:r w:rsidR="00BE28F1" w:rsidRPr="00BE28F1">
        <w:rPr>
          <w:rFonts w:ascii="Calibri" w:hAnsi="Calibri" w:cs="Calibri"/>
        </w:rPr>
        <w:t>(Geist &amp; Lambin 2002; Xu et al. 2019)</w:t>
      </w:r>
      <w:r w:rsidR="00BE28F1">
        <w:fldChar w:fldCharType="end"/>
      </w:r>
      <w:r w:rsidR="006A1042">
        <w:t xml:space="preserve">. Nevertheless, </w:t>
      </w:r>
      <w:r w:rsidR="009252A0">
        <w:t>for</w:t>
      </w:r>
      <w:r w:rsidR="006A1042">
        <w:t xml:space="preserve"> effective government policies to be developed, researchers must strive to disentangle some of the</w:t>
      </w:r>
      <w:r w:rsidR="000B1FE5">
        <w:t>se</w:t>
      </w:r>
      <w:r w:rsidR="006A1042">
        <w:t xml:space="preserve"> relationships</w:t>
      </w:r>
      <w:r w:rsidR="00A34816">
        <w:t xml:space="preserve"> </w:t>
      </w:r>
      <w:r w:rsidR="00A34816">
        <w:fldChar w:fldCharType="begin"/>
      </w:r>
      <w:r w:rsidR="00A34816">
        <w:instrText xml:space="preserve"> ADDIN ZOTERO_ITEM CSL_CITATION {"citationID":"FniuEmF7","properties":{"formattedCitation":"(Redo et al. 2012)","plainCitation":"(Redo et al. 2012)","noteIndex":0},"citationItems":[{"id":2946,"uris":["http://zotero.org/users/2170232/items/IVIAVP7Y"],"uri":["http://zotero.org/users/2170232/items/IVIAVP7Y"],"itemData":{"id":2946,"type":"article-journal","abstract":"Forest transitions (FT) have been observed in many developed countries and more recently in the developing world. However, our knowledge of FT from tropical regions is mostly derived from case studies from within a particular country, making it difficult to generalize findings across larger regions. Here we overcome these difficulties by conducting a recent (2001–2010) satellite-based analysis of trends in forest cover across Central America, stratified by biomes, which we related to socioeconomic variables associated with human development. Results show a net decrease of woody vegetation resulting from 12,201 km2 of deforestation of moist forests and 6,825 km2 of regrowth of conifer and dry forests. The Human Development Index was the socioeconomic variable best associated with forest cover change. The least-developed countries, Nicaragua and Guatemala, experienced both rapid deforestation of moist forests and significant recovery of conifer and dry forests. In contrast, the most developed countries, Panama and Costa Rica, had net woody vegetation gain and a more stable forest cover configuration. These results imply a good agreement with FT predictions of forest change in relation to socioeconomic development, but strong asymmetry in rates and directions of change largely dependent upon the biome where change is occurring. The FT model should be refined by incorporating ecological and socioeconomic heterogeneity, particularly in multicountry and regional studies. These asymmetric patterns of forest change should be evaluated when developing strategies for conserving biodiversity and environmental services.","container-title":"Proceedings of the National Academy of Sciences","DOI":"10.1073/pnas.1201664109","ISSN":"0027-8424, 1091-6490","issue":"23","journalAbbreviation":"PNAS","language":"en","note":"publisher: National Academy of Sciences\nsection: Physical Sciences\nPMID: 22615408","page":"8839-8844","source":"www.pnas.org","title":"Asymmetric forest transition driven by the interaction of socioeconomic development and environmental heterogeneity in Central America","volume":"109","author":[{"family":"Redo","given":"Daniel J."},{"family":"Grau","given":"H. Ricardo"},{"family":"Aide","given":"T. Mitchell"},{"family":"Clark","given":"Matthew L."}],"issued":{"date-parts":[["2012",6,5]]}}}],"schema":"https://github.com/citation-style-language/schema/raw/master/csl-citation.json"} </w:instrText>
      </w:r>
      <w:r w:rsidR="00A34816">
        <w:fldChar w:fldCharType="separate"/>
      </w:r>
      <w:r w:rsidR="00A34816" w:rsidRPr="00A34816">
        <w:rPr>
          <w:rFonts w:ascii="Calibri" w:hAnsi="Calibri" w:cs="Calibri"/>
        </w:rPr>
        <w:t>(Redo et al. 2012)</w:t>
      </w:r>
      <w:r w:rsidR="00A34816">
        <w:fldChar w:fldCharType="end"/>
      </w:r>
      <w:r w:rsidR="006A1042">
        <w:t>. As commercial agriculture is one of the most important drivers of forest loss around the world</w:t>
      </w:r>
      <w:r w:rsidR="00A34816">
        <w:t xml:space="preserve"> </w:t>
      </w:r>
      <w:r w:rsidR="00A34816">
        <w:fldChar w:fldCharType="begin"/>
      </w:r>
      <w:r w:rsidR="00A34816">
        <w:instrText xml:space="preserve"> ADDIN ZOTERO_ITEM CSL_CITATION {"citationID":"NWArJh3y","properties":{"formattedCitation":"(Curtis et al. 2018; Pendrill et al. 2019)","plainCitation":"(Curtis et al. 2018; Pendrill et al. 2019)","noteIndex":0},"citationItems":[{"id":2375,"uris":["http://zotero.org/users/2170232/items/MGBJXYEN"],"uri":["http://zotero.org/users/2170232/items/MGBJXYEN"],"itemData":{"id":2375,"type":"article-journal","abstract":"Mapping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C."}],"issued":{"date-parts":[["2018"]]}}},{"id":2917,"uris":["http://zotero.org/users/2170232/items/6H456Z27"],"uri":["http://zotero.org/users/2170232/items/6H456Z27"],"itemData":{"id":2917,"type":"article-journal","abstract":"While many developed countries are increasing their forest cover, deforestation is still rife in the tropics and subtropics. With international trade in forest-risk commodities on the rise, it is becoming increasingly important to consider between-country trade linkages in assessing the drivers of—and possible connections between—forest loss and gain across countries. Previous studies have shown that countries that have undergone a forest transition (and are now increasing their forest cover) tend to displace land use outside their borders. However, lack of comprehensive data on deforestation drivers imply that it has not been possible to ascertain whether this has accelerated forest loss in sourcing countries. To remedy this, we present a land-balance model that quantifies deforestation embodied in production of agricultural and forestry commodities at country level across the tropics and subtropics, subsequently tracing embodied deforestation to countries of apparent consumption using a physical, country-to-country trade model. We find that in the period 2005–2013, 62% (5.5 Mha yr−1) of forest loss could be attributed to expanding commercial cropland, pastures and tree plantations. The commodity groups most commonly associated with deforestation were cattle meat, forestry products, oil palm, cereals and soybeans, though variation between countries and regions was large. A large (26%) and slightly increasing share of deforestation was attributed to international demand, the bulk of which (87%) was exported to countries that either exhibit decreasing deforestation rates or increasing forest cover (late- or post-forest transition countries), particularly in Europe and Asia (China, India, and Russia). About a third of the net forest gains in post-forest transition countries was in this way offset by imports of commodities causing deforestation elsewhere, suggesting that achieving a global forest transition will be substantially more challenging than achieving national or regional ones.","DOI":"10.1088/1748-9326/ab0d41","ISSN":"1748-9326","issue":"5","journalAbbreviation":"Environ. Res. Lett.","language":"en","note":"publisher: IOP Publishing","page":"055003","source":"Institute of Physics","title":"Deforestation displaced: trade in forest-risk commodities and the prospects for a global forest transition","title-short":"Deforestation displaced","volume":"14","author":[{"family":"Pendrill","given":"Florence"},{"family":"Persson","given":"U. Martin"},{"family":"Godar","given":"Javier"},{"family":"Kastner","given":"Thomas"}],"issued":{"date-parts":[["2019",5]]}}}],"schema":"https://github.com/citation-style-language/schema/raw/master/csl-citation.json"} </w:instrText>
      </w:r>
      <w:r w:rsidR="00A34816">
        <w:fldChar w:fldCharType="separate"/>
      </w:r>
      <w:r w:rsidR="00A34816" w:rsidRPr="00A34816">
        <w:rPr>
          <w:rFonts w:ascii="Calibri" w:hAnsi="Calibri" w:cs="Calibri"/>
        </w:rPr>
        <w:t>(Curtis et al. 2018; Pendrill et al. 2019)</w:t>
      </w:r>
      <w:r w:rsidR="00A34816">
        <w:fldChar w:fldCharType="end"/>
      </w:r>
      <w:r w:rsidR="006A1042">
        <w:t>, and because it is a fundamental part of developing economies</w:t>
      </w:r>
      <w:r w:rsidR="00A34816">
        <w:t xml:space="preserve"> </w:t>
      </w:r>
      <w:r w:rsidR="00A34816">
        <w:fldChar w:fldCharType="begin"/>
      </w:r>
      <w:r w:rsidR="00BF30EA">
        <w:instrText xml:space="preserve"> ADDIN ZOTERO_ITEM CSL_CITATION {"citationID":"cZ6fKeid","properties":{"formattedCitation":"(Hoang &amp; Kanemoto 2021)","plainCitation":"(Hoang &amp; Kanemoto 2021)","noteIndex":0},"citationItems":[{"id":2634,"uris":["http://zotero.org/users/2170232/items/FYD69L4I"],"uri":["http://zotero.org/users/2170232/items/FYD69L4I"],"itemData":{"id":2634,"type":"article-journal","abstract":"Deforestation,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A34816">
        <w:fldChar w:fldCharType="separate"/>
      </w:r>
      <w:r w:rsidR="00BF30EA" w:rsidRPr="00BF30EA">
        <w:rPr>
          <w:rFonts w:ascii="Calibri" w:hAnsi="Calibri" w:cs="Calibri"/>
        </w:rPr>
        <w:t>(Hoang &amp; Kanemoto 2021)</w:t>
      </w:r>
      <w:r w:rsidR="00A34816">
        <w:fldChar w:fldCharType="end"/>
      </w:r>
      <w:r w:rsidR="006A1042">
        <w:t>, it is critical to understand the links between economic development and commodity production</w:t>
      </w:r>
      <w:r w:rsidR="0072569A">
        <w:t xml:space="preserve">, as this will reveal important implications for forest loss in developing countries. </w:t>
      </w:r>
    </w:p>
    <w:p w14:paraId="1E542B68" w14:textId="16536C37" w:rsidR="0079611B" w:rsidRPr="000A0B92" w:rsidRDefault="000A0B92" w:rsidP="006C7758">
      <w:pPr>
        <w:rPr>
          <w:b/>
          <w:bCs/>
          <w:i/>
          <w:iCs/>
        </w:rPr>
      </w:pPr>
      <w:r w:rsidRPr="000A0B92">
        <w:rPr>
          <w:b/>
          <w:bCs/>
          <w:i/>
          <w:iCs/>
        </w:rPr>
        <w:t xml:space="preserve">2.1.3 </w:t>
      </w:r>
      <w:r w:rsidR="0079611B" w:rsidRPr="000A0B92">
        <w:rPr>
          <w:b/>
          <w:bCs/>
          <w:i/>
          <w:iCs/>
        </w:rPr>
        <w:t>Economic land concessions</w:t>
      </w:r>
    </w:p>
    <w:p w14:paraId="36D030A3" w14:textId="1E8D1E5C" w:rsidR="009252A0" w:rsidRDefault="009252A0" w:rsidP="006C7758">
      <w:r>
        <w:t xml:space="preserve">Land acquisitions for commercial agriculture have become </w:t>
      </w:r>
      <w:r w:rsidR="006F2802">
        <w:t xml:space="preserve">widespread in recent years, particularly in developing countries that have large areas of undeveloped land and that are striving for private investment to boost economic </w:t>
      </w:r>
      <w:r w:rsidR="006F2802">
        <w:t>develop</w:t>
      </w:r>
      <w:r w:rsidR="005C1D76">
        <w:t>ment</w:t>
      </w:r>
      <w:r>
        <w:t xml:space="preserve"> </w:t>
      </w:r>
      <w:r w:rsidR="006F2802">
        <w:fldChar w:fldCharType="begin"/>
      </w:r>
      <w:r w:rsidR="006F2802">
        <w:instrText xml:space="preserve"> ADDIN ZOTERO_ITEM CSL_CITATION {"citationID":"KGbCI1H3","properties":{"formattedCitation":"(Kugelman &amp; Levenstein 2012)","plainCitation":"(Kugelman &amp; Levenstein 2012)","noteIndex":0},"citationItems":[{"id":2931,"uris":["http://zotero.org/users/2170232/items/BMRJ4SSE"],"uri":["http://zotero.org/users/2170232/items/BMRJ4SSE"],"itemData":{"id":2931,"type":"article-journal","abstract":"As we struggle to feed a global population speeding toward 9 billion, we have entered a new phase of the food crisis. Wealthy countries that import much of their food, along with private investors, are racing to buy or lease huge swaths of farmland abroad. This book examines this burgeoning trend in all its complexity, considering the implications for investors, host countries, and the world as a...","container-title":"The global farms race: land grabs, agricultural investment, and the scramble for food security.","language":"English","note":"publisher: Island Press","source":"www.cabdirect.org","title":"The global farms race: land grabs, agricultural investment, and the scramble for food security.","title-short":"The global farms race","URL":"https://www.cabdirect.org/cabdirect/abstract/20123367959","author":[{"family":"Kugelman","given":"M."},{"family":"Levenstein","given":"S. L."}],"accessed":{"date-parts":[["2021",10,24]]},"issued":{"date-parts":[["2012"]]}}}],"schema":"https://github.com/citation-style-language/schema/raw/master/csl-citation.json"} </w:instrText>
      </w:r>
      <w:r w:rsidR="006F2802">
        <w:fldChar w:fldCharType="separate"/>
      </w:r>
      <w:r w:rsidR="006F2802" w:rsidRPr="006F2802">
        <w:rPr>
          <w:rFonts w:ascii="Calibri" w:hAnsi="Calibri" w:cs="Calibri"/>
        </w:rPr>
        <w:t>(Kugelman &amp; Levenstein 2012)</w:t>
      </w:r>
      <w:r w:rsidR="006F2802">
        <w:fldChar w:fldCharType="end"/>
      </w:r>
      <w:r w:rsidR="006F2802">
        <w:t xml:space="preserve">. </w:t>
      </w:r>
      <w:r w:rsidR="005F7FE3">
        <w:t xml:space="preserve">Such enterprises can improve agricultural productivity, stimulate local economies, and support rural development </w:t>
      </w:r>
      <w:r w:rsidR="005F7FE3">
        <w:fldChar w:fldCharType="begin"/>
      </w:r>
      <w:r w:rsidR="005F7FE3">
        <w:instrText xml:space="preserve"> ADDIN ZOTERO_ITEM CSL_CITATION {"citationID":"XRPc7oiV","properties":{"formattedCitation":"(Deininger &amp; Byerlee 2011)","plainCitation":"(Deininger &amp; Byerlee 2011)","noteIndex":0},"citationItems":[{"id":2936,"uris":["http://zotero.org/users/2170232/items/28NXL4AI"],"uri":["http://zotero.org/users/2170232/items/28NXL4AI"],"itemData":{"id":2936,"type":"book","abstract":"This book aims to provide key pieces of information needed for informed debate about large-scale land acquisition by drawing on the experience from past land expansions, discussing predictions for potential future demand, and providing empirical evidence of what is happening on the ground in the countries most affected by the recent increase in demand for land. It complements demand side considerations with a detailed assessment of the amount of land, whether currently cultivated or not, that might potentially be available for agricultural cultivation at the global and country levels. It then describes in some detail the policies in place to manage land acquisition processes and analyzes how these policies may affect outcomes. This information can help governments in land abundant countries to assess how best to integrate increased demand for land into their rural development strategies and provide opportunities and benefits to all involved, including existing smallholders. This is particularly important as many of these countries also have high yield gaps. It also highlights how, in cases where land acquisition by large investors makes sense from a social, economic, and environmental perspective, governments can create an environment that can help to attract outside investment that contributes to broad-based growth and poverty reduction.","ISBN":"978-0-8213-8592-0","language":"en","note":"Google-Books-ID: pyeNA0iNg_4C","number-of-pages":"266","publisher":"World Bank Publications","source":"Google Books","title":"Rising Global Interest in Farmland: Can It Yield Sustainable and Equitable Benefits?","title-short":"Rising Global Interest in Farmland","author":[{"family":"Deininger","given":"Klaus"},{"family":"Byerlee","given":"Derek"}],"issued":{"date-parts":[["2011",1,10]]}}}],"schema":"https://github.com/citation-style-language/schema/raw/master/csl-citation.json"} </w:instrText>
      </w:r>
      <w:r w:rsidR="005F7FE3">
        <w:fldChar w:fldCharType="separate"/>
      </w:r>
      <w:r w:rsidR="005F7FE3" w:rsidRPr="005F7FE3">
        <w:rPr>
          <w:rFonts w:ascii="Calibri" w:hAnsi="Calibri" w:cs="Calibri"/>
        </w:rPr>
        <w:t>(Deininger &amp; Byerlee 2011)</w:t>
      </w:r>
      <w:r w:rsidR="005F7FE3">
        <w:fldChar w:fldCharType="end"/>
      </w:r>
      <w:r w:rsidR="005F7FE3">
        <w:t>, yet face substantial criticisms for</w:t>
      </w:r>
      <w:r w:rsidR="00B00DDB">
        <w:t xml:space="preserve"> lacking transparent processes,</w:t>
      </w:r>
      <w:r w:rsidR="005F7FE3">
        <w:t xml:space="preserve"> </w:t>
      </w:r>
      <w:r w:rsidR="00B00DDB">
        <w:t xml:space="preserve">abusing local land rights, and negatively affecting local livelihoods and biodiversity </w:t>
      </w:r>
      <w:r w:rsidR="00B00DDB">
        <w:fldChar w:fldCharType="begin"/>
      </w:r>
      <w:r w:rsidR="00B00DDB">
        <w:instrText xml:space="preserve"> ADDIN ZOTERO_ITEM CSL_CITATION {"citationID":"e0xptNtz","properties":{"formattedCitation":"(Deininger &amp; Byerlee 2011; De Schutter 2011; Davis et al. 2015)","plainCitation":"(Deininger &amp; Byerlee 2011; De Schutter 2011; Davis et al. 2015)","noteIndex":0},"citationItems":[{"id":2936,"uris":["http://zotero.org/users/2170232/items/28NXL4AI"],"uri":["http://zotero.org/users/2170232/items/28NXL4AI"],"itemData":{"id":2936,"type":"book","abstract":"This book aims to provide key pieces of information needed for informed debate about large-scale land acquisition by drawing on the experience from past land expansions, discussing predictions for potential future demand, and providing empirical evidence of what is happening on the ground in the countries most affected by the recent increase in demand for land. It complements demand side considerations with a detailed assessment of the amount of land, whether currently cultivated or not, that might potentially be available for agricultural cultivation at the global and country levels. It then describes in some detail the policies in place to manage land acquisition processes and analyzes how these policies may affect outcomes. This information can help governments in land abundant countries to assess how best to integrate increased demand for land into their rural development strategies and provide opportunities and benefits to all involved, including existing smallholders. This is particularly important as many of these countries also have high yield gaps. It also highlights how, in cases where land acquisition by large investors makes sense from a social, economic, and environmental perspective, governments can create an environment that can help to attract outside investment that contributes to broad-based growth and poverty reduction.","ISBN":"978-0-8213-8592-0","language":"en","note":"Google-Books-ID: pyeNA0iNg_4C","number-of-pages":"266","publisher":"World Bank Publications","source":"Google Books","title":"Rising Global Interest in Farmland: Can It Yield Sustainable and Equitable Benefits?","title-short":"Rising Global Interest in Farmland","author":[{"family":"Deininger","given":"Klaus"},{"family":"Byerlee","given":"Derek"}],"issued":{"date-parts":[["2011",1,10]]}}},{"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B00DDB">
        <w:fldChar w:fldCharType="separate"/>
      </w:r>
      <w:r w:rsidR="00B00DDB" w:rsidRPr="00B00DDB">
        <w:rPr>
          <w:rFonts w:ascii="Calibri" w:hAnsi="Calibri" w:cs="Calibri"/>
        </w:rPr>
        <w:t>(Deininger &amp; Byerlee 2011; De Schutter 2011; Davis et al. 2015)</w:t>
      </w:r>
      <w:r w:rsidR="00B00DDB">
        <w:fldChar w:fldCharType="end"/>
      </w:r>
      <w:r w:rsidR="00B00DDB">
        <w:t xml:space="preserve">. Cambodia saw an unprecedented </w:t>
      </w:r>
      <w:r w:rsidR="00F63159">
        <w:t>surge</w:t>
      </w:r>
      <w:r w:rsidR="00B00DDB">
        <w:t xml:space="preserve"> </w:t>
      </w:r>
      <w:r w:rsidR="00F63159">
        <w:t>in</w:t>
      </w:r>
      <w:r w:rsidR="00B00DDB">
        <w:t xml:space="preserve"> private land acquisitions</w:t>
      </w:r>
      <w:r w:rsidR="00F63159">
        <w:t xml:space="preserve"> via long-term leases</w:t>
      </w:r>
      <w:r w:rsidR="00B00DDB">
        <w:t xml:space="preserve"> for commercial </w:t>
      </w:r>
      <w:r w:rsidR="00F63159">
        <w:t xml:space="preserve">agriculture, or ‘economic land concessions’ (ELCs), between 2000 and 2012, resulting in over 2 million hectares being leased by 2015 </w:t>
      </w:r>
      <w:r w:rsidR="00F63159">
        <w:fldChar w:fldCharType="begin"/>
      </w:r>
      <w:r w:rsidR="00F63159">
        <w:instrText xml:space="preserve"> ADDIN ZOTERO_ITEM CSL_CITATION {"citationID":"V12fh2e8","properties":{"formattedCitation":"(Davis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F63159">
        <w:fldChar w:fldCharType="separate"/>
      </w:r>
      <w:r w:rsidR="00F63159" w:rsidRPr="00F63159">
        <w:rPr>
          <w:rFonts w:ascii="Calibri" w:hAnsi="Calibri" w:cs="Calibri"/>
        </w:rPr>
        <w:t>(Davis et al. 2015)</w:t>
      </w:r>
      <w:r w:rsidR="00F63159">
        <w:fldChar w:fldCharType="end"/>
      </w:r>
      <w:r w:rsidR="00F63159">
        <w:t xml:space="preserve">. </w:t>
      </w:r>
      <w:r w:rsidR="00F40B07">
        <w:t>Economic land concessions in Cambodia have faced criticism</w:t>
      </w:r>
      <w:r w:rsidR="00892E24">
        <w:t xml:space="preserve"> due to widespread accusations of land rights abuses, corruption in the awarding of contracts, and </w:t>
      </w:r>
      <w:r w:rsidR="008C58A9">
        <w:t>extensive</w:t>
      </w:r>
      <w:r w:rsidR="00892E24">
        <w:t xml:space="preserve"> deforestation, even within </w:t>
      </w:r>
      <w:r w:rsidR="00892E24">
        <w:lastRenderedPageBreak/>
        <w:t xml:space="preserve">protected areas </w:t>
      </w:r>
      <w:r w:rsidR="00892E24">
        <w:fldChar w:fldCharType="begin"/>
      </w:r>
      <w:r w:rsidR="003425B9">
        <w:instrText xml:space="preserve"> ADDIN ZOTERO_ITEM CSL_CITATION {"citationID":"RBHgeGj9","properties":{"formattedCitation":"(Vrieze &amp; Kuch 2012; Global Witness 2013; Neef et al. 2013; Oldenburg &amp; Neef 2014; Davis et al. 2015; Beauchamp et al. 2018; Magliocca et al. 2019; Tsujino et al. 2019)","plainCitation":"(Vrieze &amp; Kuch 2012; Global Witness 2013; Neef et al. 2013; Oldenburg &amp; Neef 2014; Davis et al. 2015; Beauchamp et al. 2018; Magliocca et al. 2019; Tsujino et al. 2019)","noteIndex":0},"citationItems":[{"id":2053,"uris":["http://zotero.org/users/2170232/items/C9AXILM9"],"uri":["http://zotero.org/users/2170232/items/C9AXILM9"],"itemData":{"id":2053,"type":"article-newspaper","container-title":"The Cambodia Daily","page":"4-11","title":"Carving up Cambodia: One concession at a time","author":[{"family":"Vrieze","given":"Paul"},{"family":"Kuch","given":"Naren"}],"issued":{"date-parts":[["2012"]]}}},{"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2482,"uris":["http://zotero.org/users/2170232/items/RTUUGXI9"],"uri":["http://zotero.org/users/2170232/items/RTUUGXI9"],"itemData":{"id":2482,"type":"article-journal","container-title":"Law and Development Review","issue":"1","journalAbbreviation":"Law &amp; Dev. Rev.","language":"eng","page":"49-78","source":"HeinOnline","title":"Reversing Land Grabs or Aggravating Tenure Insecurity: Competing Perspectives on Economic Land Concessions and Land Titling in Cambodia","title-short":"Reversing Land Grabs or Aggravating Tenure Insecurity","volume":"7","author":[{"family":"Oldenburg","given":"Christoph"},{"family":"Neef","given":"Andreas"}],"issued":{"date-parts":[["2014"]]}}},{"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3123,"uris":["http://zotero.org/users/2170232/items/JE75AC84"],"uri":["http://zotero.org/users/2170232/items/JE75AC84"],"itemData":{"id":3123,"type":"article-journal","abstract":"Trade-offs between different land use outcomes are inevitable to meet both development and conservation agendas, especially in developing countries where aspirations for development take place within the world's most biodiversity-rich areas. Reports at the national or subnational levels about how trade-offs between conservation and development outcomes materialise once implemented are limited and regionalized analyses are required to understand how they materialise spatially once policies are executed. We take the case study of northern Cambodia, where both protected areas (PAs), as a conservation policy, and Economic Land Concessions (ELCs), as a developmental agricultural intensification strategy, have been implemented. We explore the influences on placement of ELCs and the extent to which they overlap with protected areas, using mixed effect models. We then determine the predictors of deforestation in the study area between 2008 and 2013, including presence of ELCs and PAs. ELC placement does not respond to expected socio-environmental factors related to implementation criteria in policy documents, and is not influenced by the presence of PAs. ELCs represent the most significant driver of deforestation of the factors considered. PAs limit deforestation but only if well-managed. This failure to achieve the balanced trade-off between conservation and development outcomes which policies intend points to development impacts compromising environmental sustainability in the long-run.","container-title":"Land Use Policy","DOI":"10.1016/j.landusepol.2017.11.021","ISSN":"0264-8377","journalAbbreviation":"Land Use Policy","language":"en","page":"431-444","source":"ScienceDirect","title":"Exploring trade-offs between development and conservation outcomes in Northern Cambodia","volume":"71","author":[{"family":"Beauchamp","given":"Emilie"},{"family":"Clements","given":"Tom"},{"family":"Milner-Gulland","given":"E. J."}],"issued":{"date-parts":[["2018",2,1]]}}},{"id":3067,"uris":["http://zotero.org/users/2170232/items/GQ9JDGW8"],"uri":["http://zotero.org/users/2170232/items/GQ9JDGW8"],"itemData":{"id":3067,"type":"article-journal","abstract":"In the global South, a rush of large-scale land acquisitions (LSLAs) is occurring by governments and transnational and domestic investors seeking to secure access to land in developing countries to produce food, biofuels, and other agricultural commodities. Complex interactions between regional and global market dynamics and local institutional, socioeconomic, and agro-ecological conditions can lead to widely varying causal processes, land-use change (LUC), and socioeconomic and environmental outcomes. Systematic understanding of how characteristics of LSLAs across multiple social and environmental contexts produce spillover effects on local communities, ranging from employment opportunities to displacement and indirect land-use change (iLUC), is lacking. We conceptualize agricultural commodity production and land-acquisition processes associated with LSLAs as catalyzing causal pathways of direct and indirect land-use changes. Using the case of economic land concessions (ELCs) in Cambodia, we employed a novel synthesis research approach combining remote sensing, spatio-temporal statistics, and case study meta-analysis to construct archetypical pathways of the causes, timing, and consequences of ELC-driven land change. Archetypical pathways generally diverged based on specialized or flex commodity crops and rates of direct LUC, and rapid rates of direct LUC tended to cause displacement and iLUC. In contrast, ELCs producing commodity crops associated with more gradual land-use change and/or organized local resistance lead to less iLUC. Systematic knowledge generated through synthesis of local causes and consequences of LSLA-driven land change is now possible and needed to better address the direct and indirect consequences of LSLAs for commodity crop production.","container-title":"Ecology and Society","ISSN":"1708-3087","issue":"2","note":"publisher: Resilience Alliance Inc.","source":"JSTOR","title":"Archetypical pathways of direct and indirect land-use change caused by Cambodia’s economic land concessions","URL":"https://www.jstor.org/stable/26796950","volume":"24","author":[{"family":"Magliocca","given":"Nicholas R."},{"family":"Van Khuc","given":"Quy"},{"family":"Ellicott","given":"Evan A."},{"family":"Bremond","given":"Ariane","non-dropping-particle":"de"}],"accessed":{"date-parts":[["2021",12,6]]},"issued":{"date-parts":[["2019"]]}}},{"id":3167,"uris":["http://zotero.org/users/2170232/items/9H8JV8RN"],"uri":["http://zotero.org/users/2170232/items/9H8JV8RN"],"itemData":{"id":3167,"type":"article-journal","abstract":"To reconstruct the history of forest loss in Cambodia, the literature and national/provincial statistics of landuse patterns and the socio-economic situation were investigated. Forest cover in the 1960s was 73.3 % (13.3 Mha). However, this drastically decreased to 47.3% (8.6 Mha) in\n2016. In the 1960s, the forest was less-disturbed. From 1970 to 1993, the forest was lost gradually owing to the political instability caused by the Cambodian Civil War. In the post-war reconstruction period from 1993 to around 2002, the need for reconstruction, international demand for timber,\nand forest logging concessions led to a significant increase in timber production. In the rapid economic growth period from 2002 until present, while several political actions were taken to combat rapid deforestation, economic land concessions, which promoted agroindustrial plantations, as\nwell as small-scale agriculture has been leading to the rapid expansion of arable land and deforestation since 2009.","container-title":"International Forestry Review","DOI":"10.1505/146554819827293178","issue":"3","journalAbbreviation":"International Forestry Review","page":"372-384","source":"IngentaConnect","title":"Causes and history of forest loss in Cambodia","volume":"21","author":[{"family":"Tsujino","given":"R."},{"family":"Kajisa","given":"T."},{"family":"Yumoto","given":"T."}],"issued":{"date-parts":[["2019",9,1]]}}}],"schema":"https://github.com/citation-style-language/schema/raw/master/csl-citation.json"} </w:instrText>
      </w:r>
      <w:r w:rsidR="00892E24">
        <w:fldChar w:fldCharType="separate"/>
      </w:r>
      <w:r w:rsidR="003425B9" w:rsidRPr="003425B9">
        <w:rPr>
          <w:rFonts w:ascii="Calibri" w:hAnsi="Calibri" w:cs="Calibri"/>
        </w:rPr>
        <w:t>(Vrieze &amp; Kuch 2012; Global Witness 2013; Neef et al. 2013; Oldenburg &amp; Neef 2014; Davis et al. 2015; Beauchamp et al. 2018; Magliocca et al. 2019; Tsujino et al. 2019)</w:t>
      </w:r>
      <w:r w:rsidR="00892E24">
        <w:fldChar w:fldCharType="end"/>
      </w:r>
      <w:r w:rsidR="00892E24">
        <w:t xml:space="preserve">.  </w:t>
      </w:r>
      <w:r w:rsidR="00F40B07">
        <w:t xml:space="preserve">  </w:t>
      </w:r>
      <w:r w:rsidR="00B00DDB">
        <w:t xml:space="preserve"> </w:t>
      </w:r>
      <w:r w:rsidR="005F7FE3">
        <w:t xml:space="preserve">   </w:t>
      </w:r>
    </w:p>
    <w:p w14:paraId="7C95C6AD" w14:textId="649A4189" w:rsidR="006C7758" w:rsidRPr="000A0B92" w:rsidRDefault="000A0B92">
      <w:pPr>
        <w:rPr>
          <w:b/>
          <w:bCs/>
          <w:i/>
          <w:iCs/>
        </w:rPr>
      </w:pPr>
      <w:r w:rsidRPr="000A0B92">
        <w:rPr>
          <w:b/>
          <w:bCs/>
          <w:i/>
          <w:iCs/>
        </w:rPr>
        <w:t xml:space="preserve">2.1.4 </w:t>
      </w:r>
      <w:r w:rsidR="0079611B" w:rsidRPr="000A0B92">
        <w:rPr>
          <w:b/>
          <w:bCs/>
          <w:i/>
          <w:iCs/>
        </w:rPr>
        <w:t xml:space="preserve">Cambodia </w:t>
      </w:r>
    </w:p>
    <w:p w14:paraId="436E8083" w14:textId="3F2FBFD7" w:rsidR="0079611B" w:rsidRDefault="00C20340">
      <w:r>
        <w:t xml:space="preserve">Compared to most other countries in the world, </w:t>
      </w:r>
      <w:r w:rsidR="008C58A9">
        <w:t xml:space="preserve">Cambodia has </w:t>
      </w:r>
      <w:r w:rsidR="008C58A9">
        <w:t xml:space="preserve">seen swift </w:t>
      </w:r>
      <w:r w:rsidR="008C58A9">
        <w:t xml:space="preserve">economic </w:t>
      </w:r>
      <w:r w:rsidR="00BA731E">
        <w:t xml:space="preserve">growth since the end of civil conflict in in the 1990s </w:t>
      </w:r>
      <w:r w:rsidR="00BA731E">
        <w:fldChar w:fldCharType="begin"/>
      </w:r>
      <w:r w:rsidR="00BA731E">
        <w:instrText xml:space="preserve"> ADDIN ZOTERO_ITEM CSL_CITATION {"citationID":"MRvu75GI","properties":{"formattedCitation":"(Solcomb 2010)","plainCitation":"(Solcomb 2010)","noteIndex":0},"citationItems":[{"id":2762,"uris":["http://zotero.org/users/2170232/items/JRA2X9H8"],"uri":["http://zotero.org/users/2170232/items/JRA2X9H8"],"itemData":{"id":2762,"type":"book","event-place":"National University of Singapore","ISBN":"978-9971-69-499-9","publisher":"NUS Press","publisher-place":"National University of Singapore","title":"An economic histroy of Cambodia in the twentieth century","URL":"https://library.oapen.org/handle/20.500.12657/26109","author":[{"family":"Solcomb","given":"Margaret"}],"issued":{"date-parts":[["2010"]]}}}],"schema":"https://github.com/citation-style-language/schema/raw/master/csl-citation.json"} </w:instrText>
      </w:r>
      <w:r w:rsidR="00BA731E">
        <w:fldChar w:fldCharType="separate"/>
      </w:r>
      <w:r w:rsidR="00BA731E" w:rsidRPr="00BA731E">
        <w:rPr>
          <w:rFonts w:ascii="Calibri" w:hAnsi="Calibri" w:cs="Calibri"/>
        </w:rPr>
        <w:t>(Solcomb 2010)</w:t>
      </w:r>
      <w:r w:rsidR="00BA731E">
        <w:fldChar w:fldCharType="end"/>
      </w:r>
      <w:r w:rsidR="00BA731E">
        <w:t xml:space="preserve">, with much of the economic development built upon the growth of the agricultural sector </w:t>
      </w:r>
      <w:r w:rsidR="00BA731E">
        <w:fldChar w:fldCharType="begin"/>
      </w:r>
      <w:r w:rsidR="00EF0EDF">
        <w:instrText xml:space="preserve"> ADDIN ZOTERO_ITEM CSL_CITATION {"citationID":"tLEeicNu","properties":{"formattedCitation":"(Eliste &amp; Zorya 2015; Kong et al. 2019)","plainCitation":"(Eliste &amp; Zorya 2015; Kong et al. 2019)","noteIndex":0},"citationItems":[{"id":2752,"uris":["http://zotero.org/users/2170232/items/U2ZTSPR5"],"uri":["http://zotero.org/users/2170232/items/U2ZTSPR5"],"itemData":{"id":2752,"type":"report","event-place":"Washington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rsidR="00BA731E">
        <w:fldChar w:fldCharType="separate"/>
      </w:r>
      <w:r w:rsidR="00EF0EDF" w:rsidRPr="00EF0EDF">
        <w:rPr>
          <w:rFonts w:ascii="Calibri" w:hAnsi="Calibri" w:cs="Calibri"/>
        </w:rPr>
        <w:t>(Eliste &amp; Zorya 2015; Kong et al. 2019)</w:t>
      </w:r>
      <w:r w:rsidR="00BA731E">
        <w:fldChar w:fldCharType="end"/>
      </w:r>
      <w:r w:rsidR="00BA731E">
        <w:t xml:space="preserve">. This economic development has brought many benefits, including poverty reduction and food security </w:t>
      </w:r>
      <w:r w:rsidR="00BA731E">
        <w:fldChar w:fldCharType="begin"/>
      </w:r>
      <w:r w:rsidR="00BA731E">
        <w:instrText xml:space="preserve"> ADDIN ZOTERO_ITEM CSL_CITATION {"citationID":"RtrUHAgf","properties":{"formattedCitation":"(World Bank 2014)","plainCitation":"(World Bank 2014)","noteIndex":0},"citationItems":[{"id":2763,"uris":["http://zotero.org/users/2170232/items/DHPTZUDX"],"uri":["http://zotero.org/users/2170232/items/DHPTZUDX"],"itemData":{"id":2763,"type":"report","event-place":"Washington DC, USA","publisher":"World Bank Group","publisher-place":"Washington DC, USA","title":"Where have all the poor gone? Cambodia poverty assessment 2013","author":[{"family":"World Bank","given":""}],"issued":{"date-parts":[["2014"]]}}}],"schema":"https://github.com/citation-style-language/schema/raw/master/csl-citation.json"} </w:instrText>
      </w:r>
      <w:r w:rsidR="00BA731E">
        <w:fldChar w:fldCharType="separate"/>
      </w:r>
      <w:r w:rsidR="00BA731E" w:rsidRPr="00BA731E">
        <w:rPr>
          <w:rFonts w:ascii="Calibri" w:hAnsi="Calibri" w:cs="Calibri"/>
        </w:rPr>
        <w:t>(World Bank 2014)</w:t>
      </w:r>
      <w:r w:rsidR="00BA731E">
        <w:fldChar w:fldCharType="end"/>
      </w:r>
      <w:r w:rsidR="00BA731E">
        <w:t>, yet the expansion of the agricultural sector</w:t>
      </w:r>
      <w:r>
        <w:t xml:space="preserve"> has caused deforestation </w:t>
      </w:r>
      <w:r>
        <w:fldChar w:fldCharType="begin"/>
      </w:r>
      <w:r>
        <w:instrText xml:space="preserve"> ADDIN ZOTERO_ITEM CSL_CITATION {"citationID":"Bppgw4Bd","properties":{"formattedCitation":"(Beauchamp et al. 2018)","plainCitation":"(Beauchamp et al. 2018)","noteIndex":0},"citationItems":[{"id":3123,"uris":["http://zotero.org/users/2170232/items/JE75AC84"],"uri":["http://zotero.org/users/2170232/items/JE75AC84"],"itemData":{"id":3123,"type":"article-journal","abstract":"Trade-offs between different land use outcomes are inevitable to meet both development and conservation agendas, especially in developing countries where aspirations for development take place within the world's most biodiversity-rich areas. Reports at the national or subnational levels about how trade-offs between conservation and development outcomes materialise once implemented are limited and regionalized analyses are required to understand how they materialise spatially once policies are executed. We take the case study of northern Cambodia, where both protected areas (PAs), as a conservation policy, and Economic Land Concessions (ELCs), as a developmental agricultural intensification strategy, have been implemented. We explore the influences on placement of ELCs and the extent to which they overlap with protected areas, using mixed effect models. We then determine the predictors of deforestation in the study area between 2008 and 2013, including presence of ELCs and PAs. ELC placement does not respond to expected socio-environmental factors related to implementation criteria in policy documents, and is not influenced by the presence of PAs. ELCs represent the most significant driver of deforestation of the factors considered. PAs limit deforestation but only if well-managed. This failure to achieve the balanced trade-off between conservation and development outcomes which policies intend points to development impacts compromising environmental sustainability in the long-run.","container-title":"Land Use Policy","DOI":"10.1016/j.landusepol.2017.11.021","ISSN":"0264-8377","journalAbbreviation":"Land Use Policy","language":"en","page":"431-444","source":"ScienceDirect","title":"Exploring trade-offs between development and conservation outcomes in Northern Cambodia","volume":"71","author":[{"family":"Beauchamp","given":"Emilie"},{"family":"Clements","given":"Tom"},{"family":"Milner-Gulland","given":"E. J."}],"issued":{"date-parts":[["2018",2,1]]}}}],"schema":"https://github.com/citation-style-language/schema/raw/master/csl-citation.json"} </w:instrText>
      </w:r>
      <w:r>
        <w:fldChar w:fldCharType="separate"/>
      </w:r>
      <w:r w:rsidRPr="00C20340">
        <w:rPr>
          <w:rFonts w:ascii="Calibri" w:hAnsi="Calibri" w:cs="Calibri"/>
        </w:rPr>
        <w:t>(Beauchamp et al. 2018)</w:t>
      </w:r>
      <w:r>
        <w:fldChar w:fldCharType="end"/>
      </w:r>
      <w:r w:rsidR="00BA731E">
        <w:t xml:space="preserve">. </w:t>
      </w:r>
      <w:r w:rsidR="00207E3B">
        <w:t>Forest loss, even within protected areas, has increased</w:t>
      </w:r>
      <w:r w:rsidR="00BA731E">
        <w:t xml:space="preserve"> as a result of the boom in ELCs</w:t>
      </w:r>
      <w:r w:rsidR="00207E3B">
        <w:t xml:space="preserve"> </w:t>
      </w:r>
      <w:r w:rsidR="00207E3B">
        <w:fldChar w:fldCharType="begin"/>
      </w:r>
      <w:r w:rsidR="00207E3B">
        <w:instrText xml:space="preserve"> ADDIN ZOTERO_ITEM CSL_CITATION {"citationID":"7mn0YGF1","properties":{"formattedCitation":"(Watson et al. 2014; Davis et al. 2015)","plainCitation":"(Watson et al. 2014; Davis et al. 2015)","noteIndex":0},"citationItems":[{"id":2042,"uris":["http://zotero.org/users/2170232/items/PKUNSUBE"],"uri":["http://zotero.org/users/2170232/items/PKUNSUBE"],"itemData":{"id":2042,"type":"article-journal","abstract":"Originally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207E3B">
        <w:fldChar w:fldCharType="separate"/>
      </w:r>
      <w:r w:rsidR="00207E3B" w:rsidRPr="00207E3B">
        <w:rPr>
          <w:rFonts w:ascii="Calibri" w:hAnsi="Calibri" w:cs="Calibri"/>
        </w:rPr>
        <w:t>(Watson et al. 2014; Davis et al. 2015)</w:t>
      </w:r>
      <w:r w:rsidR="00207E3B">
        <w:fldChar w:fldCharType="end"/>
      </w:r>
      <w:r w:rsidR="00BA731E">
        <w:t xml:space="preserve">. </w:t>
      </w:r>
      <w:r w:rsidR="00207E3B">
        <w:t>To minimise future forest loss and the associated loss of biodiversity, ecosystem services, and local livelihoods, Cambodia needs to reduce deforestation rates and move towards a forest transition by establishing appropriate policies, legal frameworks, and importantly, the governance to effectively implement such mechanisms</w:t>
      </w:r>
      <w:r w:rsidR="000B1FE5">
        <w:t xml:space="preserve"> </w:t>
      </w:r>
      <w:r w:rsidR="000B1FE5">
        <w:fldChar w:fldCharType="begin"/>
      </w:r>
      <w:r w:rsidR="000B1FE5">
        <w:instrText xml:space="preserve"> ADDIN ZOTERO_ITEM CSL_CITATION {"citationID":"ZizuY2uH","properties":{"formattedCitation":"(Riggs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0B1FE5">
        <w:fldChar w:fldCharType="separate"/>
      </w:r>
      <w:r w:rsidR="000B1FE5" w:rsidRPr="000B1FE5">
        <w:rPr>
          <w:rFonts w:ascii="Calibri" w:hAnsi="Calibri" w:cs="Calibri"/>
        </w:rPr>
        <w:t>(Riggs et al. 2018)</w:t>
      </w:r>
      <w:r w:rsidR="000B1FE5">
        <w:fldChar w:fldCharType="end"/>
      </w:r>
      <w:r w:rsidR="00207E3B">
        <w:t xml:space="preserve">. Identifying which development pathway Cambodia is on, and the measures that are required to move towards a forest transition, will require a greater understanding of the relationships between economic development, forest loss, and agriculture. </w:t>
      </w:r>
      <w:r w:rsidR="00A81029">
        <w:t>There has been some research on</w:t>
      </w:r>
      <w:r w:rsidR="00EF0EDF">
        <w:t xml:space="preserve"> drivers of forest loss in Cambodia, for example the direct effect of ELCs</w:t>
      </w:r>
      <w:r w:rsidR="000B1FE5">
        <w:t xml:space="preserve"> on forest cover</w:t>
      </w:r>
      <w:r w:rsidR="00EF0EDF">
        <w:t xml:space="preserve"> </w:t>
      </w:r>
      <w:r w:rsidR="00EF0EDF">
        <w:fldChar w:fldCharType="begin"/>
      </w:r>
      <w:r w:rsidR="00EF0EDF">
        <w:instrText xml:space="preserve"> ADDIN ZOTERO_ITEM CSL_CITATION {"citationID":"lhu0l4tC","properties":{"formattedCitation":"(Davis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EF0EDF">
        <w:fldChar w:fldCharType="separate"/>
      </w:r>
      <w:r w:rsidR="00EF0EDF" w:rsidRPr="00EF0EDF">
        <w:rPr>
          <w:rFonts w:ascii="Calibri" w:hAnsi="Calibri" w:cs="Calibri"/>
        </w:rPr>
        <w:t>(Davis et al. 2015)</w:t>
      </w:r>
      <w:r w:rsidR="00EF0EDF">
        <w:fldChar w:fldCharType="end"/>
      </w:r>
      <w:r w:rsidR="00EF0EDF">
        <w:t xml:space="preserve">, drivers of deforestation in the north western uplands of the country </w:t>
      </w:r>
      <w:r w:rsidR="00EF0EDF">
        <w:fldChar w:fldCharType="begin"/>
      </w:r>
      <w:r w:rsidR="00EF0EDF">
        <w:instrText xml:space="preserve"> ADDIN ZOTERO_ITEM CSL_CITATION {"citationID":"ARJUIq0j","properties":{"formattedCitation":"(Kong et al. 2019)","plainCitation":"(Kong et al. 2019)","noteIndex":0},"citationItems":[{"id":2939,"uris":["http://zotero.org/users/2170232/items/MNLFBPTF"],"uri":["http://zotero.org/users/2170232/items/MNLFBPTF"],"itemData":{"id":2939,"type":"article-journal","abstract":"At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rsidR="00EF0EDF">
        <w:fldChar w:fldCharType="separate"/>
      </w:r>
      <w:r w:rsidR="00EF0EDF" w:rsidRPr="00EF0EDF">
        <w:rPr>
          <w:rFonts w:ascii="Calibri" w:hAnsi="Calibri" w:cs="Calibri"/>
        </w:rPr>
        <w:t>(Kong et al. 2019)</w:t>
      </w:r>
      <w:r w:rsidR="00EF0EDF">
        <w:fldChar w:fldCharType="end"/>
      </w:r>
      <w:r w:rsidR="00EF0EDF">
        <w:t xml:space="preserve">, social and political factors influencing forest transition </w:t>
      </w:r>
      <w:r w:rsidR="00EF0EDF">
        <w:fldChar w:fldCharType="begin"/>
      </w:r>
      <w:r w:rsidR="00EF0EDF">
        <w:instrText xml:space="preserve"> ADDIN ZOTERO_ITEM CSL_CITATION {"citationID":"I6DCWvrT","properties":{"formattedCitation":"(Riggs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EF0EDF">
        <w:fldChar w:fldCharType="separate"/>
      </w:r>
      <w:r w:rsidR="00EF0EDF" w:rsidRPr="00EF0EDF">
        <w:rPr>
          <w:rFonts w:ascii="Calibri" w:hAnsi="Calibri" w:cs="Calibri"/>
        </w:rPr>
        <w:t>(Riggs et al. 2018)</w:t>
      </w:r>
      <w:r w:rsidR="00EF0EDF">
        <w:fldChar w:fldCharType="end"/>
      </w:r>
      <w:r w:rsidR="000B1FE5">
        <w:t>.</w:t>
      </w:r>
      <w:r w:rsidR="00EF0EDF">
        <w:t xml:space="preserve"> </w:t>
      </w:r>
      <w:r w:rsidR="000B1FE5">
        <w:t>Y</w:t>
      </w:r>
      <w:r w:rsidR="00EF0EDF">
        <w:t>et there have been no studies that investigate the relationships between economic</w:t>
      </w:r>
      <w:r w:rsidR="007C4C91">
        <w:t xml:space="preserve"> development</w:t>
      </w:r>
      <w:r w:rsidR="00EF0EDF">
        <w:t>, agriculture, and forest loss</w:t>
      </w:r>
      <w:r w:rsidR="00DC13AB">
        <w:t xml:space="preserve"> at the country scale.</w:t>
      </w:r>
      <w:r w:rsidR="007577ED">
        <w:t xml:space="preserve"> These are the relationships I aim to investigate in this chapter.</w:t>
      </w:r>
    </w:p>
    <w:p w14:paraId="0EAC9FDD" w14:textId="35629C38" w:rsidR="000A46B5" w:rsidRPr="001F2B94" w:rsidRDefault="00141381">
      <w:r>
        <w:t>In this stud</w:t>
      </w:r>
      <w:r w:rsidR="00207E3B">
        <w:t xml:space="preserve">y, </w:t>
      </w:r>
      <w:r w:rsidR="003425B9">
        <w:t>I</w:t>
      </w:r>
      <w:r w:rsidR="00207E3B">
        <w:t xml:space="preserve"> aim to </w:t>
      </w:r>
      <w:r w:rsidR="00DC13AB">
        <w:t xml:space="preserve">address this research gap and provide quantitative evidence of relationships between measures of economic development, agricultural commodities, ELCs, and forest loss. </w:t>
      </w:r>
      <w:r w:rsidR="001F2B94">
        <w:t xml:space="preserve">For the period 1993 to 2015, </w:t>
      </w:r>
      <w:r w:rsidR="003425B9">
        <w:t>I</w:t>
      </w:r>
      <w:r w:rsidR="001F2B94">
        <w:t xml:space="preserve"> use generalised linear models to 1) model the relationships between the rate of forest loss and</w:t>
      </w:r>
      <w:r w:rsidR="0034404B">
        <w:t xml:space="preserve"> variables that describe, or are proxies for,</w:t>
      </w:r>
      <w:r w:rsidR="001F2B94">
        <w:t xml:space="preserve"> </w:t>
      </w:r>
      <w:r w:rsidR="0034404B">
        <w:t>economic development and</w:t>
      </w:r>
      <w:r w:rsidR="001F2B94">
        <w:t xml:space="preserve"> </w:t>
      </w:r>
      <w:r w:rsidR="0034404B">
        <w:t xml:space="preserve">agricultural </w:t>
      </w:r>
      <w:r w:rsidR="001F2B94">
        <w:t>commodity price</w:t>
      </w:r>
      <w:r w:rsidR="0034404B">
        <w:t xml:space="preserve">s </w:t>
      </w:r>
      <w:r w:rsidR="001F2B94">
        <w:t xml:space="preserve">and 2) model the relationships between the allocation of new ELCs and </w:t>
      </w:r>
      <w:r w:rsidR="0034404B">
        <w:t>variables that describe, or are proxies for, economic development and agricultural commodity prices</w:t>
      </w:r>
      <w:r w:rsidR="001F2B94">
        <w:t xml:space="preserve">. </w:t>
      </w:r>
      <w:r w:rsidR="00376731">
        <w:t>My</w:t>
      </w:r>
      <w:r w:rsidR="001F2B94">
        <w:t xml:space="preserve"> results will provide important data to identify direct and indirect drivers of forest loss in Cambodia, aiding in the identification of leverage points, supporting the development of agricultural and forest policies, and contributing more widely to the forest transition literature</w:t>
      </w:r>
      <w:r w:rsidR="007577ED">
        <w:t>.</w:t>
      </w:r>
      <w:r w:rsidR="001F2B94">
        <w:t xml:space="preserve"> </w:t>
      </w:r>
    </w:p>
    <w:p w14:paraId="61F71508" w14:textId="107DE591" w:rsidR="000A46B5" w:rsidRDefault="000A0B92">
      <w:pPr>
        <w:rPr>
          <w:b/>
          <w:bCs/>
        </w:rPr>
      </w:pPr>
      <w:r>
        <w:rPr>
          <w:b/>
          <w:bCs/>
        </w:rPr>
        <w:t xml:space="preserve">2.2 </w:t>
      </w:r>
      <w:r w:rsidR="000A46B5">
        <w:rPr>
          <w:b/>
          <w:bCs/>
        </w:rPr>
        <w:t>M</w:t>
      </w:r>
      <w:r>
        <w:rPr>
          <w:b/>
          <w:bCs/>
        </w:rPr>
        <w:t>ETHODS</w:t>
      </w:r>
    </w:p>
    <w:p w14:paraId="1059DA8F" w14:textId="6CA89800" w:rsidR="000A46B5" w:rsidRPr="000A0B92" w:rsidRDefault="000A0B92" w:rsidP="000A46B5">
      <w:pPr>
        <w:rPr>
          <w:b/>
          <w:bCs/>
          <w:i/>
          <w:iCs/>
        </w:rPr>
      </w:pPr>
      <w:r w:rsidRPr="000A0B92">
        <w:rPr>
          <w:b/>
          <w:bCs/>
          <w:i/>
          <w:iCs/>
        </w:rPr>
        <w:t xml:space="preserve">2.2.1 </w:t>
      </w:r>
      <w:r w:rsidR="000A46B5" w:rsidRPr="000A0B92">
        <w:rPr>
          <w:b/>
          <w:bCs/>
          <w:i/>
          <w:iCs/>
        </w:rPr>
        <w:t>Study area</w:t>
      </w:r>
    </w:p>
    <w:p w14:paraId="62225273" w14:textId="09D0AEEF" w:rsidR="000A46B5" w:rsidRPr="000A46B5" w:rsidRDefault="00BA5DD9" w:rsidP="000A46B5">
      <w:bookmarkStart w:id="0" w:name="_Hlk89075249"/>
      <w:r>
        <w:t xml:space="preserve">This study area for this chapter is the whole of Cambodia. See chapter 1 section 1.2 for a detailed background to the country, and chapter 1 section 1.2.1 for detailed biophysical characteristics of the country.  </w:t>
      </w:r>
    </w:p>
    <w:bookmarkEnd w:id="0"/>
    <w:p w14:paraId="508AA3CA" w14:textId="7D205CFD" w:rsidR="000A46B5" w:rsidRPr="000A0B92" w:rsidRDefault="000A0B92" w:rsidP="000A46B5">
      <w:pPr>
        <w:rPr>
          <w:b/>
          <w:bCs/>
          <w:i/>
          <w:iCs/>
        </w:rPr>
      </w:pPr>
      <w:r w:rsidRPr="000A0B92">
        <w:rPr>
          <w:b/>
          <w:bCs/>
          <w:i/>
          <w:iCs/>
        </w:rPr>
        <w:t xml:space="preserve">2.2.2 </w:t>
      </w:r>
      <w:r w:rsidR="000A46B5" w:rsidRPr="000A0B92">
        <w:rPr>
          <w:b/>
          <w:bCs/>
          <w:i/>
          <w:iCs/>
        </w:rPr>
        <w:t>Data sources</w:t>
      </w:r>
    </w:p>
    <w:p w14:paraId="6EA63835" w14:textId="1BB62B5C" w:rsidR="000A46B5" w:rsidRPr="000A46B5" w:rsidRDefault="000A46B5" w:rsidP="000A46B5">
      <w:r w:rsidRPr="000A46B5">
        <w:t>National</w:t>
      </w:r>
      <w:r w:rsidR="007C4C91">
        <w:t xml:space="preserve"> </w:t>
      </w:r>
      <w:r w:rsidRPr="000A46B5">
        <w:t xml:space="preserve">economic variables were acquired from publicly available sources (Table </w:t>
      </w:r>
      <w:r w:rsidR="0038235D">
        <w:t>2.</w:t>
      </w:r>
      <w:r w:rsidRPr="000A46B5">
        <w:t>1) for the period 1993 – 2015.</w:t>
      </w:r>
      <w:r>
        <w:t xml:space="preserve"> </w:t>
      </w:r>
      <w:r w:rsidRPr="000A46B5">
        <w:t>Data on economic land concessions</w:t>
      </w:r>
      <w:r w:rsidR="00C65E6A">
        <w:t xml:space="preserve"> </w:t>
      </w:r>
      <w:r w:rsidRPr="000A46B5">
        <w:t>and shapefiles for the country</w:t>
      </w:r>
      <w:r w:rsidR="00C65E6A">
        <w:t xml:space="preserve"> </w:t>
      </w:r>
      <w:r w:rsidRPr="000A46B5">
        <w:t xml:space="preserve">were provided by the </w:t>
      </w:r>
      <w:r w:rsidR="001A6F37">
        <w:t xml:space="preserve">Royal Government of Cambodia (via the </w:t>
      </w:r>
      <w:r w:rsidRPr="000A46B5">
        <w:t>Wildlife Conservation Society</w:t>
      </w:r>
      <w:r w:rsidR="001A6F37">
        <w:t>)</w:t>
      </w:r>
      <w:r w:rsidRPr="000A46B5">
        <w:t>. Forest cover layers were taken from the publicly available European Space Agency Climate Change Initiative (ESACCI) satellite data for the years 1993 – 2015.</w:t>
      </w:r>
    </w:p>
    <w:p w14:paraId="6907946E" w14:textId="076D2BFC" w:rsidR="000A46B5" w:rsidRPr="000A0B92" w:rsidRDefault="000A0B92" w:rsidP="000A46B5">
      <w:pPr>
        <w:rPr>
          <w:b/>
          <w:bCs/>
          <w:i/>
          <w:iCs/>
        </w:rPr>
      </w:pPr>
      <w:r w:rsidRPr="000A0B92">
        <w:rPr>
          <w:b/>
          <w:bCs/>
          <w:i/>
          <w:iCs/>
        </w:rPr>
        <w:t xml:space="preserve">2.2.3 </w:t>
      </w:r>
      <w:r w:rsidR="000A46B5" w:rsidRPr="000A0B92">
        <w:rPr>
          <w:b/>
          <w:bCs/>
          <w:i/>
          <w:iCs/>
        </w:rPr>
        <w:t>Variable selection</w:t>
      </w:r>
    </w:p>
    <w:p w14:paraId="6D455FEB" w14:textId="45197583" w:rsidR="005A24EE" w:rsidRPr="00BF30EA" w:rsidRDefault="000A46B5" w:rsidP="000A46B5">
      <w:r w:rsidRPr="000A46B5">
        <w:lastRenderedPageBreak/>
        <w:t xml:space="preserve">The response variables were 1) change in forest cover (forest loss) from time </w:t>
      </w:r>
      <w:r w:rsidRPr="000A46B5">
        <w:rPr>
          <w:i/>
          <w:iCs/>
        </w:rPr>
        <w:t>t</w:t>
      </w:r>
      <w:r w:rsidRPr="000A46B5">
        <w:t xml:space="preserve"> to time </w:t>
      </w:r>
      <w:r w:rsidRPr="000A46B5">
        <w:rPr>
          <w:i/>
          <w:iCs/>
        </w:rPr>
        <w:t>t</w:t>
      </w:r>
      <w:r w:rsidRPr="000A46B5">
        <w:rPr>
          <w:i/>
          <w:iCs/>
          <w:vertAlign w:val="subscript"/>
        </w:rPr>
        <w:t>+1</w:t>
      </w:r>
      <w:r w:rsidRPr="000A46B5">
        <w:t xml:space="preserve"> and 2) the number of new ELC allocations in year </w:t>
      </w:r>
      <w:r w:rsidRPr="000A46B5">
        <w:rPr>
          <w:i/>
          <w:iCs/>
        </w:rPr>
        <w:t>t</w:t>
      </w:r>
      <w:r w:rsidRPr="000A46B5">
        <w:t>.</w:t>
      </w:r>
      <w:r>
        <w:t xml:space="preserve"> </w:t>
      </w:r>
      <w:r w:rsidR="007C4C91">
        <w:t>Predictor</w:t>
      </w:r>
      <w:r>
        <w:t xml:space="preserve"> </w:t>
      </w:r>
      <w:r w:rsidRPr="000A46B5">
        <w:t xml:space="preserve">and control variables were selected based on a combination of previous studies, data availability, and </w:t>
      </w:r>
      <w:r w:rsidR="007C4C91">
        <w:t xml:space="preserve">my </w:t>
      </w:r>
      <w:r w:rsidRPr="000A46B5">
        <w:t>knowledge of Cambodia.</w:t>
      </w:r>
      <w:r w:rsidR="007C4C91">
        <w:t xml:space="preserve"> </w:t>
      </w:r>
      <w:r w:rsidR="00A81C7F">
        <w:t>V</w:t>
      </w:r>
      <w:r w:rsidRPr="000A46B5">
        <w:t xml:space="preserve">ariables were selected to create three sets of predictors, each targeting a different driver: economic development (n=8), </w:t>
      </w:r>
      <w:r w:rsidR="00A81C7F">
        <w:t xml:space="preserve">agricultural </w:t>
      </w:r>
      <w:r w:rsidRPr="000A46B5">
        <w:t>commodity prices (external market forces, n=8), and producer</w:t>
      </w:r>
      <w:r w:rsidR="00A81C7F">
        <w:t xml:space="preserve"> (or farm gate)</w:t>
      </w:r>
      <w:r w:rsidRPr="000A46B5">
        <w:t xml:space="preserve"> prices (internal market forces, n=5) </w:t>
      </w:r>
      <w:r w:rsidRPr="000A46B5">
        <w:fldChar w:fldCharType="begin"/>
      </w:r>
      <w:r w:rsidRPr="000A46B5">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2018)","dontUpdate":true,"noteIndex":0},"citationItems":[{"id":165,"uris":["http://zotero.org/users/2170232/items/9J63RXYK"],"uri":["http://zotero.org/users/2170232/items/9J63RXYK"],"itemData":{"id":165,"type":"article-journal","abstract":"This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0A46B5">
        <w:fldChar w:fldCharType="separate"/>
      </w:r>
      <w:r w:rsidRPr="004D1C55">
        <w:t>(Table S</w:t>
      </w:r>
      <w:r w:rsidR="004D1C55" w:rsidRPr="004D1C55">
        <w:t>2.1</w:t>
      </w:r>
      <w:r w:rsidRPr="000A46B5">
        <w:t>, Nelson et al. 2006; Ewers 2006; Gong et al. 2013; Kuang et al. 2016; Fan &amp; Ding 2016; Bonilla-Bedoya et al. 2018)</w:t>
      </w:r>
      <w:r w:rsidRPr="000A46B5">
        <w:fldChar w:fldCharType="end"/>
      </w:r>
      <w:r w:rsidRPr="000A46B5">
        <w:t>. Each predictor was hypothesised to be a driver of forest loss (</w:t>
      </w:r>
      <w:r w:rsidRPr="00A818EB">
        <w:t>Table S</w:t>
      </w:r>
      <w:r w:rsidR="00A818EB" w:rsidRPr="00A818EB">
        <w:t>2.</w:t>
      </w:r>
      <w:r w:rsidRPr="00A818EB">
        <w:t>2</w:t>
      </w:r>
      <w:r w:rsidRPr="000A46B5">
        <w:t xml:space="preserve">). Human population density was included as a control variable for the economic set and total forest remaining was included as control variable across all sets, as both were expected to influence forest loss. Both per capita Gross Domestic Product (GDP) and amount of forest remaining were included to reflect the economic development path and the forest scarcity path respectively </w:t>
      </w:r>
      <w:r w:rsidRPr="000A46B5">
        <w:fldChar w:fldCharType="begin"/>
      </w:r>
      <w:r w:rsidR="007739D7">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Pr="000A46B5">
        <w:fldChar w:fldCharType="separate"/>
      </w:r>
      <w:r w:rsidR="007739D7" w:rsidRPr="007739D7">
        <w:rPr>
          <w:rFonts w:ascii="Calibri" w:hAnsi="Calibri" w:cs="Calibri"/>
        </w:rPr>
        <w:t>(Rudel et al. 2005; Lambin &amp; Meyfroidt 2010)</w:t>
      </w:r>
      <w:r w:rsidRPr="000A46B5">
        <w:fldChar w:fldCharType="end"/>
      </w:r>
      <w:r w:rsidRPr="000A46B5">
        <w:t xml:space="preserve">. After pre-analysis checks for errors the resulting variable set contained 20 variables (Table </w:t>
      </w:r>
      <w:r w:rsidR="0038235D">
        <w:t>2.</w:t>
      </w:r>
      <w:r w:rsidRPr="000A46B5">
        <w:t>1).</w:t>
      </w:r>
    </w:p>
    <w:p w14:paraId="7B3CC724" w14:textId="7CBAA082" w:rsidR="000A46B5" w:rsidRPr="000A0B92" w:rsidRDefault="000A0B92" w:rsidP="000A46B5">
      <w:pPr>
        <w:rPr>
          <w:b/>
          <w:bCs/>
          <w:i/>
          <w:iCs/>
        </w:rPr>
      </w:pPr>
      <w:r w:rsidRPr="000A0B92">
        <w:rPr>
          <w:b/>
          <w:bCs/>
          <w:i/>
          <w:iCs/>
        </w:rPr>
        <w:t xml:space="preserve">2.2.4 </w:t>
      </w:r>
      <w:r w:rsidR="000A46B5" w:rsidRPr="000A0B92">
        <w:rPr>
          <w:b/>
          <w:bCs/>
          <w:i/>
          <w:iCs/>
        </w:rPr>
        <w:t>Data processing</w:t>
      </w:r>
    </w:p>
    <w:p w14:paraId="6A7C6D7B" w14:textId="4846BA77" w:rsidR="007D6A50" w:rsidRPr="007739D7" w:rsidRDefault="000A46B5" w:rsidP="000A46B5">
      <w:r w:rsidRPr="001E05DC">
        <w:t>The forest cover</w:t>
      </w:r>
      <w:r w:rsidR="005252BE">
        <w:t xml:space="preserve"> response</w:t>
      </w:r>
      <w:r w:rsidRPr="001E05DC">
        <w:t xml:space="preserve"> variable was extracted from the ESACCI product by totalling the number of pixels (1 Pixel = 0.09km</w:t>
      </w:r>
      <w:r w:rsidRPr="001E05DC">
        <w:rPr>
          <w:vertAlign w:val="superscript"/>
        </w:rPr>
        <w:t>2</w:t>
      </w:r>
      <w:r w:rsidRPr="001E05DC">
        <w:t>) in each year classified as bands 50, 60, 61, 62, 70, 71, 72, 80, 81, 82, 90, and 100 (</w:t>
      </w:r>
      <w:r w:rsidRPr="00A818EB">
        <w:t>Table S</w:t>
      </w:r>
      <w:r w:rsidR="00A818EB">
        <w:t>2.3</w:t>
      </w:r>
      <w:r w:rsidRPr="001E05DC">
        <w:t xml:space="preserve">). Forest cover data processing was done in QGIS </w:t>
      </w:r>
      <w:r w:rsidRPr="001E05DC">
        <w:fldChar w:fldCharType="begin"/>
      </w:r>
      <w:r w:rsidRPr="001E05DC">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1E05DC">
        <w:fldChar w:fldCharType="separate"/>
      </w:r>
      <w:r w:rsidRPr="001E05DC">
        <w:t>(QGIS Geographic Information System v3.16)</w:t>
      </w:r>
      <w:r w:rsidRPr="001E05DC">
        <w:fldChar w:fldCharType="end"/>
      </w:r>
      <w:r w:rsidRPr="001E05DC">
        <w:t xml:space="preserve">. </w:t>
      </w:r>
      <w:r w:rsidR="005252BE">
        <w:t>The ELC response variable was created by summing the number of new ELC contracts that were dated in each year of the study period, resulting in a count of new ELCs per year. P</w:t>
      </w:r>
      <w:r w:rsidRPr="001E05DC">
        <w:t>redictor variables were checked for collinearity, and if two variables in the same set had a correlation coefficient of &gt;0.6 then generally one was removed (</w:t>
      </w:r>
      <w:r w:rsidR="00A818EB">
        <w:t>Table S2.4</w:t>
      </w:r>
      <w:r w:rsidRPr="001E05DC">
        <w:t>).</w:t>
      </w:r>
      <w:r w:rsidR="005252BE">
        <w:t xml:space="preserve"> </w:t>
      </w:r>
      <w:r w:rsidRPr="001E05DC">
        <w:t xml:space="preserve">Forest cover was converted to change in forest cover using </w:t>
      </w:r>
      <w:r w:rsidRPr="001E05DC">
        <w:rPr>
          <w:i/>
          <w:iCs/>
        </w:rPr>
        <w:t>forest cover</w:t>
      </w:r>
      <w:r w:rsidRPr="001E05DC">
        <w:rPr>
          <w:i/>
          <w:iCs/>
          <w:vertAlign w:val="subscript"/>
        </w:rPr>
        <w:t>t+1</w:t>
      </w:r>
      <w:r w:rsidRPr="001E05DC">
        <w:rPr>
          <w:i/>
          <w:iCs/>
        </w:rPr>
        <w:t xml:space="preserve"> − forest cover</w:t>
      </w:r>
      <w:r w:rsidRPr="001E05DC">
        <w:rPr>
          <w:i/>
          <w:iCs/>
          <w:vertAlign w:val="subscript"/>
        </w:rPr>
        <w:t>t</w:t>
      </w:r>
      <w:r w:rsidRPr="001E05DC">
        <w:t xml:space="preserve">, where </w:t>
      </w:r>
      <w:r w:rsidRPr="001E05DC">
        <w:rPr>
          <w:i/>
          <w:iCs/>
        </w:rPr>
        <w:t>t</w:t>
      </w:r>
      <w:r w:rsidRPr="001E05DC">
        <w:t xml:space="preserve"> represents year </w:t>
      </w:r>
      <w:r w:rsidRPr="001E05DC">
        <w:rPr>
          <w:i/>
          <w:iCs/>
        </w:rPr>
        <w:t>t.</w:t>
      </w:r>
      <w:r w:rsidRPr="001E05DC">
        <w:t xml:space="preserve"> There were no periods of forest gain during the study period, and so the response can be considered as rate of forest loss. All predictors were converted from raw values to change in values using </w:t>
      </w:r>
      <w:r w:rsidRPr="001E05DC">
        <w:rPr>
          <w:i/>
          <w:iCs/>
        </w:rPr>
        <w:t>X</w:t>
      </w:r>
      <w:r w:rsidRPr="001E05DC">
        <w:rPr>
          <w:i/>
          <w:iCs/>
          <w:vertAlign w:val="subscript"/>
        </w:rPr>
        <w:t>t+1</w:t>
      </w:r>
      <w:r w:rsidRPr="001E05DC">
        <w:rPr>
          <w:i/>
          <w:iCs/>
        </w:rPr>
        <w:t xml:space="preserve"> – X</w:t>
      </w:r>
      <w:r w:rsidRPr="001E05DC">
        <w:rPr>
          <w:i/>
          <w:iCs/>
          <w:vertAlign w:val="subscript"/>
        </w:rPr>
        <w:t>t</w:t>
      </w:r>
      <w:r w:rsidRPr="001E05DC">
        <w:rPr>
          <w:i/>
          <w:iCs/>
        </w:rPr>
        <w:t xml:space="preserve">, </w:t>
      </w:r>
      <w:r w:rsidRPr="001E05DC">
        <w:t xml:space="preserve">where </w:t>
      </w:r>
      <w:r w:rsidRPr="001E05DC">
        <w:rPr>
          <w:i/>
          <w:iCs/>
        </w:rPr>
        <w:t>t</w:t>
      </w:r>
      <w:r w:rsidRPr="001E05DC">
        <w:t xml:space="preserve"> represents year </w:t>
      </w:r>
      <w:r w:rsidRPr="001E05DC">
        <w:rPr>
          <w:i/>
          <w:iCs/>
        </w:rPr>
        <w:t>t</w:t>
      </w:r>
      <w:r w:rsidRPr="001E05DC">
        <w:t xml:space="preserve"> </w:t>
      </w:r>
      <w:r w:rsidRPr="001E05DC">
        <w:fldChar w:fldCharType="begin"/>
      </w:r>
      <w:r w:rsidR="007739D7">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Pr="001E05DC">
        <w:fldChar w:fldCharType="separate"/>
      </w:r>
      <w:r w:rsidR="007739D7" w:rsidRPr="007739D7">
        <w:rPr>
          <w:rFonts w:ascii="Calibri" w:hAnsi="Calibri" w:cs="Calibri"/>
        </w:rPr>
        <w:t>(Barrett et al. 2006)</w:t>
      </w:r>
      <w:r w:rsidRPr="001E05DC">
        <w:fldChar w:fldCharType="end"/>
      </w:r>
      <w:r w:rsidRPr="001E05DC">
        <w:t xml:space="preserve">. The variable </w:t>
      </w:r>
      <w:r w:rsidRPr="001E05DC">
        <w:rPr>
          <w:i/>
          <w:iCs/>
        </w:rPr>
        <w:t>forest remaining</w:t>
      </w:r>
      <w:r w:rsidRPr="001E05DC">
        <w:t xml:space="preserve"> was left as raw values (km</w:t>
      </w:r>
      <w:r w:rsidRPr="001E05DC">
        <w:rPr>
          <w:vertAlign w:val="superscript"/>
        </w:rPr>
        <w:t>2</w:t>
      </w:r>
      <w:r w:rsidRPr="001E05DC">
        <w:t xml:space="preserve">). Cambodia’s first general election and subsequent adoption of a free market economy occurred in 1993, resulting in unreliable GDP-related values for 1993 </w:t>
      </w:r>
      <w:r w:rsidRPr="001E05DC">
        <w:fldChar w:fldCharType="begin"/>
      </w:r>
      <w:r w:rsidR="007739D7">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Pr="001E05DC">
        <w:fldChar w:fldCharType="separate"/>
      </w:r>
      <w:r w:rsidR="007739D7" w:rsidRPr="007739D7">
        <w:rPr>
          <w:rFonts w:ascii="Calibri" w:hAnsi="Calibri" w:cs="Calibri"/>
        </w:rPr>
        <w:t>(Chhair &amp; Ung 2013)</w:t>
      </w:r>
      <w:r w:rsidRPr="001E05DC">
        <w:fldChar w:fldCharType="end"/>
      </w:r>
      <w:r w:rsidRPr="001E05DC">
        <w:t xml:space="preserve"> and subsequent change values in 1994, and so these</w:t>
      </w:r>
      <w:r w:rsidR="00C831FB">
        <w:t xml:space="preserve"> years</w:t>
      </w:r>
      <w:r w:rsidRPr="001E05DC">
        <w:t xml:space="preserve"> were removed. </w:t>
      </w:r>
      <w:r w:rsidR="007D6A50">
        <w:t xml:space="preserve">Predictor variables were not centred or scaled prior to analysis because in this case the value of the intercept, in other words the value of the response </w:t>
      </w:r>
      <w:r w:rsidR="007D6A50">
        <w:rPr>
          <w:i/>
          <w:iCs/>
        </w:rPr>
        <w:t>y</w:t>
      </w:r>
      <w:r w:rsidR="007D6A50">
        <w:t xml:space="preserve"> when the value of a given predictor </w:t>
      </w:r>
      <w:r w:rsidR="007D6A50">
        <w:rPr>
          <w:i/>
          <w:iCs/>
        </w:rPr>
        <w:t>x</w:t>
      </w:r>
      <w:r w:rsidR="007D6A50">
        <w:t xml:space="preserve"> is 0 (i.e., there is no change in the predictor from</w:t>
      </w:r>
      <w:r w:rsidR="007739D7">
        <w:t xml:space="preserve"> time</w:t>
      </w:r>
      <w:r w:rsidR="007D6A50">
        <w:t xml:space="preserve"> </w:t>
      </w:r>
      <w:r w:rsidR="007D6A50">
        <w:rPr>
          <w:i/>
          <w:iCs/>
        </w:rPr>
        <w:t>t</w:t>
      </w:r>
      <w:r w:rsidR="007D6A50" w:rsidRPr="007739D7">
        <w:rPr>
          <w:i/>
          <w:iCs/>
          <w:vertAlign w:val="subscript"/>
        </w:rPr>
        <w:t>-1</w:t>
      </w:r>
      <w:r w:rsidR="007D6A50">
        <w:t xml:space="preserve"> to</w:t>
      </w:r>
      <w:r w:rsidR="007739D7">
        <w:t xml:space="preserve"> time</w:t>
      </w:r>
      <w:r w:rsidR="007D6A50">
        <w:t xml:space="preserve"> </w:t>
      </w:r>
      <w:r w:rsidR="007739D7">
        <w:rPr>
          <w:i/>
          <w:iCs/>
        </w:rPr>
        <w:t>t</w:t>
      </w:r>
      <w:r w:rsidR="007D6A50">
        <w:t>) is</w:t>
      </w:r>
      <w:r w:rsidR="007739D7">
        <w:t xml:space="preserve"> more meaningful than the value of </w:t>
      </w:r>
      <w:r w:rsidR="007739D7">
        <w:rPr>
          <w:i/>
          <w:iCs/>
        </w:rPr>
        <w:t>y</w:t>
      </w:r>
      <w:r w:rsidR="007739D7">
        <w:t xml:space="preserve"> when the value of </w:t>
      </w:r>
      <w:r w:rsidR="007739D7">
        <w:rPr>
          <w:i/>
          <w:iCs/>
        </w:rPr>
        <w:t xml:space="preserve">x </w:t>
      </w:r>
      <w:r w:rsidR="007739D7">
        <w:t xml:space="preserve">is at its mean. </w:t>
      </w:r>
    </w:p>
    <w:p w14:paraId="6CFE929A" w14:textId="77777777" w:rsidR="009F455B" w:rsidRDefault="009F455B" w:rsidP="000A46B5">
      <w:pPr>
        <w:rPr>
          <w:b/>
          <w:bCs/>
          <w:i/>
          <w:iCs/>
        </w:rPr>
      </w:pPr>
    </w:p>
    <w:p w14:paraId="465A6358" w14:textId="77777777" w:rsidR="009F455B" w:rsidRDefault="009F455B" w:rsidP="000A46B5">
      <w:pPr>
        <w:rPr>
          <w:b/>
          <w:bCs/>
          <w:i/>
          <w:iCs/>
        </w:rPr>
      </w:pPr>
    </w:p>
    <w:p w14:paraId="261CD5D7" w14:textId="77777777" w:rsidR="009F455B" w:rsidRDefault="009F455B" w:rsidP="000A46B5">
      <w:pPr>
        <w:rPr>
          <w:b/>
          <w:bCs/>
          <w:i/>
          <w:iCs/>
        </w:rPr>
      </w:pPr>
    </w:p>
    <w:p w14:paraId="46F87944" w14:textId="77777777" w:rsidR="009F455B" w:rsidRDefault="009F455B" w:rsidP="000A46B5">
      <w:pPr>
        <w:rPr>
          <w:b/>
          <w:bCs/>
          <w:i/>
          <w:iCs/>
        </w:rPr>
      </w:pPr>
    </w:p>
    <w:p w14:paraId="4ED2CFE4" w14:textId="77777777" w:rsidR="009F455B" w:rsidRDefault="009F455B" w:rsidP="000A46B5">
      <w:pPr>
        <w:rPr>
          <w:b/>
          <w:bCs/>
          <w:i/>
          <w:iCs/>
        </w:rPr>
      </w:pPr>
    </w:p>
    <w:p w14:paraId="707786C5" w14:textId="77777777" w:rsidR="009F455B" w:rsidRDefault="009F455B" w:rsidP="000A46B5">
      <w:pPr>
        <w:rPr>
          <w:b/>
          <w:bCs/>
          <w:i/>
          <w:iCs/>
        </w:rPr>
      </w:pPr>
    </w:p>
    <w:p w14:paraId="26A47CEC" w14:textId="77777777" w:rsidR="009F455B" w:rsidRDefault="009F455B" w:rsidP="000A46B5">
      <w:pPr>
        <w:rPr>
          <w:b/>
          <w:bCs/>
          <w:i/>
          <w:iCs/>
        </w:rPr>
        <w:sectPr w:rsidR="009F455B">
          <w:pgSz w:w="11906" w:h="16838"/>
          <w:pgMar w:top="1440" w:right="1440" w:bottom="1440" w:left="1440" w:header="708" w:footer="708" w:gutter="0"/>
          <w:cols w:space="708"/>
          <w:docGrid w:linePitch="360"/>
        </w:sectPr>
      </w:pPr>
    </w:p>
    <w:p w14:paraId="6D09E34D" w14:textId="161D7471" w:rsidR="009F455B" w:rsidRPr="004C216D" w:rsidRDefault="009F455B" w:rsidP="009F455B">
      <w:pPr>
        <w:rPr>
          <w:b/>
          <w:bCs/>
        </w:rPr>
      </w:pPr>
      <w:r w:rsidRPr="004C216D">
        <w:rPr>
          <w:b/>
          <w:bCs/>
        </w:rPr>
        <w:lastRenderedPageBreak/>
        <w:t xml:space="preserve">Table </w:t>
      </w:r>
      <w:r w:rsidR="0038235D">
        <w:rPr>
          <w:b/>
          <w:bCs/>
        </w:rPr>
        <w:t>2.</w:t>
      </w:r>
      <w:r w:rsidRPr="004C216D">
        <w:rPr>
          <w:b/>
          <w:bCs/>
        </w:rPr>
        <w:t xml:space="preserve">1. Variables selected for the </w:t>
      </w:r>
      <w:r w:rsidR="007C4C91">
        <w:rPr>
          <w:b/>
          <w:bCs/>
        </w:rPr>
        <w:t>final</w:t>
      </w:r>
      <w:r w:rsidRPr="004C216D">
        <w:rPr>
          <w:b/>
          <w:bCs/>
        </w:rPr>
        <w:t xml:space="preserve"> analysis. Variables range from 1993 – 2015. </w:t>
      </w:r>
      <w:r w:rsidR="00BF30EA" w:rsidRPr="004C216D">
        <w:rPr>
          <w:b/>
          <w:bCs/>
        </w:rPr>
        <w:t>GDP = Gross Domestic Product, USD = US Dollars, UNCTAD = United Nations Conference on Trade and Development, CNIS = Cambodian National Institute of Statistics, FAO = Food and Agricultural Organisation, RASC</w:t>
      </w:r>
      <w:r w:rsidR="004C216D" w:rsidRPr="004C216D">
        <w:rPr>
          <w:b/>
          <w:bCs/>
        </w:rPr>
        <w:t>E = Rubber Association Singapore Commodity Exchange, ESACCI = European Space Agency Climate Change Initiative</w:t>
      </w:r>
    </w:p>
    <w:tbl>
      <w:tblPr>
        <w:tblW w:w="13836" w:type="dxa"/>
        <w:tblLook w:val="04A0" w:firstRow="1" w:lastRow="0" w:firstColumn="1" w:lastColumn="0" w:noHBand="0" w:noVBand="1"/>
      </w:tblPr>
      <w:tblGrid>
        <w:gridCol w:w="3440"/>
        <w:gridCol w:w="1400"/>
        <w:gridCol w:w="1196"/>
        <w:gridCol w:w="1477"/>
        <w:gridCol w:w="6323"/>
      </w:tblGrid>
      <w:tr w:rsidR="009F455B" w:rsidRPr="001E05DC" w14:paraId="3DED92BA" w14:textId="77777777" w:rsidTr="00AB26EE">
        <w:trPr>
          <w:trHeight w:val="288"/>
        </w:trPr>
        <w:tc>
          <w:tcPr>
            <w:tcW w:w="3440" w:type="dxa"/>
            <w:tcBorders>
              <w:top w:val="single" w:sz="12" w:space="0" w:color="auto"/>
              <w:left w:val="nil"/>
              <w:bottom w:val="single" w:sz="12" w:space="0" w:color="auto"/>
              <w:right w:val="nil"/>
            </w:tcBorders>
            <w:shd w:val="clear" w:color="auto" w:fill="auto"/>
            <w:noWrap/>
            <w:vAlign w:val="bottom"/>
            <w:hideMark/>
          </w:tcPr>
          <w:p w14:paraId="2F61EAFF" w14:textId="77777777" w:rsidR="009F455B" w:rsidRPr="001E05DC" w:rsidRDefault="009F455B" w:rsidP="00AB26EE">
            <w:pPr>
              <w:rPr>
                <w:b/>
                <w:bCs/>
              </w:rPr>
            </w:pPr>
            <w:r w:rsidRPr="001E05DC">
              <w:rPr>
                <w:b/>
                <w:bCs/>
              </w:rPr>
              <w:t>Predictor variable</w:t>
            </w:r>
          </w:p>
        </w:tc>
        <w:tc>
          <w:tcPr>
            <w:tcW w:w="1400" w:type="dxa"/>
            <w:tcBorders>
              <w:top w:val="single" w:sz="12" w:space="0" w:color="auto"/>
              <w:left w:val="nil"/>
              <w:bottom w:val="single" w:sz="12" w:space="0" w:color="auto"/>
              <w:right w:val="nil"/>
            </w:tcBorders>
            <w:shd w:val="clear" w:color="auto" w:fill="auto"/>
            <w:noWrap/>
            <w:vAlign w:val="bottom"/>
            <w:hideMark/>
          </w:tcPr>
          <w:p w14:paraId="5A811360" w14:textId="77777777" w:rsidR="009F455B" w:rsidRPr="001E05DC" w:rsidRDefault="009F455B" w:rsidP="00AB26EE">
            <w:pPr>
              <w:rPr>
                <w:b/>
                <w:bCs/>
              </w:rPr>
            </w:pPr>
            <w:r w:rsidRPr="001E05DC">
              <w:rPr>
                <w:b/>
                <w:bCs/>
              </w:rPr>
              <w:t>Units</w:t>
            </w:r>
          </w:p>
        </w:tc>
        <w:tc>
          <w:tcPr>
            <w:tcW w:w="1196" w:type="dxa"/>
            <w:tcBorders>
              <w:top w:val="single" w:sz="12" w:space="0" w:color="auto"/>
              <w:left w:val="nil"/>
              <w:bottom w:val="single" w:sz="12" w:space="0" w:color="auto"/>
              <w:right w:val="nil"/>
            </w:tcBorders>
            <w:shd w:val="clear" w:color="auto" w:fill="auto"/>
            <w:noWrap/>
            <w:vAlign w:val="bottom"/>
            <w:hideMark/>
          </w:tcPr>
          <w:p w14:paraId="24D12271" w14:textId="77777777" w:rsidR="009F455B" w:rsidRPr="001E05DC" w:rsidRDefault="009F455B" w:rsidP="00AB26EE">
            <w:pPr>
              <w:rPr>
                <w:b/>
                <w:bCs/>
              </w:rPr>
            </w:pPr>
            <w:r w:rsidRPr="001E05DC">
              <w:rPr>
                <w:b/>
                <w:bCs/>
              </w:rPr>
              <w:t>Resolution</w:t>
            </w:r>
          </w:p>
        </w:tc>
        <w:tc>
          <w:tcPr>
            <w:tcW w:w="1477" w:type="dxa"/>
            <w:tcBorders>
              <w:top w:val="single" w:sz="12" w:space="0" w:color="auto"/>
              <w:left w:val="nil"/>
              <w:bottom w:val="single" w:sz="12" w:space="0" w:color="auto"/>
              <w:right w:val="nil"/>
            </w:tcBorders>
            <w:shd w:val="clear" w:color="auto" w:fill="auto"/>
            <w:noWrap/>
            <w:vAlign w:val="bottom"/>
            <w:hideMark/>
          </w:tcPr>
          <w:p w14:paraId="0623175B" w14:textId="77777777" w:rsidR="009F455B" w:rsidRPr="001E05DC" w:rsidRDefault="009F455B" w:rsidP="00AB26EE">
            <w:pPr>
              <w:rPr>
                <w:b/>
                <w:bCs/>
              </w:rPr>
            </w:pPr>
            <w:r w:rsidRPr="001E05DC">
              <w:rPr>
                <w:b/>
                <w:bCs/>
              </w:rPr>
              <w:t>Source</w:t>
            </w:r>
          </w:p>
        </w:tc>
        <w:tc>
          <w:tcPr>
            <w:tcW w:w="6323" w:type="dxa"/>
            <w:tcBorders>
              <w:top w:val="single" w:sz="12" w:space="0" w:color="auto"/>
              <w:left w:val="nil"/>
              <w:bottom w:val="single" w:sz="12" w:space="0" w:color="auto"/>
              <w:right w:val="nil"/>
            </w:tcBorders>
            <w:shd w:val="clear" w:color="auto" w:fill="auto"/>
            <w:noWrap/>
            <w:vAlign w:val="bottom"/>
            <w:hideMark/>
          </w:tcPr>
          <w:p w14:paraId="0B43AA6B" w14:textId="77777777" w:rsidR="009F455B" w:rsidRPr="001E05DC" w:rsidRDefault="009F455B" w:rsidP="00AB26EE">
            <w:pPr>
              <w:rPr>
                <w:b/>
                <w:bCs/>
              </w:rPr>
            </w:pPr>
            <w:r w:rsidRPr="001E05DC">
              <w:rPr>
                <w:b/>
                <w:bCs/>
              </w:rPr>
              <w:t>Details</w:t>
            </w:r>
          </w:p>
        </w:tc>
      </w:tr>
      <w:tr w:rsidR="009F455B" w:rsidRPr="001E05DC" w14:paraId="04F5D8F4" w14:textId="77777777" w:rsidTr="00AB26EE">
        <w:trPr>
          <w:trHeight w:val="288"/>
        </w:trPr>
        <w:tc>
          <w:tcPr>
            <w:tcW w:w="3440" w:type="dxa"/>
            <w:tcBorders>
              <w:top w:val="single" w:sz="12" w:space="0" w:color="auto"/>
              <w:left w:val="nil"/>
              <w:bottom w:val="nil"/>
              <w:right w:val="nil"/>
            </w:tcBorders>
            <w:shd w:val="clear" w:color="auto" w:fill="auto"/>
            <w:noWrap/>
            <w:hideMark/>
          </w:tcPr>
          <w:p w14:paraId="5E22CAD3" w14:textId="77777777" w:rsidR="009F455B" w:rsidRPr="001E05DC" w:rsidRDefault="009F455B" w:rsidP="00AB26EE">
            <w:pPr>
              <w:rPr>
                <w:i/>
                <w:iCs/>
              </w:rPr>
            </w:pPr>
            <w:r w:rsidRPr="001E05DC">
              <w:rPr>
                <w:i/>
                <w:iCs/>
              </w:rPr>
              <w:t>Economy</w:t>
            </w:r>
          </w:p>
        </w:tc>
        <w:tc>
          <w:tcPr>
            <w:tcW w:w="1400" w:type="dxa"/>
            <w:tcBorders>
              <w:top w:val="single" w:sz="12" w:space="0" w:color="auto"/>
              <w:left w:val="nil"/>
              <w:bottom w:val="nil"/>
              <w:right w:val="nil"/>
            </w:tcBorders>
            <w:shd w:val="clear" w:color="auto" w:fill="auto"/>
            <w:noWrap/>
            <w:hideMark/>
          </w:tcPr>
          <w:p w14:paraId="77CBF803" w14:textId="77777777" w:rsidR="009F455B" w:rsidRPr="001E05DC" w:rsidRDefault="009F455B" w:rsidP="00AB26EE">
            <w:pPr>
              <w:rPr>
                <w:i/>
                <w:iCs/>
              </w:rPr>
            </w:pPr>
          </w:p>
        </w:tc>
        <w:tc>
          <w:tcPr>
            <w:tcW w:w="1196" w:type="dxa"/>
            <w:tcBorders>
              <w:top w:val="single" w:sz="12" w:space="0" w:color="auto"/>
              <w:left w:val="nil"/>
              <w:bottom w:val="nil"/>
              <w:right w:val="nil"/>
            </w:tcBorders>
            <w:shd w:val="clear" w:color="auto" w:fill="auto"/>
            <w:noWrap/>
            <w:hideMark/>
          </w:tcPr>
          <w:p w14:paraId="66F6727D" w14:textId="77777777" w:rsidR="009F455B" w:rsidRPr="001E05DC" w:rsidRDefault="009F455B" w:rsidP="00AB26EE"/>
        </w:tc>
        <w:tc>
          <w:tcPr>
            <w:tcW w:w="1477" w:type="dxa"/>
            <w:tcBorders>
              <w:top w:val="single" w:sz="12" w:space="0" w:color="auto"/>
              <w:left w:val="nil"/>
              <w:bottom w:val="nil"/>
              <w:right w:val="nil"/>
            </w:tcBorders>
            <w:shd w:val="clear" w:color="auto" w:fill="auto"/>
            <w:noWrap/>
            <w:hideMark/>
          </w:tcPr>
          <w:p w14:paraId="179318BA" w14:textId="77777777" w:rsidR="009F455B" w:rsidRPr="001E05DC" w:rsidRDefault="009F455B" w:rsidP="00AB26EE"/>
        </w:tc>
        <w:tc>
          <w:tcPr>
            <w:tcW w:w="6323" w:type="dxa"/>
            <w:tcBorders>
              <w:top w:val="single" w:sz="12" w:space="0" w:color="auto"/>
              <w:left w:val="nil"/>
              <w:bottom w:val="nil"/>
              <w:right w:val="nil"/>
            </w:tcBorders>
            <w:shd w:val="clear" w:color="auto" w:fill="auto"/>
            <w:noWrap/>
            <w:hideMark/>
          </w:tcPr>
          <w:p w14:paraId="01285FF5" w14:textId="77777777" w:rsidR="009F455B" w:rsidRPr="001E05DC" w:rsidRDefault="009F455B" w:rsidP="00AB26EE"/>
        </w:tc>
      </w:tr>
      <w:tr w:rsidR="009F455B" w:rsidRPr="001E05DC" w14:paraId="738B6DAD" w14:textId="77777777" w:rsidTr="00AB26EE">
        <w:trPr>
          <w:trHeight w:val="288"/>
        </w:trPr>
        <w:tc>
          <w:tcPr>
            <w:tcW w:w="3440" w:type="dxa"/>
            <w:tcBorders>
              <w:top w:val="nil"/>
              <w:left w:val="nil"/>
              <w:bottom w:val="nil"/>
              <w:right w:val="nil"/>
            </w:tcBorders>
            <w:shd w:val="clear" w:color="auto" w:fill="auto"/>
            <w:noWrap/>
            <w:hideMark/>
          </w:tcPr>
          <w:p w14:paraId="6690BCCA" w14:textId="77777777" w:rsidR="009F455B" w:rsidRPr="001E05DC" w:rsidRDefault="009F455B" w:rsidP="00AB26EE">
            <w:r w:rsidRPr="001E05DC">
              <w:t xml:space="preserve">GDP per capita </w:t>
            </w:r>
          </w:p>
        </w:tc>
        <w:tc>
          <w:tcPr>
            <w:tcW w:w="1400" w:type="dxa"/>
            <w:tcBorders>
              <w:top w:val="nil"/>
              <w:left w:val="nil"/>
              <w:bottom w:val="nil"/>
              <w:right w:val="nil"/>
            </w:tcBorders>
            <w:shd w:val="clear" w:color="auto" w:fill="auto"/>
            <w:noWrap/>
            <w:hideMark/>
          </w:tcPr>
          <w:p w14:paraId="59A786E7" w14:textId="77777777" w:rsidR="009F455B" w:rsidRPr="001E05DC" w:rsidRDefault="009F455B" w:rsidP="00AB26EE">
            <w:r w:rsidRPr="001E05DC">
              <w:t>Billions USD</w:t>
            </w:r>
          </w:p>
        </w:tc>
        <w:tc>
          <w:tcPr>
            <w:tcW w:w="1196" w:type="dxa"/>
            <w:tcBorders>
              <w:top w:val="nil"/>
              <w:left w:val="nil"/>
              <w:bottom w:val="nil"/>
              <w:right w:val="nil"/>
            </w:tcBorders>
            <w:shd w:val="clear" w:color="auto" w:fill="auto"/>
            <w:noWrap/>
            <w:hideMark/>
          </w:tcPr>
          <w:p w14:paraId="0AEF2DA1"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4B6279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hideMark/>
          </w:tcPr>
          <w:p w14:paraId="2B18DAB7" w14:textId="77777777" w:rsidR="009F455B" w:rsidRPr="001E05DC" w:rsidRDefault="009F455B" w:rsidP="00AB26EE">
            <w:r w:rsidRPr="001E05DC">
              <w:t>Constant 2010 rates</w:t>
            </w:r>
          </w:p>
        </w:tc>
      </w:tr>
      <w:tr w:rsidR="009F455B" w:rsidRPr="001E05DC" w14:paraId="5B4BD252" w14:textId="77777777" w:rsidTr="00AB26EE">
        <w:trPr>
          <w:trHeight w:val="288"/>
        </w:trPr>
        <w:tc>
          <w:tcPr>
            <w:tcW w:w="3440" w:type="dxa"/>
            <w:tcBorders>
              <w:top w:val="nil"/>
              <w:left w:val="nil"/>
              <w:bottom w:val="nil"/>
              <w:right w:val="nil"/>
            </w:tcBorders>
            <w:shd w:val="clear" w:color="auto" w:fill="auto"/>
            <w:noWrap/>
          </w:tcPr>
          <w:p w14:paraId="46FB85D3" w14:textId="77777777" w:rsidR="009F455B" w:rsidRPr="001E05DC" w:rsidRDefault="009F455B" w:rsidP="00AB26EE">
            <w:r w:rsidRPr="001E05DC">
              <w:t>GDP growth</w:t>
            </w:r>
          </w:p>
        </w:tc>
        <w:tc>
          <w:tcPr>
            <w:tcW w:w="1400" w:type="dxa"/>
            <w:tcBorders>
              <w:top w:val="nil"/>
              <w:left w:val="nil"/>
              <w:bottom w:val="nil"/>
              <w:right w:val="nil"/>
            </w:tcBorders>
            <w:shd w:val="clear" w:color="auto" w:fill="auto"/>
            <w:noWrap/>
          </w:tcPr>
          <w:p w14:paraId="3A49D2C8" w14:textId="77777777" w:rsidR="009F455B" w:rsidRPr="001E05DC" w:rsidRDefault="009F455B" w:rsidP="00AB26EE">
            <w:r w:rsidRPr="001E05DC">
              <w:t>%</w:t>
            </w:r>
          </w:p>
        </w:tc>
        <w:tc>
          <w:tcPr>
            <w:tcW w:w="1196" w:type="dxa"/>
            <w:tcBorders>
              <w:top w:val="nil"/>
              <w:left w:val="nil"/>
              <w:bottom w:val="nil"/>
              <w:right w:val="nil"/>
            </w:tcBorders>
            <w:shd w:val="clear" w:color="auto" w:fill="auto"/>
            <w:noWrap/>
          </w:tcPr>
          <w:p w14:paraId="3D282869"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8A3113F"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tcPr>
          <w:p w14:paraId="32D97435" w14:textId="77777777" w:rsidR="009F455B" w:rsidRPr="001E05DC" w:rsidRDefault="009F455B" w:rsidP="00AB26EE">
            <w:r w:rsidRPr="001E05DC">
              <w:t>Annual percentage growth rate of GDP at market prices based on constant local currency</w:t>
            </w:r>
          </w:p>
        </w:tc>
      </w:tr>
      <w:tr w:rsidR="009F455B" w:rsidRPr="001E05DC" w14:paraId="00D8A66F" w14:textId="77777777" w:rsidTr="00AB26EE">
        <w:trPr>
          <w:trHeight w:val="288"/>
        </w:trPr>
        <w:tc>
          <w:tcPr>
            <w:tcW w:w="3440" w:type="dxa"/>
            <w:tcBorders>
              <w:top w:val="nil"/>
              <w:left w:val="nil"/>
              <w:bottom w:val="nil"/>
              <w:right w:val="nil"/>
            </w:tcBorders>
            <w:shd w:val="clear" w:color="auto" w:fill="auto"/>
            <w:noWrap/>
            <w:hideMark/>
          </w:tcPr>
          <w:p w14:paraId="06D06F0E" w14:textId="77777777" w:rsidR="009F455B" w:rsidRPr="001E05DC" w:rsidRDefault="009F455B" w:rsidP="00AB26EE">
            <w:r w:rsidRPr="001E05DC">
              <w:t>Foreign Direct Investment</w:t>
            </w:r>
          </w:p>
        </w:tc>
        <w:tc>
          <w:tcPr>
            <w:tcW w:w="1400" w:type="dxa"/>
            <w:tcBorders>
              <w:top w:val="nil"/>
              <w:left w:val="nil"/>
              <w:bottom w:val="nil"/>
              <w:right w:val="nil"/>
            </w:tcBorders>
            <w:shd w:val="clear" w:color="auto" w:fill="auto"/>
            <w:noWrap/>
            <w:hideMark/>
          </w:tcPr>
          <w:p w14:paraId="054128B5"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FC35935"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4421B98" w14:textId="77777777" w:rsidR="009F455B" w:rsidRPr="001E05DC" w:rsidRDefault="009F455B" w:rsidP="00AB26EE">
            <w:r w:rsidRPr="001E05DC">
              <w:t>UNCTAD</w:t>
            </w:r>
          </w:p>
        </w:tc>
        <w:tc>
          <w:tcPr>
            <w:tcW w:w="6323" w:type="dxa"/>
            <w:tcBorders>
              <w:top w:val="nil"/>
              <w:left w:val="nil"/>
              <w:bottom w:val="nil"/>
              <w:right w:val="nil"/>
            </w:tcBorders>
            <w:shd w:val="clear" w:color="auto" w:fill="auto"/>
            <w:noWrap/>
            <w:hideMark/>
          </w:tcPr>
          <w:p w14:paraId="27299227" w14:textId="77777777" w:rsidR="009F455B" w:rsidRPr="001E05DC" w:rsidRDefault="009F455B" w:rsidP="00AB26EE">
            <w:r w:rsidRPr="001E05DC">
              <w:t>Inward and outward flows and stock</w:t>
            </w:r>
          </w:p>
        </w:tc>
      </w:tr>
      <w:tr w:rsidR="009F455B" w:rsidRPr="001E05DC" w14:paraId="2A8FBA23" w14:textId="77777777" w:rsidTr="00AB26EE">
        <w:trPr>
          <w:trHeight w:val="288"/>
        </w:trPr>
        <w:tc>
          <w:tcPr>
            <w:tcW w:w="3440" w:type="dxa"/>
            <w:tcBorders>
              <w:top w:val="nil"/>
              <w:left w:val="nil"/>
              <w:bottom w:val="nil"/>
              <w:right w:val="nil"/>
            </w:tcBorders>
            <w:shd w:val="clear" w:color="auto" w:fill="auto"/>
            <w:noWrap/>
            <w:hideMark/>
          </w:tcPr>
          <w:p w14:paraId="12758FA6" w14:textId="77777777" w:rsidR="009F455B" w:rsidRPr="001E05DC" w:rsidRDefault="009F455B" w:rsidP="00AB26EE">
            <w:r w:rsidRPr="001E05DC">
              <w:t>Agricultural sector proportion of GDP</w:t>
            </w:r>
          </w:p>
        </w:tc>
        <w:tc>
          <w:tcPr>
            <w:tcW w:w="1400" w:type="dxa"/>
            <w:tcBorders>
              <w:top w:val="nil"/>
              <w:left w:val="nil"/>
              <w:bottom w:val="nil"/>
              <w:right w:val="nil"/>
            </w:tcBorders>
            <w:shd w:val="clear" w:color="auto" w:fill="auto"/>
            <w:noWrap/>
            <w:hideMark/>
          </w:tcPr>
          <w:p w14:paraId="431483EF" w14:textId="77777777" w:rsidR="009F455B" w:rsidRPr="001E05DC" w:rsidRDefault="009F455B" w:rsidP="00AB26EE">
            <w:r w:rsidRPr="001E05DC">
              <w:t>%</w:t>
            </w:r>
          </w:p>
        </w:tc>
        <w:tc>
          <w:tcPr>
            <w:tcW w:w="1196" w:type="dxa"/>
            <w:tcBorders>
              <w:top w:val="nil"/>
              <w:left w:val="nil"/>
              <w:bottom w:val="nil"/>
              <w:right w:val="nil"/>
            </w:tcBorders>
            <w:shd w:val="clear" w:color="auto" w:fill="auto"/>
            <w:noWrap/>
            <w:hideMark/>
          </w:tcPr>
          <w:p w14:paraId="051648B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2F18C2C" w14:textId="77777777" w:rsidR="009F455B" w:rsidRPr="001E05DC" w:rsidRDefault="009F455B" w:rsidP="00AB26EE">
            <w:r w:rsidRPr="001E05DC">
              <w:t>CNIS</w:t>
            </w:r>
          </w:p>
        </w:tc>
        <w:tc>
          <w:tcPr>
            <w:tcW w:w="6323" w:type="dxa"/>
            <w:tcBorders>
              <w:top w:val="nil"/>
              <w:left w:val="nil"/>
              <w:bottom w:val="nil"/>
              <w:right w:val="nil"/>
            </w:tcBorders>
            <w:shd w:val="clear" w:color="auto" w:fill="auto"/>
            <w:noWrap/>
            <w:hideMark/>
          </w:tcPr>
          <w:p w14:paraId="479B4415" w14:textId="77777777" w:rsidR="009F455B" w:rsidRPr="001E05DC" w:rsidRDefault="009F455B" w:rsidP="00AB26EE">
            <w:r w:rsidRPr="001E05DC">
              <w:t>Proportion of national GDP</w:t>
            </w:r>
          </w:p>
        </w:tc>
      </w:tr>
      <w:tr w:rsidR="009F455B" w:rsidRPr="001E05DC" w14:paraId="2B82469A" w14:textId="77777777" w:rsidTr="00AB26EE">
        <w:trPr>
          <w:trHeight w:val="864"/>
        </w:trPr>
        <w:tc>
          <w:tcPr>
            <w:tcW w:w="3440" w:type="dxa"/>
            <w:tcBorders>
              <w:top w:val="nil"/>
              <w:left w:val="nil"/>
              <w:bottom w:val="nil"/>
              <w:right w:val="nil"/>
            </w:tcBorders>
            <w:shd w:val="clear" w:color="auto" w:fill="auto"/>
            <w:noWrap/>
            <w:hideMark/>
          </w:tcPr>
          <w:p w14:paraId="66E4A8C1" w14:textId="77777777" w:rsidR="009F455B" w:rsidRPr="001E05DC" w:rsidRDefault="009F455B" w:rsidP="00AB26EE">
            <w:r w:rsidRPr="001E05DC">
              <w:t>Development flows to agriculture</w:t>
            </w:r>
          </w:p>
        </w:tc>
        <w:tc>
          <w:tcPr>
            <w:tcW w:w="1400" w:type="dxa"/>
            <w:tcBorders>
              <w:top w:val="nil"/>
              <w:left w:val="nil"/>
              <w:bottom w:val="nil"/>
              <w:right w:val="nil"/>
            </w:tcBorders>
            <w:shd w:val="clear" w:color="auto" w:fill="auto"/>
            <w:noWrap/>
            <w:hideMark/>
          </w:tcPr>
          <w:p w14:paraId="6D2ADE5C"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0A15EFE"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69C5FB94"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B515DA4" w14:textId="77777777" w:rsidR="009F455B" w:rsidRPr="001E05DC" w:rsidRDefault="009F455B" w:rsidP="00AB26EE">
            <w:r w:rsidRPr="001E05DC">
              <w:t>Donor development investment flows, other official flows, and private donor flows at constant 2016 prices to all agriculture and forestry sub-sectors</w:t>
            </w:r>
          </w:p>
        </w:tc>
      </w:tr>
      <w:tr w:rsidR="009F455B" w:rsidRPr="001E05DC" w14:paraId="6340ACF6" w14:textId="77777777" w:rsidTr="00AB26EE">
        <w:trPr>
          <w:trHeight w:val="670"/>
        </w:trPr>
        <w:tc>
          <w:tcPr>
            <w:tcW w:w="3440" w:type="dxa"/>
            <w:tcBorders>
              <w:top w:val="nil"/>
              <w:left w:val="nil"/>
              <w:bottom w:val="nil"/>
              <w:right w:val="nil"/>
            </w:tcBorders>
            <w:shd w:val="clear" w:color="auto" w:fill="auto"/>
            <w:noWrap/>
            <w:hideMark/>
          </w:tcPr>
          <w:p w14:paraId="3FDB5CAF" w14:textId="77777777" w:rsidR="009F455B" w:rsidRPr="001E05DC" w:rsidRDefault="009F455B" w:rsidP="00AB26EE">
            <w:r w:rsidRPr="001E05DC">
              <w:t>Development flows to environment</w:t>
            </w:r>
          </w:p>
        </w:tc>
        <w:tc>
          <w:tcPr>
            <w:tcW w:w="1400" w:type="dxa"/>
            <w:tcBorders>
              <w:top w:val="nil"/>
              <w:left w:val="nil"/>
              <w:bottom w:val="nil"/>
              <w:right w:val="nil"/>
            </w:tcBorders>
            <w:shd w:val="clear" w:color="auto" w:fill="auto"/>
            <w:noWrap/>
            <w:hideMark/>
          </w:tcPr>
          <w:p w14:paraId="5D7F7E23"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7F16F960"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2F69D0F6"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0982353A" w14:textId="77777777" w:rsidR="009F455B" w:rsidRPr="001E05DC" w:rsidRDefault="009F455B" w:rsidP="00AB26EE">
            <w:r w:rsidRPr="001E05DC">
              <w:t>Donor development investment flows, other official flows, and private donor flows at constant 2016 prices to general environment protection</w:t>
            </w:r>
          </w:p>
        </w:tc>
      </w:tr>
      <w:tr w:rsidR="009F455B" w:rsidRPr="001E05DC" w14:paraId="0E674236" w14:textId="77777777" w:rsidTr="00AB26EE">
        <w:trPr>
          <w:trHeight w:val="288"/>
        </w:trPr>
        <w:tc>
          <w:tcPr>
            <w:tcW w:w="3440" w:type="dxa"/>
            <w:tcBorders>
              <w:top w:val="single" w:sz="8" w:space="0" w:color="auto"/>
              <w:left w:val="nil"/>
              <w:bottom w:val="nil"/>
              <w:right w:val="nil"/>
            </w:tcBorders>
            <w:shd w:val="clear" w:color="auto" w:fill="auto"/>
            <w:noWrap/>
            <w:hideMark/>
          </w:tcPr>
          <w:p w14:paraId="433850BA" w14:textId="77777777" w:rsidR="009F455B" w:rsidRPr="001E05DC" w:rsidRDefault="009F455B" w:rsidP="00AB26EE">
            <w:pPr>
              <w:rPr>
                <w:i/>
                <w:iCs/>
              </w:rPr>
            </w:pPr>
            <w:r w:rsidRPr="001E05DC">
              <w:rPr>
                <w:i/>
                <w:iCs/>
              </w:rPr>
              <w:t>Commodity prices</w:t>
            </w:r>
          </w:p>
        </w:tc>
        <w:tc>
          <w:tcPr>
            <w:tcW w:w="1400" w:type="dxa"/>
            <w:tcBorders>
              <w:top w:val="single" w:sz="8" w:space="0" w:color="auto"/>
              <w:left w:val="nil"/>
              <w:bottom w:val="nil"/>
              <w:right w:val="nil"/>
            </w:tcBorders>
            <w:shd w:val="clear" w:color="auto" w:fill="auto"/>
            <w:noWrap/>
            <w:hideMark/>
          </w:tcPr>
          <w:p w14:paraId="627DD6F8"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10ACDB69"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526A1386"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A7BE75A" w14:textId="77777777" w:rsidR="009F455B" w:rsidRPr="001E05DC" w:rsidRDefault="009F455B" w:rsidP="00AB26EE"/>
        </w:tc>
      </w:tr>
      <w:tr w:rsidR="009F455B" w:rsidRPr="001E05DC" w14:paraId="050F8018" w14:textId="77777777" w:rsidTr="00AB26EE">
        <w:trPr>
          <w:trHeight w:val="576"/>
        </w:trPr>
        <w:tc>
          <w:tcPr>
            <w:tcW w:w="3440" w:type="dxa"/>
            <w:tcBorders>
              <w:top w:val="nil"/>
              <w:left w:val="nil"/>
              <w:bottom w:val="nil"/>
              <w:right w:val="nil"/>
            </w:tcBorders>
            <w:shd w:val="clear" w:color="auto" w:fill="auto"/>
            <w:noWrap/>
            <w:hideMark/>
          </w:tcPr>
          <w:p w14:paraId="2A63D547" w14:textId="77777777" w:rsidR="009F455B" w:rsidRPr="001E05DC" w:rsidRDefault="009F455B" w:rsidP="00AB26EE">
            <w:r w:rsidRPr="001E05DC">
              <w:t xml:space="preserve">Crop Production </w:t>
            </w:r>
          </w:p>
        </w:tc>
        <w:tc>
          <w:tcPr>
            <w:tcW w:w="1400" w:type="dxa"/>
            <w:tcBorders>
              <w:top w:val="nil"/>
              <w:left w:val="nil"/>
              <w:bottom w:val="nil"/>
              <w:right w:val="nil"/>
            </w:tcBorders>
            <w:shd w:val="clear" w:color="auto" w:fill="auto"/>
            <w:noWrap/>
            <w:hideMark/>
          </w:tcPr>
          <w:p w14:paraId="52F9DF75"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56FE5D1A"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74680DD"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6CA96FE" w14:textId="77777777" w:rsidR="009F455B" w:rsidRPr="001E05DC" w:rsidRDefault="009F455B" w:rsidP="00AB26EE">
            <w:r w:rsidRPr="001E05DC">
              <w:t>Relative level of the aggregate volume of agricultural production for each year in comparison with the base period 2004-2006</w:t>
            </w:r>
          </w:p>
        </w:tc>
      </w:tr>
      <w:tr w:rsidR="009F455B" w:rsidRPr="001E05DC" w14:paraId="3BECF481" w14:textId="77777777" w:rsidTr="00AB26EE">
        <w:trPr>
          <w:trHeight w:val="576"/>
        </w:trPr>
        <w:tc>
          <w:tcPr>
            <w:tcW w:w="3440" w:type="dxa"/>
            <w:tcBorders>
              <w:top w:val="nil"/>
              <w:left w:val="nil"/>
              <w:bottom w:val="nil"/>
              <w:right w:val="nil"/>
            </w:tcBorders>
            <w:shd w:val="clear" w:color="auto" w:fill="auto"/>
            <w:noWrap/>
            <w:hideMark/>
          </w:tcPr>
          <w:p w14:paraId="3EB1C8D3" w14:textId="77777777" w:rsidR="009F455B" w:rsidRPr="001E05DC" w:rsidRDefault="009F455B" w:rsidP="00AB26EE">
            <w:r w:rsidRPr="001E05DC">
              <w:t xml:space="preserve">Non-food agricultural production </w:t>
            </w:r>
          </w:p>
        </w:tc>
        <w:tc>
          <w:tcPr>
            <w:tcW w:w="1400" w:type="dxa"/>
            <w:tcBorders>
              <w:top w:val="nil"/>
              <w:left w:val="nil"/>
              <w:bottom w:val="nil"/>
              <w:right w:val="nil"/>
            </w:tcBorders>
            <w:shd w:val="clear" w:color="auto" w:fill="auto"/>
            <w:noWrap/>
            <w:hideMark/>
          </w:tcPr>
          <w:p w14:paraId="457211A8"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441C2D0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07F92F75"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D9E45E9" w14:textId="77777777" w:rsidR="009F455B" w:rsidRPr="001E05DC" w:rsidRDefault="009F455B" w:rsidP="00AB26EE">
            <w:r w:rsidRPr="001E05DC">
              <w:t>Relative level of the aggregate volume of non-food agricultural production for each year in comparison with the base period 2004-2006</w:t>
            </w:r>
          </w:p>
        </w:tc>
      </w:tr>
      <w:tr w:rsidR="009F455B" w:rsidRPr="001E05DC" w14:paraId="00C9A436" w14:textId="77777777" w:rsidTr="00AB26EE">
        <w:trPr>
          <w:trHeight w:val="942"/>
        </w:trPr>
        <w:tc>
          <w:tcPr>
            <w:tcW w:w="3440" w:type="dxa"/>
            <w:tcBorders>
              <w:top w:val="nil"/>
              <w:left w:val="nil"/>
              <w:bottom w:val="nil"/>
              <w:right w:val="nil"/>
            </w:tcBorders>
            <w:shd w:val="clear" w:color="auto" w:fill="auto"/>
            <w:noWrap/>
            <w:hideMark/>
          </w:tcPr>
          <w:p w14:paraId="0C6CD242" w14:textId="77777777" w:rsidR="009F455B" w:rsidRPr="001E05DC" w:rsidRDefault="009F455B" w:rsidP="00AB26EE">
            <w:r w:rsidRPr="001E05DC">
              <w:lastRenderedPageBreak/>
              <w:t>Forestry production</w:t>
            </w:r>
          </w:p>
        </w:tc>
        <w:tc>
          <w:tcPr>
            <w:tcW w:w="1400" w:type="dxa"/>
            <w:tcBorders>
              <w:top w:val="nil"/>
              <w:left w:val="nil"/>
              <w:bottom w:val="nil"/>
              <w:right w:val="nil"/>
            </w:tcBorders>
            <w:shd w:val="clear" w:color="auto" w:fill="auto"/>
            <w:noWrap/>
            <w:hideMark/>
          </w:tcPr>
          <w:p w14:paraId="45CAD5D7" w14:textId="77777777" w:rsidR="009F455B" w:rsidRPr="001E05DC" w:rsidRDefault="009F455B" w:rsidP="00AB26EE">
            <w:r w:rsidRPr="001E05DC">
              <w:t>m</w:t>
            </w:r>
            <w:r w:rsidRPr="00BF30EA">
              <w:rPr>
                <w:vertAlign w:val="superscript"/>
              </w:rPr>
              <w:t>3</w:t>
            </w:r>
          </w:p>
        </w:tc>
        <w:tc>
          <w:tcPr>
            <w:tcW w:w="1196" w:type="dxa"/>
            <w:tcBorders>
              <w:top w:val="nil"/>
              <w:left w:val="nil"/>
              <w:bottom w:val="nil"/>
              <w:right w:val="nil"/>
            </w:tcBorders>
            <w:shd w:val="clear" w:color="auto" w:fill="auto"/>
            <w:noWrap/>
            <w:hideMark/>
          </w:tcPr>
          <w:p w14:paraId="117A64DC"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F7C17E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6ADB36F" w14:textId="77777777" w:rsidR="009F455B" w:rsidRPr="001E05DC" w:rsidRDefault="009F455B" w:rsidP="00AB26EE">
            <w:r w:rsidRPr="001E05DC">
              <w:t>Total production values for industrial roundwood, non-coniferous tropical wood, other industrial roundwood, sawlogs and veneer logs (coniferous and non-coniferous), and sawnwood (coniferous and non-coniferous</w:t>
            </w:r>
          </w:p>
        </w:tc>
      </w:tr>
      <w:tr w:rsidR="009F455B" w:rsidRPr="001E05DC" w14:paraId="163FEA7D" w14:textId="77777777" w:rsidTr="00AB26EE">
        <w:trPr>
          <w:trHeight w:val="288"/>
        </w:trPr>
        <w:tc>
          <w:tcPr>
            <w:tcW w:w="3440" w:type="dxa"/>
            <w:tcBorders>
              <w:top w:val="nil"/>
              <w:left w:val="nil"/>
              <w:bottom w:val="nil"/>
              <w:right w:val="nil"/>
            </w:tcBorders>
            <w:shd w:val="clear" w:color="auto" w:fill="auto"/>
            <w:noWrap/>
            <w:hideMark/>
          </w:tcPr>
          <w:p w14:paraId="52AD5AE5" w14:textId="77777777" w:rsidR="009F455B" w:rsidRPr="001E05DC" w:rsidRDefault="009F455B" w:rsidP="00AB26EE">
            <w:r w:rsidRPr="001E05DC">
              <w:t>Price of rice</w:t>
            </w:r>
          </w:p>
        </w:tc>
        <w:tc>
          <w:tcPr>
            <w:tcW w:w="1400" w:type="dxa"/>
            <w:tcBorders>
              <w:top w:val="nil"/>
              <w:left w:val="nil"/>
              <w:bottom w:val="nil"/>
              <w:right w:val="nil"/>
            </w:tcBorders>
            <w:shd w:val="clear" w:color="auto" w:fill="auto"/>
            <w:noWrap/>
            <w:hideMark/>
          </w:tcPr>
          <w:p w14:paraId="5F84F4A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AA9D04F"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2FA917EE"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0507C5E7" w14:textId="77777777" w:rsidR="009F455B" w:rsidRPr="001E05DC" w:rsidRDefault="009F455B" w:rsidP="00AB26EE">
            <w:r w:rsidRPr="001E05DC">
              <w:t>Median annual global market price of rice</w:t>
            </w:r>
          </w:p>
        </w:tc>
      </w:tr>
      <w:tr w:rsidR="009F455B" w:rsidRPr="001E05DC" w14:paraId="473C44CA" w14:textId="77777777" w:rsidTr="00AB26EE">
        <w:trPr>
          <w:trHeight w:val="288"/>
        </w:trPr>
        <w:tc>
          <w:tcPr>
            <w:tcW w:w="3440" w:type="dxa"/>
            <w:tcBorders>
              <w:top w:val="nil"/>
              <w:left w:val="nil"/>
              <w:bottom w:val="nil"/>
              <w:right w:val="nil"/>
            </w:tcBorders>
            <w:shd w:val="clear" w:color="auto" w:fill="auto"/>
            <w:noWrap/>
            <w:hideMark/>
          </w:tcPr>
          <w:p w14:paraId="2D138066" w14:textId="77777777" w:rsidR="009F455B" w:rsidRPr="001E05DC" w:rsidRDefault="009F455B" w:rsidP="00AB26EE">
            <w:r w:rsidRPr="001E05DC">
              <w:t>Price of corn</w:t>
            </w:r>
          </w:p>
        </w:tc>
        <w:tc>
          <w:tcPr>
            <w:tcW w:w="1400" w:type="dxa"/>
            <w:tcBorders>
              <w:top w:val="nil"/>
              <w:left w:val="nil"/>
              <w:bottom w:val="nil"/>
              <w:right w:val="nil"/>
            </w:tcBorders>
            <w:shd w:val="clear" w:color="auto" w:fill="auto"/>
            <w:noWrap/>
            <w:hideMark/>
          </w:tcPr>
          <w:p w14:paraId="60318B5D"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7BC6578"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418DA20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718CF267" w14:textId="77777777" w:rsidR="009F455B" w:rsidRPr="001E05DC" w:rsidRDefault="009F455B" w:rsidP="00AB26EE">
            <w:r w:rsidRPr="001E05DC">
              <w:t>Annual global market price of corn</w:t>
            </w:r>
          </w:p>
        </w:tc>
      </w:tr>
      <w:tr w:rsidR="009F455B" w:rsidRPr="001E05DC" w14:paraId="0D0190BE" w14:textId="77777777" w:rsidTr="00AB26EE">
        <w:trPr>
          <w:trHeight w:val="288"/>
        </w:trPr>
        <w:tc>
          <w:tcPr>
            <w:tcW w:w="3440" w:type="dxa"/>
            <w:tcBorders>
              <w:top w:val="nil"/>
              <w:left w:val="nil"/>
              <w:bottom w:val="nil"/>
              <w:right w:val="nil"/>
            </w:tcBorders>
            <w:shd w:val="clear" w:color="auto" w:fill="auto"/>
            <w:noWrap/>
            <w:hideMark/>
          </w:tcPr>
          <w:p w14:paraId="6E27DE75" w14:textId="77777777" w:rsidR="009F455B" w:rsidRPr="001E05DC" w:rsidRDefault="009F455B" w:rsidP="00AB26EE">
            <w:r w:rsidRPr="001E05DC">
              <w:t>Price of rubber</w:t>
            </w:r>
          </w:p>
        </w:tc>
        <w:tc>
          <w:tcPr>
            <w:tcW w:w="1400" w:type="dxa"/>
            <w:tcBorders>
              <w:top w:val="nil"/>
              <w:left w:val="nil"/>
              <w:bottom w:val="nil"/>
              <w:right w:val="nil"/>
            </w:tcBorders>
            <w:shd w:val="clear" w:color="auto" w:fill="auto"/>
            <w:noWrap/>
            <w:hideMark/>
          </w:tcPr>
          <w:p w14:paraId="0A8E2FFC"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BD3853B" w14:textId="77777777" w:rsidR="009F455B" w:rsidRPr="001E05DC" w:rsidRDefault="009F455B" w:rsidP="00AB26EE">
            <w:r w:rsidRPr="001E05DC">
              <w:t>Regional</w:t>
            </w:r>
          </w:p>
        </w:tc>
        <w:tc>
          <w:tcPr>
            <w:tcW w:w="1477" w:type="dxa"/>
            <w:tcBorders>
              <w:top w:val="nil"/>
              <w:left w:val="nil"/>
              <w:bottom w:val="nil"/>
              <w:right w:val="nil"/>
            </w:tcBorders>
            <w:shd w:val="clear" w:color="auto" w:fill="auto"/>
            <w:noWrap/>
            <w:hideMark/>
          </w:tcPr>
          <w:p w14:paraId="4CAAE221" w14:textId="77777777" w:rsidR="009F455B" w:rsidRPr="001E05DC" w:rsidRDefault="009F455B" w:rsidP="00AB26EE">
            <w:r w:rsidRPr="001E05DC">
              <w:t>RASCE</w:t>
            </w:r>
          </w:p>
        </w:tc>
        <w:tc>
          <w:tcPr>
            <w:tcW w:w="6323" w:type="dxa"/>
            <w:tcBorders>
              <w:top w:val="nil"/>
              <w:left w:val="nil"/>
              <w:bottom w:val="nil"/>
              <w:right w:val="nil"/>
            </w:tcBorders>
            <w:shd w:val="clear" w:color="auto" w:fill="auto"/>
            <w:hideMark/>
          </w:tcPr>
          <w:p w14:paraId="52B1E095" w14:textId="77777777" w:rsidR="009F455B" w:rsidRPr="001E05DC" w:rsidRDefault="009F455B" w:rsidP="00AB26EE">
            <w:r w:rsidRPr="001E05DC">
              <w:t>Monthly regional market value of rubber on the Singapore Exchange</w:t>
            </w:r>
          </w:p>
        </w:tc>
      </w:tr>
      <w:tr w:rsidR="009F455B" w:rsidRPr="001E05DC" w14:paraId="602B2B2D" w14:textId="77777777" w:rsidTr="00AB26EE">
        <w:trPr>
          <w:trHeight w:val="288"/>
        </w:trPr>
        <w:tc>
          <w:tcPr>
            <w:tcW w:w="3440" w:type="dxa"/>
            <w:tcBorders>
              <w:top w:val="nil"/>
              <w:left w:val="nil"/>
              <w:bottom w:val="single" w:sz="8" w:space="0" w:color="auto"/>
              <w:right w:val="nil"/>
            </w:tcBorders>
            <w:shd w:val="clear" w:color="auto" w:fill="auto"/>
            <w:noWrap/>
            <w:hideMark/>
          </w:tcPr>
          <w:p w14:paraId="101A8FFC" w14:textId="77777777" w:rsidR="009F455B" w:rsidRPr="001E05DC" w:rsidRDefault="009F455B" w:rsidP="00AB26EE">
            <w:r w:rsidRPr="001E05DC">
              <w:t>Price of sugar</w:t>
            </w:r>
          </w:p>
        </w:tc>
        <w:tc>
          <w:tcPr>
            <w:tcW w:w="1400" w:type="dxa"/>
            <w:tcBorders>
              <w:top w:val="nil"/>
              <w:left w:val="nil"/>
              <w:bottom w:val="single" w:sz="8" w:space="0" w:color="auto"/>
              <w:right w:val="nil"/>
            </w:tcBorders>
            <w:shd w:val="clear" w:color="auto" w:fill="auto"/>
            <w:noWrap/>
            <w:hideMark/>
          </w:tcPr>
          <w:p w14:paraId="66126A8C" w14:textId="77777777" w:rsidR="009F455B" w:rsidRPr="001E05DC" w:rsidRDefault="009F455B" w:rsidP="00AB26EE">
            <w:r w:rsidRPr="001E05DC">
              <w:t>USD/ton</w:t>
            </w:r>
          </w:p>
        </w:tc>
        <w:tc>
          <w:tcPr>
            <w:tcW w:w="1196" w:type="dxa"/>
            <w:tcBorders>
              <w:top w:val="nil"/>
              <w:left w:val="nil"/>
              <w:bottom w:val="single" w:sz="8" w:space="0" w:color="auto"/>
              <w:right w:val="nil"/>
            </w:tcBorders>
            <w:shd w:val="clear" w:color="auto" w:fill="auto"/>
            <w:noWrap/>
            <w:hideMark/>
          </w:tcPr>
          <w:p w14:paraId="6B8E58F2" w14:textId="77777777" w:rsidR="009F455B" w:rsidRPr="001E05DC" w:rsidRDefault="009F455B" w:rsidP="00AB26EE">
            <w:r w:rsidRPr="001E05DC">
              <w:t>Global</w:t>
            </w:r>
          </w:p>
        </w:tc>
        <w:tc>
          <w:tcPr>
            <w:tcW w:w="1477" w:type="dxa"/>
            <w:tcBorders>
              <w:top w:val="nil"/>
              <w:left w:val="nil"/>
              <w:bottom w:val="single" w:sz="8" w:space="0" w:color="auto"/>
              <w:right w:val="nil"/>
            </w:tcBorders>
            <w:shd w:val="clear" w:color="auto" w:fill="auto"/>
            <w:noWrap/>
            <w:hideMark/>
          </w:tcPr>
          <w:p w14:paraId="4EF71ED2" w14:textId="77777777" w:rsidR="009F455B" w:rsidRPr="001E05DC" w:rsidRDefault="009F455B" w:rsidP="00AB26EE">
            <w:r w:rsidRPr="001E05DC">
              <w:t>World Bank</w:t>
            </w:r>
          </w:p>
        </w:tc>
        <w:tc>
          <w:tcPr>
            <w:tcW w:w="6323" w:type="dxa"/>
            <w:tcBorders>
              <w:top w:val="nil"/>
              <w:left w:val="nil"/>
              <w:bottom w:val="single" w:sz="8" w:space="0" w:color="auto"/>
              <w:right w:val="nil"/>
            </w:tcBorders>
            <w:shd w:val="clear" w:color="auto" w:fill="auto"/>
            <w:hideMark/>
          </w:tcPr>
          <w:p w14:paraId="79662F22" w14:textId="77777777" w:rsidR="009F455B" w:rsidRPr="001E05DC" w:rsidRDefault="009F455B" w:rsidP="00AB26EE">
            <w:r w:rsidRPr="001E05DC">
              <w:t>Annual global market price of sugar</w:t>
            </w:r>
          </w:p>
        </w:tc>
      </w:tr>
      <w:tr w:rsidR="009F455B" w:rsidRPr="001E05DC" w14:paraId="1C310EA3" w14:textId="77777777" w:rsidTr="00AB26EE">
        <w:trPr>
          <w:trHeight w:val="288"/>
        </w:trPr>
        <w:tc>
          <w:tcPr>
            <w:tcW w:w="3440" w:type="dxa"/>
            <w:tcBorders>
              <w:top w:val="single" w:sz="8" w:space="0" w:color="auto"/>
              <w:left w:val="nil"/>
              <w:bottom w:val="nil"/>
              <w:right w:val="nil"/>
            </w:tcBorders>
            <w:shd w:val="clear" w:color="auto" w:fill="auto"/>
            <w:noWrap/>
            <w:hideMark/>
          </w:tcPr>
          <w:p w14:paraId="7324590D" w14:textId="77777777" w:rsidR="009F455B" w:rsidRPr="001E05DC" w:rsidRDefault="009F455B" w:rsidP="00AB26EE">
            <w:pPr>
              <w:rPr>
                <w:i/>
                <w:iCs/>
              </w:rPr>
            </w:pPr>
            <w:r w:rsidRPr="001E05DC">
              <w:rPr>
                <w:i/>
                <w:iCs/>
              </w:rPr>
              <w:t>Producer prices</w:t>
            </w:r>
          </w:p>
        </w:tc>
        <w:tc>
          <w:tcPr>
            <w:tcW w:w="1400" w:type="dxa"/>
            <w:tcBorders>
              <w:top w:val="single" w:sz="8" w:space="0" w:color="auto"/>
              <w:left w:val="nil"/>
              <w:bottom w:val="nil"/>
              <w:right w:val="nil"/>
            </w:tcBorders>
            <w:shd w:val="clear" w:color="auto" w:fill="auto"/>
            <w:noWrap/>
            <w:hideMark/>
          </w:tcPr>
          <w:p w14:paraId="547943A7"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4B25484A"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70532AED"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1A2C374" w14:textId="77777777" w:rsidR="009F455B" w:rsidRPr="001E05DC" w:rsidRDefault="009F455B" w:rsidP="00AB26EE"/>
        </w:tc>
      </w:tr>
      <w:tr w:rsidR="009F455B" w:rsidRPr="001E05DC" w14:paraId="49BD49CC" w14:textId="77777777" w:rsidTr="00AB26EE">
        <w:trPr>
          <w:trHeight w:val="288"/>
        </w:trPr>
        <w:tc>
          <w:tcPr>
            <w:tcW w:w="3440" w:type="dxa"/>
            <w:tcBorders>
              <w:top w:val="nil"/>
              <w:left w:val="nil"/>
              <w:bottom w:val="nil"/>
              <w:right w:val="nil"/>
            </w:tcBorders>
            <w:shd w:val="clear" w:color="auto" w:fill="auto"/>
            <w:noWrap/>
            <w:hideMark/>
          </w:tcPr>
          <w:p w14:paraId="210B405C" w14:textId="77777777" w:rsidR="009F455B" w:rsidRPr="001E05DC" w:rsidRDefault="009F455B" w:rsidP="00AB26EE">
            <w:r w:rsidRPr="001E05DC">
              <w:t>Producer price of Rice</w:t>
            </w:r>
          </w:p>
        </w:tc>
        <w:tc>
          <w:tcPr>
            <w:tcW w:w="1400" w:type="dxa"/>
            <w:tcBorders>
              <w:top w:val="nil"/>
              <w:left w:val="nil"/>
              <w:bottom w:val="nil"/>
              <w:right w:val="nil"/>
            </w:tcBorders>
            <w:shd w:val="clear" w:color="auto" w:fill="auto"/>
            <w:noWrap/>
            <w:hideMark/>
          </w:tcPr>
          <w:p w14:paraId="47B0C54A"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38D86B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776FF3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3B29B2CE" w14:textId="77777777" w:rsidR="009F455B" w:rsidRPr="001E05DC" w:rsidRDefault="009F455B" w:rsidP="00AB26EE">
            <w:r w:rsidRPr="001E05DC">
              <w:t>Farmgate prices for Cambodian producers</w:t>
            </w:r>
          </w:p>
        </w:tc>
      </w:tr>
      <w:tr w:rsidR="009F455B" w:rsidRPr="001E05DC" w14:paraId="43C25810" w14:textId="77777777" w:rsidTr="00AB26EE">
        <w:trPr>
          <w:trHeight w:val="288"/>
        </w:trPr>
        <w:tc>
          <w:tcPr>
            <w:tcW w:w="3440" w:type="dxa"/>
            <w:tcBorders>
              <w:top w:val="nil"/>
              <w:left w:val="nil"/>
              <w:right w:val="nil"/>
            </w:tcBorders>
            <w:shd w:val="clear" w:color="auto" w:fill="auto"/>
            <w:noWrap/>
            <w:hideMark/>
          </w:tcPr>
          <w:p w14:paraId="7DC50374" w14:textId="77777777" w:rsidR="009F455B" w:rsidRPr="001E05DC" w:rsidRDefault="009F455B" w:rsidP="00AB26EE">
            <w:r w:rsidRPr="001E05DC">
              <w:t>Producer price of rubber</w:t>
            </w:r>
          </w:p>
        </w:tc>
        <w:tc>
          <w:tcPr>
            <w:tcW w:w="1400" w:type="dxa"/>
            <w:tcBorders>
              <w:top w:val="nil"/>
              <w:left w:val="nil"/>
              <w:right w:val="nil"/>
            </w:tcBorders>
            <w:shd w:val="clear" w:color="auto" w:fill="auto"/>
            <w:noWrap/>
            <w:hideMark/>
          </w:tcPr>
          <w:p w14:paraId="0A226C02" w14:textId="77777777" w:rsidR="009F455B" w:rsidRPr="001E05DC" w:rsidRDefault="009F455B" w:rsidP="00AB26EE">
            <w:r w:rsidRPr="001E05DC">
              <w:t>USD/ton</w:t>
            </w:r>
          </w:p>
        </w:tc>
        <w:tc>
          <w:tcPr>
            <w:tcW w:w="1196" w:type="dxa"/>
            <w:tcBorders>
              <w:top w:val="nil"/>
              <w:left w:val="nil"/>
              <w:right w:val="nil"/>
            </w:tcBorders>
            <w:shd w:val="clear" w:color="auto" w:fill="auto"/>
            <w:noWrap/>
            <w:hideMark/>
          </w:tcPr>
          <w:p w14:paraId="65964DBC" w14:textId="77777777" w:rsidR="009F455B" w:rsidRPr="001E05DC" w:rsidRDefault="009F455B" w:rsidP="00AB26EE">
            <w:r w:rsidRPr="001E05DC">
              <w:t>National</w:t>
            </w:r>
          </w:p>
        </w:tc>
        <w:tc>
          <w:tcPr>
            <w:tcW w:w="1477" w:type="dxa"/>
            <w:tcBorders>
              <w:top w:val="nil"/>
              <w:left w:val="nil"/>
              <w:right w:val="nil"/>
            </w:tcBorders>
            <w:shd w:val="clear" w:color="auto" w:fill="auto"/>
            <w:noWrap/>
            <w:hideMark/>
          </w:tcPr>
          <w:p w14:paraId="52310A4D" w14:textId="77777777" w:rsidR="009F455B" w:rsidRPr="001E05DC" w:rsidRDefault="009F455B" w:rsidP="00AB26EE">
            <w:r w:rsidRPr="001E05DC">
              <w:t>FAO</w:t>
            </w:r>
          </w:p>
        </w:tc>
        <w:tc>
          <w:tcPr>
            <w:tcW w:w="6323" w:type="dxa"/>
            <w:tcBorders>
              <w:top w:val="nil"/>
              <w:left w:val="nil"/>
              <w:right w:val="nil"/>
            </w:tcBorders>
            <w:shd w:val="clear" w:color="auto" w:fill="auto"/>
            <w:hideMark/>
          </w:tcPr>
          <w:p w14:paraId="3E65001E" w14:textId="77777777" w:rsidR="009F455B" w:rsidRPr="001E05DC" w:rsidRDefault="009F455B" w:rsidP="00AB26EE">
            <w:r w:rsidRPr="001E05DC">
              <w:t>Farmgate prices for Cambodian producers</w:t>
            </w:r>
          </w:p>
        </w:tc>
      </w:tr>
      <w:tr w:rsidR="009F455B" w:rsidRPr="001E05DC" w14:paraId="145D8151" w14:textId="77777777" w:rsidTr="00AB26EE">
        <w:trPr>
          <w:trHeight w:val="288"/>
        </w:trPr>
        <w:tc>
          <w:tcPr>
            <w:tcW w:w="3440" w:type="dxa"/>
            <w:tcBorders>
              <w:top w:val="nil"/>
              <w:left w:val="nil"/>
              <w:bottom w:val="nil"/>
              <w:right w:val="nil"/>
            </w:tcBorders>
            <w:shd w:val="clear" w:color="auto" w:fill="auto"/>
            <w:noWrap/>
            <w:hideMark/>
          </w:tcPr>
          <w:p w14:paraId="11B93D80" w14:textId="77777777" w:rsidR="009F455B" w:rsidRPr="001E05DC" w:rsidRDefault="009F455B" w:rsidP="00AB26EE">
            <w:r w:rsidRPr="001E05DC">
              <w:t>Producer price of cassava</w:t>
            </w:r>
          </w:p>
        </w:tc>
        <w:tc>
          <w:tcPr>
            <w:tcW w:w="1400" w:type="dxa"/>
            <w:tcBorders>
              <w:top w:val="nil"/>
              <w:left w:val="nil"/>
              <w:bottom w:val="nil"/>
              <w:right w:val="nil"/>
            </w:tcBorders>
            <w:shd w:val="clear" w:color="auto" w:fill="auto"/>
            <w:noWrap/>
            <w:hideMark/>
          </w:tcPr>
          <w:p w14:paraId="0A79094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064CD77"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62B39AE"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13508DD3" w14:textId="77777777" w:rsidR="009F455B" w:rsidRPr="001E05DC" w:rsidRDefault="009F455B" w:rsidP="00AB26EE">
            <w:r w:rsidRPr="001E05DC">
              <w:t>Farmgate prices for Cambodian producers</w:t>
            </w:r>
          </w:p>
        </w:tc>
      </w:tr>
      <w:tr w:rsidR="009F455B" w:rsidRPr="001E05DC" w14:paraId="42871A3C" w14:textId="77777777" w:rsidTr="00AB26EE">
        <w:trPr>
          <w:trHeight w:val="288"/>
        </w:trPr>
        <w:tc>
          <w:tcPr>
            <w:tcW w:w="3440" w:type="dxa"/>
            <w:tcBorders>
              <w:left w:val="nil"/>
              <w:bottom w:val="nil"/>
              <w:right w:val="nil"/>
            </w:tcBorders>
            <w:shd w:val="clear" w:color="auto" w:fill="auto"/>
            <w:noWrap/>
            <w:hideMark/>
          </w:tcPr>
          <w:p w14:paraId="6236B39A" w14:textId="77777777" w:rsidR="009F455B" w:rsidRPr="001E05DC" w:rsidRDefault="009F455B" w:rsidP="00AB26EE">
            <w:r w:rsidRPr="001E05DC">
              <w:t>Producer price of corn</w:t>
            </w:r>
          </w:p>
        </w:tc>
        <w:tc>
          <w:tcPr>
            <w:tcW w:w="1400" w:type="dxa"/>
            <w:tcBorders>
              <w:left w:val="nil"/>
              <w:bottom w:val="nil"/>
              <w:right w:val="nil"/>
            </w:tcBorders>
            <w:shd w:val="clear" w:color="auto" w:fill="auto"/>
            <w:noWrap/>
            <w:hideMark/>
          </w:tcPr>
          <w:p w14:paraId="6794F71B" w14:textId="77777777" w:rsidR="009F455B" w:rsidRPr="001E05DC" w:rsidRDefault="009F455B" w:rsidP="00AB26EE">
            <w:r w:rsidRPr="001E05DC">
              <w:t>USD/ton</w:t>
            </w:r>
          </w:p>
        </w:tc>
        <w:tc>
          <w:tcPr>
            <w:tcW w:w="1196" w:type="dxa"/>
            <w:tcBorders>
              <w:left w:val="nil"/>
              <w:bottom w:val="nil"/>
              <w:right w:val="nil"/>
            </w:tcBorders>
            <w:shd w:val="clear" w:color="auto" w:fill="auto"/>
            <w:noWrap/>
            <w:hideMark/>
          </w:tcPr>
          <w:p w14:paraId="58D8B0AE" w14:textId="77777777" w:rsidR="009F455B" w:rsidRPr="001E05DC" w:rsidRDefault="009F455B" w:rsidP="00AB26EE">
            <w:r w:rsidRPr="001E05DC">
              <w:t>National</w:t>
            </w:r>
          </w:p>
        </w:tc>
        <w:tc>
          <w:tcPr>
            <w:tcW w:w="1477" w:type="dxa"/>
            <w:tcBorders>
              <w:left w:val="nil"/>
              <w:bottom w:val="nil"/>
              <w:right w:val="nil"/>
            </w:tcBorders>
            <w:shd w:val="clear" w:color="auto" w:fill="auto"/>
            <w:noWrap/>
            <w:hideMark/>
          </w:tcPr>
          <w:p w14:paraId="0BFEF64E" w14:textId="77777777" w:rsidR="009F455B" w:rsidRPr="001E05DC" w:rsidRDefault="009F455B" w:rsidP="00AB26EE">
            <w:r w:rsidRPr="001E05DC">
              <w:t>FAO</w:t>
            </w:r>
          </w:p>
        </w:tc>
        <w:tc>
          <w:tcPr>
            <w:tcW w:w="6323" w:type="dxa"/>
            <w:tcBorders>
              <w:left w:val="nil"/>
              <w:bottom w:val="nil"/>
              <w:right w:val="nil"/>
            </w:tcBorders>
            <w:shd w:val="clear" w:color="auto" w:fill="auto"/>
            <w:hideMark/>
          </w:tcPr>
          <w:p w14:paraId="4F3BC1D0" w14:textId="77777777" w:rsidR="009F455B" w:rsidRPr="001E05DC" w:rsidRDefault="009F455B" w:rsidP="00AB26EE">
            <w:r w:rsidRPr="001E05DC">
              <w:t>Farmgate prices for Cambodian producers</w:t>
            </w:r>
          </w:p>
        </w:tc>
      </w:tr>
      <w:tr w:rsidR="009F455B" w:rsidRPr="001E05DC" w14:paraId="02AC0337" w14:textId="77777777" w:rsidTr="00AB26EE">
        <w:trPr>
          <w:trHeight w:val="288"/>
        </w:trPr>
        <w:tc>
          <w:tcPr>
            <w:tcW w:w="3440" w:type="dxa"/>
            <w:tcBorders>
              <w:top w:val="nil"/>
              <w:left w:val="nil"/>
              <w:bottom w:val="single" w:sz="4" w:space="0" w:color="auto"/>
              <w:right w:val="nil"/>
            </w:tcBorders>
            <w:shd w:val="clear" w:color="auto" w:fill="auto"/>
            <w:noWrap/>
            <w:hideMark/>
          </w:tcPr>
          <w:p w14:paraId="5406492F" w14:textId="77777777" w:rsidR="009F455B" w:rsidRPr="001E05DC" w:rsidRDefault="009F455B" w:rsidP="00AB26EE">
            <w:r w:rsidRPr="001E05DC">
              <w:t>Producer price of sugar</w:t>
            </w:r>
          </w:p>
        </w:tc>
        <w:tc>
          <w:tcPr>
            <w:tcW w:w="1400" w:type="dxa"/>
            <w:tcBorders>
              <w:top w:val="nil"/>
              <w:left w:val="nil"/>
              <w:bottom w:val="single" w:sz="4" w:space="0" w:color="auto"/>
              <w:right w:val="nil"/>
            </w:tcBorders>
            <w:shd w:val="clear" w:color="auto" w:fill="auto"/>
            <w:noWrap/>
            <w:hideMark/>
          </w:tcPr>
          <w:p w14:paraId="103284AA" w14:textId="77777777" w:rsidR="009F455B" w:rsidRPr="001E05DC" w:rsidRDefault="009F455B" w:rsidP="00AB26EE">
            <w:r w:rsidRPr="001E05DC">
              <w:t>USD/ton</w:t>
            </w:r>
          </w:p>
        </w:tc>
        <w:tc>
          <w:tcPr>
            <w:tcW w:w="1196" w:type="dxa"/>
            <w:tcBorders>
              <w:top w:val="nil"/>
              <w:left w:val="nil"/>
              <w:bottom w:val="single" w:sz="4" w:space="0" w:color="auto"/>
              <w:right w:val="nil"/>
            </w:tcBorders>
            <w:shd w:val="clear" w:color="auto" w:fill="auto"/>
            <w:noWrap/>
            <w:hideMark/>
          </w:tcPr>
          <w:p w14:paraId="7D183982" w14:textId="77777777" w:rsidR="009F455B" w:rsidRPr="001E05DC" w:rsidRDefault="009F455B" w:rsidP="00AB26EE">
            <w:r w:rsidRPr="001E05DC">
              <w:t>National</w:t>
            </w:r>
          </w:p>
        </w:tc>
        <w:tc>
          <w:tcPr>
            <w:tcW w:w="1477" w:type="dxa"/>
            <w:tcBorders>
              <w:top w:val="nil"/>
              <w:left w:val="nil"/>
              <w:bottom w:val="single" w:sz="4" w:space="0" w:color="auto"/>
              <w:right w:val="nil"/>
            </w:tcBorders>
            <w:shd w:val="clear" w:color="auto" w:fill="auto"/>
            <w:noWrap/>
            <w:hideMark/>
          </w:tcPr>
          <w:p w14:paraId="25632292" w14:textId="77777777" w:rsidR="009F455B" w:rsidRPr="001E05DC" w:rsidRDefault="009F455B" w:rsidP="00AB26EE">
            <w:r w:rsidRPr="001E05DC">
              <w:t>FAO</w:t>
            </w:r>
          </w:p>
        </w:tc>
        <w:tc>
          <w:tcPr>
            <w:tcW w:w="6323" w:type="dxa"/>
            <w:tcBorders>
              <w:top w:val="nil"/>
              <w:left w:val="nil"/>
              <w:bottom w:val="single" w:sz="4" w:space="0" w:color="auto"/>
              <w:right w:val="nil"/>
            </w:tcBorders>
            <w:shd w:val="clear" w:color="auto" w:fill="auto"/>
            <w:hideMark/>
          </w:tcPr>
          <w:p w14:paraId="6731F5B5" w14:textId="77777777" w:rsidR="009F455B" w:rsidRPr="001E05DC" w:rsidRDefault="009F455B" w:rsidP="00AB26EE">
            <w:r w:rsidRPr="001E05DC">
              <w:t>Farmgate prices for Cambodian producers</w:t>
            </w:r>
          </w:p>
        </w:tc>
      </w:tr>
      <w:tr w:rsidR="009F455B" w:rsidRPr="001E05DC" w14:paraId="3A08811A" w14:textId="77777777" w:rsidTr="00AB26EE">
        <w:trPr>
          <w:trHeight w:val="288"/>
        </w:trPr>
        <w:tc>
          <w:tcPr>
            <w:tcW w:w="3440" w:type="dxa"/>
            <w:tcBorders>
              <w:top w:val="single" w:sz="4" w:space="0" w:color="auto"/>
              <w:left w:val="nil"/>
              <w:right w:val="nil"/>
            </w:tcBorders>
            <w:shd w:val="clear" w:color="auto" w:fill="auto"/>
            <w:noWrap/>
          </w:tcPr>
          <w:p w14:paraId="1C03FC05" w14:textId="77777777" w:rsidR="009F455B" w:rsidRPr="001E05DC" w:rsidRDefault="009F455B" w:rsidP="00AB26EE">
            <w:pPr>
              <w:rPr>
                <w:i/>
                <w:iCs/>
              </w:rPr>
            </w:pPr>
            <w:r w:rsidRPr="001E05DC">
              <w:rPr>
                <w:i/>
                <w:iCs/>
              </w:rPr>
              <w:t>Control</w:t>
            </w:r>
          </w:p>
        </w:tc>
        <w:tc>
          <w:tcPr>
            <w:tcW w:w="1400" w:type="dxa"/>
            <w:tcBorders>
              <w:top w:val="single" w:sz="4" w:space="0" w:color="auto"/>
              <w:left w:val="nil"/>
              <w:right w:val="nil"/>
            </w:tcBorders>
            <w:shd w:val="clear" w:color="auto" w:fill="auto"/>
            <w:noWrap/>
          </w:tcPr>
          <w:p w14:paraId="5FE817A5" w14:textId="77777777" w:rsidR="009F455B" w:rsidRPr="001E05DC" w:rsidRDefault="009F455B" w:rsidP="00AB26EE"/>
        </w:tc>
        <w:tc>
          <w:tcPr>
            <w:tcW w:w="1196" w:type="dxa"/>
            <w:tcBorders>
              <w:top w:val="single" w:sz="4" w:space="0" w:color="auto"/>
              <w:left w:val="nil"/>
              <w:right w:val="nil"/>
            </w:tcBorders>
            <w:shd w:val="clear" w:color="auto" w:fill="auto"/>
            <w:noWrap/>
          </w:tcPr>
          <w:p w14:paraId="65DFFEE3" w14:textId="77777777" w:rsidR="009F455B" w:rsidRPr="001E05DC" w:rsidRDefault="009F455B" w:rsidP="00AB26EE"/>
        </w:tc>
        <w:tc>
          <w:tcPr>
            <w:tcW w:w="1477" w:type="dxa"/>
            <w:tcBorders>
              <w:top w:val="single" w:sz="4" w:space="0" w:color="auto"/>
              <w:left w:val="nil"/>
              <w:right w:val="nil"/>
            </w:tcBorders>
            <w:shd w:val="clear" w:color="auto" w:fill="auto"/>
            <w:noWrap/>
          </w:tcPr>
          <w:p w14:paraId="5D424486" w14:textId="77777777" w:rsidR="009F455B" w:rsidRPr="001E05DC" w:rsidRDefault="009F455B" w:rsidP="00AB26EE"/>
        </w:tc>
        <w:tc>
          <w:tcPr>
            <w:tcW w:w="6323" w:type="dxa"/>
            <w:tcBorders>
              <w:top w:val="single" w:sz="4" w:space="0" w:color="auto"/>
              <w:left w:val="nil"/>
              <w:right w:val="nil"/>
            </w:tcBorders>
            <w:shd w:val="clear" w:color="auto" w:fill="auto"/>
          </w:tcPr>
          <w:p w14:paraId="524B9E66" w14:textId="77777777" w:rsidR="009F455B" w:rsidRPr="001E05DC" w:rsidRDefault="009F455B" w:rsidP="00AB26EE"/>
        </w:tc>
      </w:tr>
      <w:tr w:rsidR="009F455B" w:rsidRPr="001E05DC" w14:paraId="672C2F0B" w14:textId="77777777" w:rsidTr="00AB26EE">
        <w:trPr>
          <w:trHeight w:val="288"/>
        </w:trPr>
        <w:tc>
          <w:tcPr>
            <w:tcW w:w="3440" w:type="dxa"/>
            <w:tcBorders>
              <w:top w:val="nil"/>
              <w:left w:val="nil"/>
              <w:bottom w:val="nil"/>
              <w:right w:val="nil"/>
            </w:tcBorders>
            <w:shd w:val="clear" w:color="auto" w:fill="auto"/>
            <w:noWrap/>
          </w:tcPr>
          <w:p w14:paraId="734D984F" w14:textId="77777777" w:rsidR="009F455B" w:rsidRPr="001E05DC" w:rsidRDefault="009F455B" w:rsidP="00AB26EE">
            <w:r w:rsidRPr="001E05DC">
              <w:t>Population density</w:t>
            </w:r>
          </w:p>
        </w:tc>
        <w:tc>
          <w:tcPr>
            <w:tcW w:w="1400" w:type="dxa"/>
            <w:tcBorders>
              <w:top w:val="nil"/>
              <w:left w:val="nil"/>
              <w:bottom w:val="nil"/>
              <w:right w:val="nil"/>
            </w:tcBorders>
            <w:shd w:val="clear" w:color="auto" w:fill="auto"/>
            <w:noWrap/>
          </w:tcPr>
          <w:p w14:paraId="02D9150D" w14:textId="77777777" w:rsidR="009F455B" w:rsidRPr="001E05DC" w:rsidRDefault="009F455B" w:rsidP="00AB26EE">
            <w:r w:rsidRPr="001E05DC">
              <w:t>pax/km</w:t>
            </w:r>
            <w:r w:rsidRPr="004C216D">
              <w:rPr>
                <w:vertAlign w:val="superscript"/>
              </w:rPr>
              <w:t>2</w:t>
            </w:r>
          </w:p>
        </w:tc>
        <w:tc>
          <w:tcPr>
            <w:tcW w:w="1196" w:type="dxa"/>
            <w:tcBorders>
              <w:top w:val="nil"/>
              <w:left w:val="nil"/>
              <w:bottom w:val="nil"/>
              <w:right w:val="nil"/>
            </w:tcBorders>
            <w:shd w:val="clear" w:color="auto" w:fill="auto"/>
            <w:noWrap/>
          </w:tcPr>
          <w:p w14:paraId="5D093B0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62B9627" w14:textId="77777777" w:rsidR="009F455B" w:rsidRPr="001E05DC" w:rsidRDefault="009F455B" w:rsidP="00AB26EE">
            <w:r w:rsidRPr="001E05DC">
              <w:t>FAO</w:t>
            </w:r>
          </w:p>
        </w:tc>
        <w:tc>
          <w:tcPr>
            <w:tcW w:w="6323" w:type="dxa"/>
            <w:tcBorders>
              <w:top w:val="nil"/>
              <w:left w:val="nil"/>
              <w:bottom w:val="nil"/>
              <w:right w:val="nil"/>
            </w:tcBorders>
            <w:shd w:val="clear" w:color="auto" w:fill="auto"/>
          </w:tcPr>
          <w:p w14:paraId="112C2FA3" w14:textId="77777777" w:rsidR="009F455B" w:rsidRPr="001E05DC" w:rsidRDefault="009F455B" w:rsidP="00AB26EE">
            <w:r w:rsidRPr="001E05DC">
              <w:t>People per km</w:t>
            </w:r>
            <w:r w:rsidRPr="004C216D">
              <w:rPr>
                <w:vertAlign w:val="superscript"/>
              </w:rPr>
              <w:t>2</w:t>
            </w:r>
          </w:p>
        </w:tc>
      </w:tr>
      <w:tr w:rsidR="009F455B" w:rsidRPr="001E05DC" w14:paraId="41153AE6" w14:textId="77777777" w:rsidTr="00AB26EE">
        <w:trPr>
          <w:trHeight w:val="288"/>
        </w:trPr>
        <w:tc>
          <w:tcPr>
            <w:tcW w:w="3440" w:type="dxa"/>
            <w:tcBorders>
              <w:top w:val="nil"/>
              <w:left w:val="nil"/>
              <w:bottom w:val="single" w:sz="12" w:space="0" w:color="auto"/>
              <w:right w:val="nil"/>
            </w:tcBorders>
            <w:shd w:val="clear" w:color="auto" w:fill="auto"/>
            <w:noWrap/>
          </w:tcPr>
          <w:p w14:paraId="2515A6FE" w14:textId="77777777" w:rsidR="009F455B" w:rsidRPr="001E05DC" w:rsidRDefault="009F455B" w:rsidP="00AB26EE">
            <w:r w:rsidRPr="001E05DC">
              <w:t>Forest remaining</w:t>
            </w:r>
          </w:p>
        </w:tc>
        <w:tc>
          <w:tcPr>
            <w:tcW w:w="1400" w:type="dxa"/>
            <w:tcBorders>
              <w:top w:val="nil"/>
              <w:left w:val="nil"/>
              <w:bottom w:val="single" w:sz="12" w:space="0" w:color="auto"/>
              <w:right w:val="nil"/>
            </w:tcBorders>
            <w:shd w:val="clear" w:color="auto" w:fill="auto"/>
            <w:noWrap/>
          </w:tcPr>
          <w:p w14:paraId="4AB42AA0" w14:textId="77777777" w:rsidR="009F455B" w:rsidRPr="001E05DC" w:rsidRDefault="009F455B" w:rsidP="00AB26EE">
            <w:r w:rsidRPr="001E05DC">
              <w:t>Km</w:t>
            </w:r>
            <w:r w:rsidRPr="001E05DC">
              <w:rPr>
                <w:vertAlign w:val="superscript"/>
              </w:rPr>
              <w:t>2</w:t>
            </w:r>
          </w:p>
        </w:tc>
        <w:tc>
          <w:tcPr>
            <w:tcW w:w="1196" w:type="dxa"/>
            <w:tcBorders>
              <w:top w:val="nil"/>
              <w:left w:val="nil"/>
              <w:bottom w:val="single" w:sz="12" w:space="0" w:color="auto"/>
              <w:right w:val="nil"/>
            </w:tcBorders>
            <w:shd w:val="clear" w:color="auto" w:fill="auto"/>
            <w:noWrap/>
          </w:tcPr>
          <w:p w14:paraId="7CD4197B" w14:textId="77777777" w:rsidR="009F455B" w:rsidRPr="001E05DC" w:rsidRDefault="009F455B" w:rsidP="00AB26EE">
            <w:r w:rsidRPr="001E05DC">
              <w:t>National</w:t>
            </w:r>
          </w:p>
        </w:tc>
        <w:tc>
          <w:tcPr>
            <w:tcW w:w="1477" w:type="dxa"/>
            <w:tcBorders>
              <w:top w:val="nil"/>
              <w:left w:val="nil"/>
              <w:bottom w:val="single" w:sz="12" w:space="0" w:color="auto"/>
              <w:right w:val="nil"/>
            </w:tcBorders>
            <w:shd w:val="clear" w:color="auto" w:fill="auto"/>
            <w:noWrap/>
          </w:tcPr>
          <w:p w14:paraId="6FE29052" w14:textId="77777777" w:rsidR="009F455B" w:rsidRPr="001E05DC" w:rsidRDefault="009F455B" w:rsidP="00AB26EE">
            <w:r w:rsidRPr="001E05DC">
              <w:t>ESACCI</w:t>
            </w:r>
          </w:p>
        </w:tc>
        <w:tc>
          <w:tcPr>
            <w:tcW w:w="6323" w:type="dxa"/>
            <w:tcBorders>
              <w:top w:val="nil"/>
              <w:left w:val="nil"/>
              <w:bottom w:val="single" w:sz="12" w:space="0" w:color="auto"/>
              <w:right w:val="nil"/>
            </w:tcBorders>
            <w:shd w:val="clear" w:color="auto" w:fill="auto"/>
          </w:tcPr>
          <w:p w14:paraId="61C797BE" w14:textId="77777777" w:rsidR="009F455B" w:rsidRPr="001E05DC" w:rsidRDefault="009F455B" w:rsidP="00AB26EE">
            <w:r w:rsidRPr="001E05DC">
              <w:t>Raw value of forest remaining</w:t>
            </w:r>
          </w:p>
        </w:tc>
      </w:tr>
    </w:tbl>
    <w:p w14:paraId="66817274" w14:textId="77777777" w:rsidR="009F455B" w:rsidRPr="001E05DC" w:rsidRDefault="009F455B" w:rsidP="009F455B"/>
    <w:p w14:paraId="0E714C34" w14:textId="77777777" w:rsidR="009F455B" w:rsidRDefault="009F455B" w:rsidP="000A46B5">
      <w:pPr>
        <w:rPr>
          <w:b/>
          <w:bCs/>
          <w:i/>
          <w:iCs/>
        </w:rPr>
        <w:sectPr w:rsidR="009F455B" w:rsidSect="009F455B">
          <w:pgSz w:w="16838" w:h="11906" w:orient="landscape"/>
          <w:pgMar w:top="1440" w:right="1440" w:bottom="1440" w:left="1440" w:header="708" w:footer="708" w:gutter="0"/>
          <w:cols w:space="708"/>
          <w:docGrid w:linePitch="360"/>
        </w:sectPr>
      </w:pPr>
    </w:p>
    <w:p w14:paraId="50BC329B" w14:textId="1355C7EC" w:rsidR="000A46B5" w:rsidRPr="000A0B92" w:rsidRDefault="000A0B92" w:rsidP="000A46B5">
      <w:pPr>
        <w:rPr>
          <w:b/>
          <w:bCs/>
          <w:i/>
          <w:iCs/>
        </w:rPr>
      </w:pPr>
      <w:r w:rsidRPr="000A0B92">
        <w:rPr>
          <w:b/>
          <w:bCs/>
          <w:i/>
          <w:iCs/>
        </w:rPr>
        <w:lastRenderedPageBreak/>
        <w:t xml:space="preserve">2.2.5 </w:t>
      </w:r>
      <w:r w:rsidR="000A46B5" w:rsidRPr="000A0B92">
        <w:rPr>
          <w:b/>
          <w:bCs/>
          <w:i/>
          <w:iCs/>
        </w:rPr>
        <w:t xml:space="preserve">Modelling </w:t>
      </w:r>
    </w:p>
    <w:p w14:paraId="731B3D43" w14:textId="36975BFD" w:rsidR="000A46B5" w:rsidRPr="001E05DC" w:rsidRDefault="000A46B5" w:rsidP="000A46B5">
      <w:r w:rsidRPr="001E05DC">
        <w:t>This analysis aimed to model the relationships between changes in predictors</w:t>
      </w:r>
      <w:r w:rsidR="007C4C91">
        <w:t xml:space="preserve"> that described economic development or agricultural commodity value</w:t>
      </w:r>
      <w:r w:rsidRPr="001E05DC">
        <w:t xml:space="preserve"> and 1) the change in forest cover at a national level and 2) the allocation of new ELCs</w:t>
      </w:r>
      <w:r w:rsidR="005252BE">
        <w:t xml:space="preserve">. </w:t>
      </w:r>
      <w:r w:rsidR="00D55D54">
        <w:t>I ran models</w:t>
      </w:r>
      <w:r w:rsidRPr="001E05DC">
        <w:t xml:space="preserve"> for both response variables with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w:t>
      </w:r>
      <w:r w:rsidR="007739D7">
        <w:t xml:space="preserve"> </w:t>
      </w:r>
      <w:r w:rsidR="007739D7">
        <w:fldChar w:fldCharType="begin"/>
      </w:r>
      <w:r w:rsidR="007739D7">
        <w:instrText xml:space="preserve"> ADDIN ZOTERO_ITEM CSL_CITATION {"citationID":"DyPPDg31","properties":{"formattedCitation":"(Crawley 2007)","plainCitation":"(Crawley 2007)","noteIndex":0},"citationItems":[{"id":2882,"uris":["http://zotero.org/users/2170232/items/QGPL39G5"],"uri":["http://zotero.org/users/2170232/items/QGPL39G5"],"itemData":{"id":2882,"type":"book","event-place":"Chichester, UK","ISBN":"978-0-470-51024-7","publisher":"Wiley","publisher-place":"Chichester, UK","title":"The R Book","author":[{"family":"Crawley","given":"Michael J."}],"issued":{"date-parts":[["2007"]]}}}],"schema":"https://github.com/citation-style-language/schema/raw/master/csl-citation.json"} </w:instrText>
      </w:r>
      <w:r w:rsidR="007739D7">
        <w:fldChar w:fldCharType="separate"/>
      </w:r>
      <w:r w:rsidR="007739D7" w:rsidRPr="007739D7">
        <w:rPr>
          <w:rFonts w:ascii="Calibri" w:hAnsi="Calibri" w:cs="Calibri"/>
        </w:rPr>
        <w:t>(Crawley 2007)</w:t>
      </w:r>
      <w:r w:rsidR="007739D7">
        <w:fldChar w:fldCharType="end"/>
      </w:r>
      <w:r w:rsidRPr="001E05DC">
        <w:t>.</w:t>
      </w:r>
      <w:r w:rsidR="007739D7">
        <w:t xml:space="preserve"> This process minimises the effect of time on changes in the response and reduces temporal autocorrelation</w:t>
      </w:r>
      <w:r w:rsidR="00DD2646">
        <w:t>.</w:t>
      </w:r>
      <w:r w:rsidRPr="001E05DC">
        <w:t xml:space="preserve"> The amount of forest remaining (km</w:t>
      </w:r>
      <w:r w:rsidRPr="001E05DC">
        <w:rPr>
          <w:vertAlign w:val="superscript"/>
        </w:rPr>
        <w:t>2</w:t>
      </w:r>
      <w:r w:rsidRPr="001E05DC">
        <w:t xml:space="preserve">) was also included as a control variable in all models. Modelling was done using Generalised linear models (GLM) and followed an information theoretic approach </w:t>
      </w:r>
      <w:r w:rsidRPr="001E05DC">
        <w:fldChar w:fldCharType="begin"/>
      </w:r>
      <w:r w:rsidR="007739D7">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For the models with rate of forest loss as the response</w:t>
      </w:r>
      <w:r w:rsidR="00D55D54">
        <w:t xml:space="preserve"> I tested</w:t>
      </w:r>
      <w:r w:rsidRPr="001E05DC">
        <w:t xml:space="preserve"> both gaussian and gamma distributions, and for the models with ELC allocation</w:t>
      </w:r>
      <w:r w:rsidR="00D55D54">
        <w:t xml:space="preserve"> I used</w:t>
      </w:r>
      <w:r w:rsidRPr="001E05DC">
        <w:t xml:space="preserve"> a Poisson distribution. Resulting models were compared using Akaike’s Information Criterion (AIC). Final rate of forest loss models used gaussian distributions. All predictors in each model set had been selected because of a priori hypotheses (</w:t>
      </w:r>
      <w:r w:rsidRPr="00B77FE6">
        <w:t>Table S2</w:t>
      </w:r>
      <w:r w:rsidR="00B77FE6">
        <w:t>.2</w:t>
      </w:r>
      <w:r w:rsidRPr="001E05DC">
        <w:t xml:space="preserve">), and so within each set all combinations of possible models were run and compared using AIC. Models with ∆AIC &lt; 6 were considered to have sufficient support and retained in the final model set. Model averaging was implemented for the final model set, resulting in model-averaged coefficients for all model terms </w:t>
      </w:r>
      <w:r w:rsidRPr="001E05DC">
        <w:fldChar w:fldCharType="begin"/>
      </w:r>
      <w:r w:rsidR="007739D7">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Models were run and averaged using the MuMIn package in R (Version 1.43.17, </w:t>
      </w:r>
      <w:r w:rsidRPr="001E05DC">
        <w:fldChar w:fldCharType="begin"/>
      </w:r>
      <w:r>
        <w:instrText xml:space="preserve"> ADDIN ZOTERO_ITEM CSL_CITATION {"citationID":"Q0OhtjnI","properties":{"formattedCitation":"(Barto\\uc0\\u324{} 2020)","plainCitation":"(Bartoń 2020)","dontUpdate":true,"noteIndex":0},"citationItems":[{"id":2704,"uris":["http://zotero.org/users/2170232/items/TVZKJH5U"],"uri":["http://zotero.org/users/2170232/items/TVZKJH5U"],"itemData":{"id":2704,"type":"book","abstract":"Tools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r w:rsidRPr="001E05DC">
        <w:t>Bartoń 2020)</w:t>
      </w:r>
      <w:r w:rsidRPr="001E05DC">
        <w:fldChar w:fldCharType="end"/>
      </w:r>
      <w:r w:rsidRPr="001E05DC">
        <w:t>. This modelling procedure was repeated for a one-year time lag and two-year time lag as follows:</w:t>
      </w:r>
    </w:p>
    <w:p w14:paraId="0EDA3F7F" w14:textId="0013538D" w:rsidR="00EE4B81" w:rsidRPr="001E05DC" w:rsidRDefault="000A46B5" w:rsidP="000A46B5">
      <w:r w:rsidRPr="001E05DC">
        <w:t>No time lag:</w:t>
      </w:r>
    </w:p>
    <w:p w14:paraId="5A183351" w14:textId="6B49D904" w:rsidR="000A46B5" w:rsidRPr="001E05DC" w:rsidRDefault="000D74DE" w:rsidP="000A46B5">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oMath>
      </m:oMathPara>
    </w:p>
    <w:p w14:paraId="6D759E56" w14:textId="77777777" w:rsidR="000A46B5" w:rsidRPr="001E05DC" w:rsidRDefault="000A46B5" w:rsidP="000A46B5">
      <w:pPr>
        <w:rPr>
          <w:i/>
          <w:iCs/>
        </w:rPr>
      </w:pPr>
      <w:r w:rsidRPr="001E05DC">
        <w:t xml:space="preserve">Where </w:t>
      </w:r>
      <m:oMath>
        <m:r>
          <w:rPr>
            <w:rFonts w:ascii="Cambria Math" w:hAnsi="Cambria Math"/>
          </w:rPr>
          <m:t>γ</m:t>
        </m:r>
      </m:oMath>
      <w:r w:rsidRPr="001E05DC">
        <w:t xml:space="preserve"> is the response at time </w:t>
      </w:r>
      <m:oMath>
        <m:r>
          <w:rPr>
            <w:rFonts w:ascii="Cambria Math" w:hAnsi="Cambria Math"/>
          </w:rPr>
          <m:t>t</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r w:rsidRPr="001E05DC">
        <w:t xml:space="preserve">.  </w:t>
      </w:r>
    </w:p>
    <w:p w14:paraId="5448495E" w14:textId="77777777" w:rsidR="000A46B5" w:rsidRPr="001E05DC" w:rsidRDefault="000A46B5" w:rsidP="000A46B5">
      <w:r w:rsidRPr="001E05DC">
        <w:t>One year time lag:</w:t>
      </w:r>
    </w:p>
    <w:p w14:paraId="74338C5D" w14:textId="3CDD7D9C" w:rsidR="000A46B5" w:rsidRPr="001E05DC" w:rsidRDefault="000D74DE" w:rsidP="000A46B5">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t+1</m:t>
                      </m:r>
                    </m:sub>
                  </m:sSub>
                </m:e>
              </m:d>
              <m:r>
                <w:rPr>
                  <w:rFonts w:ascii="Cambria Math" w:hAnsi="Cambria Math"/>
                </w:rPr>
                <m:t>)</m:t>
              </m:r>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oMath>
      </m:oMathPara>
    </w:p>
    <w:p w14:paraId="789CB73B"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t+1</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r w:rsidRPr="001E05DC">
        <w:t xml:space="preserve">.  </w:t>
      </w:r>
    </w:p>
    <w:p w14:paraId="2F2E3E8E" w14:textId="77777777" w:rsidR="000A46B5" w:rsidRPr="001E05DC" w:rsidRDefault="000A46B5" w:rsidP="000A46B5">
      <w:pPr>
        <w:rPr>
          <w:i/>
          <w:iCs/>
        </w:rPr>
      </w:pPr>
      <w:r w:rsidRPr="001E05DC">
        <w:t>Two year time lag:</w:t>
      </w:r>
    </w:p>
    <w:p w14:paraId="1C22ABA0" w14:textId="6EDD8FE9" w:rsidR="000A46B5" w:rsidRPr="001E05DC" w:rsidRDefault="000D74DE" w:rsidP="000A46B5">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t+2</m:t>
                      </m:r>
                    </m:sub>
                  </m:sSub>
                </m:e>
              </m:d>
              <m:r>
                <w:rPr>
                  <w:rFonts w:ascii="Cambria Math" w:hAnsi="Cambria Math"/>
                </w:rPr>
                <m:t>)</m:t>
              </m:r>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oMath>
      </m:oMathPara>
    </w:p>
    <w:p w14:paraId="791ECB06"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t+2</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r w:rsidRPr="001E05DC">
        <w:t xml:space="preserve">.  </w:t>
      </w:r>
    </w:p>
    <w:p w14:paraId="7069EDCB" w14:textId="549589A1" w:rsidR="000A46B5" w:rsidRDefault="000A46B5" w:rsidP="000A46B5"/>
    <w:p w14:paraId="07CDC4E0" w14:textId="75003153" w:rsidR="000A46B5" w:rsidRDefault="000A0B92" w:rsidP="000A46B5">
      <w:pPr>
        <w:rPr>
          <w:b/>
          <w:bCs/>
        </w:rPr>
      </w:pPr>
      <w:r>
        <w:rPr>
          <w:b/>
          <w:bCs/>
        </w:rPr>
        <w:t xml:space="preserve">2.3 </w:t>
      </w:r>
      <w:r w:rsidR="000A46B5">
        <w:rPr>
          <w:b/>
          <w:bCs/>
        </w:rPr>
        <w:t>R</w:t>
      </w:r>
      <w:r>
        <w:rPr>
          <w:b/>
          <w:bCs/>
        </w:rPr>
        <w:t>ESULTS</w:t>
      </w:r>
    </w:p>
    <w:p w14:paraId="142D67C1" w14:textId="5738655D" w:rsidR="000A46B5" w:rsidRPr="000A0B92" w:rsidRDefault="000A0B92" w:rsidP="000A46B5">
      <w:pPr>
        <w:rPr>
          <w:b/>
          <w:bCs/>
          <w:i/>
          <w:iCs/>
        </w:rPr>
      </w:pPr>
      <w:r w:rsidRPr="000A0B92">
        <w:rPr>
          <w:b/>
          <w:bCs/>
          <w:i/>
          <w:iCs/>
        </w:rPr>
        <w:t xml:space="preserve">2.3.1 </w:t>
      </w:r>
      <w:r w:rsidR="00E82045" w:rsidRPr="000A0B92">
        <w:rPr>
          <w:b/>
          <w:bCs/>
          <w:i/>
          <w:iCs/>
        </w:rPr>
        <w:t>F</w:t>
      </w:r>
      <w:r w:rsidR="00667CED" w:rsidRPr="000A0B92">
        <w:rPr>
          <w:b/>
          <w:bCs/>
          <w:i/>
          <w:iCs/>
        </w:rPr>
        <w:t>orest loss</w:t>
      </w:r>
    </w:p>
    <w:p w14:paraId="2CF22172" w14:textId="0125D983" w:rsidR="000A46B5" w:rsidRDefault="00E82045" w:rsidP="000A46B5">
      <w:r>
        <w:t>During the study period</w:t>
      </w:r>
      <w:r w:rsidR="007577ED">
        <w:t xml:space="preserve"> (1993-2015)</w:t>
      </w:r>
      <w:r>
        <w:t xml:space="preserve"> 167,477 km</w:t>
      </w:r>
      <w:r w:rsidRPr="00E82045">
        <w:rPr>
          <w:vertAlign w:val="superscript"/>
        </w:rPr>
        <w:t>2</w:t>
      </w:r>
      <w:r>
        <w:t xml:space="preserve"> of forest was lost which represented nearly 16% of the total forest cover. </w:t>
      </w:r>
      <w:r w:rsidR="00F4635E">
        <w:t>The models for changes in the rate of forest loss as a function of</w:t>
      </w:r>
      <w:r w:rsidR="00C65E6A">
        <w:t xml:space="preserve"> changes in</w:t>
      </w:r>
      <w:r w:rsidR="00F4635E">
        <w:t xml:space="preserve"> </w:t>
      </w:r>
      <w:r w:rsidR="0014476F">
        <w:t>economic and agricultural commodity</w:t>
      </w:r>
      <w:r w:rsidR="00F4635E">
        <w:t xml:space="preserve"> predictors produced n</w:t>
      </w:r>
      <w:r w:rsidR="000A46B5">
        <w:t>o s</w:t>
      </w:r>
      <w:r w:rsidR="00C65E6A">
        <w:t>trong</w:t>
      </w:r>
      <w:r w:rsidR="000A46B5">
        <w:t xml:space="preserve"> effects (</w:t>
      </w:r>
      <w:r w:rsidR="000A46B5" w:rsidRPr="00045ECA">
        <w:t xml:space="preserve">Figures </w:t>
      </w:r>
      <w:r w:rsidR="00C21A41" w:rsidRPr="00B77FE6">
        <w:t>S</w:t>
      </w:r>
      <w:r w:rsidR="00B77FE6" w:rsidRPr="00B77FE6">
        <w:t>2.1</w:t>
      </w:r>
      <w:r w:rsidR="000A46B5" w:rsidRPr="00B77FE6">
        <w:t xml:space="preserve"> </w:t>
      </w:r>
      <w:r w:rsidR="004740E7" w:rsidRPr="00B77FE6">
        <w:t>to</w:t>
      </w:r>
      <w:r w:rsidR="000A46B5" w:rsidRPr="00B77FE6">
        <w:t xml:space="preserve"> </w:t>
      </w:r>
      <w:r w:rsidR="00C21A41" w:rsidRPr="00B77FE6">
        <w:t>S</w:t>
      </w:r>
      <w:r w:rsidR="00B77FE6" w:rsidRPr="00B77FE6">
        <w:t>2.4</w:t>
      </w:r>
      <w:r w:rsidR="000A46B5">
        <w:t xml:space="preserve">). For each predictor set there were between 5 and 28 models in the top model set and final coefficients were calculated using full averages </w:t>
      </w:r>
      <w:r w:rsidR="000A46B5">
        <w:fldChar w:fldCharType="begin"/>
      </w:r>
      <w:r w:rsidR="000A46B5">
        <w:instrText xml:space="preserve"> ADDIN ZOTERO_ITEM CSL_CITATION {"citationID":"0VP53lay","properties":{"formattedCitation":"(Burnham and Anderson, 2007)","plainCitation":"(Burnham and Anderson, 2007)","dontUpdate":true,"noteIndex":0},"citationItems":[{"id":2667,"uris":["http://zotero.org/users/2170232/items/XAWFRFE5"],"uri":["http://zotero.org/users/2170232/items/XAWFRFE5"],"itemData":{"id":2667,"type":"book","abstract":"We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0A46B5">
        <w:fldChar w:fldCharType="separate"/>
      </w:r>
      <w:r w:rsidR="000A46B5" w:rsidRPr="00D913D7">
        <w:rPr>
          <w:rFonts w:ascii="Calibri" w:hAnsi="Calibri" w:cs="Calibri"/>
        </w:rPr>
        <w:t>(</w:t>
      </w:r>
      <w:r w:rsidR="000A46B5" w:rsidRPr="00045ECA">
        <w:t>Tables S</w:t>
      </w:r>
      <w:r w:rsidR="00B77FE6">
        <w:t>2.5</w:t>
      </w:r>
      <w:r w:rsidR="000A46B5" w:rsidRPr="00045ECA">
        <w:t xml:space="preserve"> – S</w:t>
      </w:r>
      <w:r w:rsidR="00B77FE6">
        <w:t>2.13</w:t>
      </w:r>
      <w:r w:rsidR="000A46B5" w:rsidRPr="00D913D7">
        <w:rPr>
          <w:rFonts w:ascii="Calibri" w:hAnsi="Calibri" w:cs="Calibri"/>
        </w:rPr>
        <w:t>)</w:t>
      </w:r>
      <w:r w:rsidR="000A46B5">
        <w:fldChar w:fldCharType="end"/>
      </w:r>
      <w:r w:rsidR="000A46B5">
        <w:t>. The largest effect w</w:t>
      </w:r>
      <w:r w:rsidR="00DD2646">
        <w:t>as</w:t>
      </w:r>
      <w:r w:rsidR="000A46B5">
        <w:t xml:space="preserve"> from the control variable population density</w:t>
      </w:r>
      <w:r w:rsidR="00DD2646">
        <w:t xml:space="preserve"> </w:t>
      </w:r>
      <w:r w:rsidR="000A46B5">
        <w:t xml:space="preserve">with a one-year time lag (full averaged coefficient = -632.9, SE = 64.8, </w:t>
      </w:r>
      <w:r w:rsidR="000A46B5" w:rsidRPr="00B77FE6">
        <w:t>Table S</w:t>
      </w:r>
      <w:r w:rsidR="00B77FE6">
        <w:t>2.6</w:t>
      </w:r>
      <w:r w:rsidR="000A46B5">
        <w:t xml:space="preserve">). The largest effect excluding control variables was for agricultural proportion of </w:t>
      </w:r>
      <w:r w:rsidR="000A46B5">
        <w:lastRenderedPageBreak/>
        <w:t>GDP with a one-year time lag (full averaged coefficient = -14.9, SE = 7.9) suggesting</w:t>
      </w:r>
      <w:r w:rsidR="00F4635E">
        <w:t>, counterintuitively,</w:t>
      </w:r>
      <w:r w:rsidR="000A46B5">
        <w:t xml:space="preserve"> that there is a small reduction in the rate of forest loss as the contribution of agriculture to national GDP increases, although this effect </w:t>
      </w:r>
      <w:r w:rsidR="000A46B5">
        <w:t xml:space="preserve">is weak </w:t>
      </w:r>
      <w:r w:rsidR="000A46B5">
        <w:t>(</w:t>
      </w:r>
      <w:r w:rsidR="000A46B5" w:rsidRPr="00045ECA">
        <w:t>Figure S2</w:t>
      </w:r>
      <w:r w:rsidR="005B16ED">
        <w:t>.3</w:t>
      </w:r>
      <w:r w:rsidR="000A46B5" w:rsidRPr="00045ECA">
        <w:t xml:space="preserve">, </w:t>
      </w:r>
      <w:r w:rsidR="000A46B5" w:rsidRPr="005B16ED">
        <w:t>Table S</w:t>
      </w:r>
      <w:r w:rsidR="005B16ED" w:rsidRPr="005B16ED">
        <w:t>2</w:t>
      </w:r>
      <w:r w:rsidR="005B16ED">
        <w:t>.9</w:t>
      </w:r>
      <w:r w:rsidR="000A46B5">
        <w:t xml:space="preserve">) and </w:t>
      </w:r>
      <w:r w:rsidR="00F4635E">
        <w:t>therefore inference is limited</w:t>
      </w:r>
      <w:r w:rsidR="000A46B5">
        <w:t>.</w:t>
      </w:r>
    </w:p>
    <w:p w14:paraId="5FF9CD15" w14:textId="2827FA33" w:rsidR="000A46B5" w:rsidRPr="000A0B92" w:rsidRDefault="000A0B92" w:rsidP="000A46B5">
      <w:pPr>
        <w:rPr>
          <w:b/>
          <w:bCs/>
          <w:i/>
          <w:iCs/>
        </w:rPr>
      </w:pPr>
      <w:r w:rsidRPr="000A0B92">
        <w:rPr>
          <w:b/>
          <w:bCs/>
          <w:i/>
          <w:iCs/>
        </w:rPr>
        <w:t xml:space="preserve">2.3.2 </w:t>
      </w:r>
      <w:r w:rsidR="000A46B5" w:rsidRPr="000A0B92">
        <w:rPr>
          <w:b/>
          <w:bCs/>
          <w:i/>
          <w:iCs/>
        </w:rPr>
        <w:t>New economic land concession</w:t>
      </w:r>
      <w:r w:rsidR="00E82045" w:rsidRPr="000A0B92">
        <w:rPr>
          <w:b/>
          <w:bCs/>
          <w:i/>
          <w:iCs/>
        </w:rPr>
        <w:t>s</w:t>
      </w:r>
    </w:p>
    <w:p w14:paraId="0D3D8117" w14:textId="122AC917" w:rsidR="000A46B5" w:rsidRDefault="000A46B5" w:rsidP="000A46B5">
      <w:r>
        <w:t>There were 287 new ELCs allocated within the study period, with the majority (51%) being designated for rubber production (</w:t>
      </w:r>
      <w:r w:rsidRPr="005B16ED">
        <w:t>Table S</w:t>
      </w:r>
      <w:r w:rsidR="005B16ED">
        <w:t>2.14</w:t>
      </w:r>
      <w:r>
        <w:t xml:space="preserve">). </w:t>
      </w:r>
      <w:bookmarkStart w:id="1" w:name="_Hlk85436482"/>
      <w:r>
        <w:t>The largest effect</w:t>
      </w:r>
      <w:r w:rsidR="004740E7">
        <w:t xml:space="preserve"> overall</w:t>
      </w:r>
      <w:r>
        <w:t xml:space="preserve"> was for the economic control variable population density, where there were very strong negative effects across all time lags (rate ratios for one-year lag = 0.012, two-year lag = 0.002, three-year lag = 0.0005, </w:t>
      </w:r>
      <w:r w:rsidRPr="00E71D64">
        <w:t xml:space="preserve">Table </w:t>
      </w:r>
      <w:r w:rsidR="004740E7">
        <w:t>2</w:t>
      </w:r>
      <w:r w:rsidR="0038235D">
        <w:t>.2</w:t>
      </w:r>
      <w:r>
        <w:t xml:space="preserve">), indicating that new ELCs </w:t>
      </w:r>
      <w:r w:rsidR="002657C7">
        <w:t>are not</w:t>
      </w:r>
      <w:r>
        <w:t xml:space="preserve"> allocated in areas of high human population density</w:t>
      </w:r>
      <w:bookmarkEnd w:id="1"/>
      <w:r>
        <w:t xml:space="preserve">. </w:t>
      </w:r>
      <w:bookmarkStart w:id="2" w:name="_Hlk85436510"/>
      <w:r>
        <w:t xml:space="preserve">The largest overall effect excluding control variables was for changes in agricultural proportion of GDP with no time lag and a one-year time lag </w:t>
      </w:r>
      <w:bookmarkEnd w:id="2"/>
      <w:r>
        <w:t xml:space="preserve">(no time lag rate ratio = 1.310, and one-year time lag rate ratio = 1.284, </w:t>
      </w:r>
      <w:r w:rsidRPr="005E63DE">
        <w:t xml:space="preserve">Table </w:t>
      </w:r>
      <w:r w:rsidR="004740E7">
        <w:t>2</w:t>
      </w:r>
      <w:r w:rsidR="0038235D">
        <w:t>.2</w:t>
      </w:r>
      <w:r w:rsidRPr="005E63DE">
        <w:t xml:space="preserve">, Figure </w:t>
      </w:r>
      <w:r w:rsidR="0038235D">
        <w:t>2.</w:t>
      </w:r>
      <w:r w:rsidR="00700967">
        <w:t>1</w:t>
      </w:r>
      <w:r>
        <w:t xml:space="preserve">). </w:t>
      </w:r>
    </w:p>
    <w:p w14:paraId="60324C84" w14:textId="658965F6" w:rsidR="000A46B5" w:rsidRDefault="000A46B5" w:rsidP="000A46B5">
      <w:r>
        <w:t xml:space="preserve">From an economic perspective there were </w:t>
      </w:r>
      <w:bookmarkStart w:id="3" w:name="_Hlk85436539"/>
      <w:r>
        <w:t xml:space="preserve">positive relationships between the allocation of new ELCs and increases in the agricultural proportion of GDP and increases in foreign direct investment </w:t>
      </w:r>
      <w:bookmarkEnd w:id="3"/>
      <w:r>
        <w:t xml:space="preserve">(one-year time lag rate ratio = 1.004, </w:t>
      </w:r>
      <w:r w:rsidRPr="005E63DE">
        <w:t xml:space="preserve">Table </w:t>
      </w:r>
      <w:r w:rsidR="004740E7">
        <w:t>2</w:t>
      </w:r>
      <w:r w:rsidR="0038235D">
        <w:t>.2</w:t>
      </w:r>
      <w:r w:rsidRPr="005E63DE">
        <w:t xml:space="preserve">, Figure </w:t>
      </w:r>
      <w:r w:rsidR="0038235D">
        <w:t>2.</w:t>
      </w:r>
      <w:r w:rsidR="00700967">
        <w:t>1</w:t>
      </w:r>
      <w:r>
        <w:t xml:space="preserve">). There was also a </w:t>
      </w:r>
      <w:bookmarkStart w:id="4" w:name="_Hlk85436623"/>
      <w:r>
        <w:t xml:space="preserve">positive relationship between new ELC allocation and increases in development flows to the environment sector </w:t>
      </w:r>
      <w:bookmarkEnd w:id="4"/>
      <w:r>
        <w:t xml:space="preserve">(no time lag rate ratio = 1.031). There was a negative relationship between new ELC allocation and </w:t>
      </w:r>
      <w:r w:rsidR="00DD2646">
        <w:t>positive changes in</w:t>
      </w:r>
      <w:r>
        <w:t xml:space="preserve"> per capita GDP (one-year time lag rate ratio = 0.985 and two-year time lag rate ratio = 0.974, </w:t>
      </w:r>
      <w:r w:rsidRPr="005E63DE">
        <w:t xml:space="preserve">Table </w:t>
      </w:r>
      <w:r w:rsidR="004740E7">
        <w:t>2</w:t>
      </w:r>
      <w:r w:rsidR="0038235D">
        <w:t>.2</w:t>
      </w:r>
      <w:r w:rsidRPr="005E63DE">
        <w:t xml:space="preserve">, Figure </w:t>
      </w:r>
      <w:r w:rsidR="0038235D">
        <w:t>2.</w:t>
      </w:r>
      <w:r w:rsidR="00700967">
        <w:t>1</w:t>
      </w:r>
      <w:r>
        <w:t xml:space="preserve">). </w:t>
      </w:r>
    </w:p>
    <w:p w14:paraId="303CB01A" w14:textId="34AB96EB" w:rsidR="000A46B5" w:rsidRDefault="000A46B5" w:rsidP="000A46B5">
      <w:bookmarkStart w:id="5" w:name="_Hlk85436768"/>
      <w:r>
        <w:t xml:space="preserve">The largest effect within the commodity set was for the change in market price of rice in the same year as the response </w:t>
      </w:r>
      <w:bookmarkEnd w:id="5"/>
      <w:r>
        <w:t>(no time lag) with a rate ratio of 1.009 (</w:t>
      </w:r>
      <w:r w:rsidRPr="005E63DE">
        <w:t xml:space="preserve">Table </w:t>
      </w:r>
      <w:r w:rsidR="0000260F">
        <w:t>2</w:t>
      </w:r>
      <w:r w:rsidR="0038235D">
        <w:t>.2</w:t>
      </w:r>
      <w:r>
        <w:t xml:space="preserve">). There were </w:t>
      </w:r>
      <w:bookmarkStart w:id="6" w:name="_Hlk85436780"/>
      <w:r>
        <w:t xml:space="preserve">further strong positive relationships between the changes in the market price of rubber </w:t>
      </w:r>
      <w:bookmarkEnd w:id="6"/>
      <w:r>
        <w:t>(no time lag rate ratio = 1.001</w:t>
      </w:r>
      <w:bookmarkStart w:id="7" w:name="_Hlk85436794"/>
      <w:r>
        <w:t xml:space="preserve">), the changes in the non-food production index </w:t>
      </w:r>
      <w:bookmarkEnd w:id="7"/>
      <w:r>
        <w:t xml:space="preserve">(one-year time lag rate ratio = 1.007), </w:t>
      </w:r>
      <w:bookmarkStart w:id="8" w:name="_Hlk85436805"/>
      <w:r>
        <w:t xml:space="preserve">and changes in the market price of sugar </w:t>
      </w:r>
      <w:bookmarkEnd w:id="8"/>
      <w:r>
        <w:t xml:space="preserve">(two-year time lag rate ratio = 1.009). There were three negative relationships between ELC allocation and commodity variables, all of which were in the same year as the response (no time lag, </w:t>
      </w:r>
      <w:r w:rsidRPr="005E63DE">
        <w:t xml:space="preserve">Figure </w:t>
      </w:r>
      <w:r w:rsidR="00700967">
        <w:t>2</w:t>
      </w:r>
      <w:r w:rsidR="0038235D">
        <w:t>.2</w:t>
      </w:r>
      <w:r>
        <w:t xml:space="preserve">). There were weak negative effects of changes in the market prices of corn (no time lag rate ratio = 0.997) and sugar (no time lag rate ratio = 0.999). Considering the stronger positive effects of sugar price on ELCs after one- and two-year lags, it is unlikely that the very weak negative effect </w:t>
      </w:r>
      <w:r w:rsidR="005C460B">
        <w:t>in the same year as the response</w:t>
      </w:r>
      <w:r>
        <w:t xml:space="preserve"> is meaningful. </w:t>
      </w:r>
      <w:bookmarkStart w:id="9" w:name="_Hlk85437183"/>
      <w:r>
        <w:t xml:space="preserve">The non-food production index had a much stronger negative effect on ELC allocation when there was no time lag (rate ratio = 0.990). </w:t>
      </w:r>
      <w:bookmarkEnd w:id="9"/>
    </w:p>
    <w:p w14:paraId="233CAA57" w14:textId="0302EA77" w:rsidR="000A46B5" w:rsidRDefault="000A46B5" w:rsidP="000A46B5">
      <w:r>
        <w:t>The producer price variable set, which reflects the farmgate prices of the commodities, had both positive and negative relationships with ELC allocation (</w:t>
      </w:r>
      <w:r w:rsidRPr="005E63DE">
        <w:t xml:space="preserve">Figure </w:t>
      </w:r>
      <w:r w:rsidR="0038235D">
        <w:t>2.</w:t>
      </w:r>
      <w:r w:rsidR="00700967">
        <w:t>3</w:t>
      </w:r>
      <w:r w:rsidRPr="005E63DE">
        <w:t xml:space="preserve">, Table </w:t>
      </w:r>
      <w:r w:rsidR="002F1503">
        <w:t>2.2</w:t>
      </w:r>
      <w:r>
        <w:t xml:space="preserve">). </w:t>
      </w:r>
      <w:bookmarkStart w:id="10" w:name="_Hlk85437276"/>
      <w:r>
        <w:t xml:space="preserve">The strongest positive relationship was with changes in the producer price of rubber </w:t>
      </w:r>
      <w:bookmarkEnd w:id="10"/>
      <w:r>
        <w:t>(no time lag rate ratio = 1.035). The effect of positive changes (i.e., net increases) in the price a farmer will get for rubber production can be seen in the predictions of new ELCs (</w:t>
      </w:r>
      <w:r w:rsidRPr="00DF51FB">
        <w:t xml:space="preserve">Figure </w:t>
      </w:r>
      <w:r w:rsidR="0038235D">
        <w:t>2.</w:t>
      </w:r>
      <w:r w:rsidR="00700967">
        <w:t>3</w:t>
      </w:r>
      <w:r>
        <w:t xml:space="preserve">). </w:t>
      </w:r>
      <w:bookmarkStart w:id="11" w:name="_Hlk85437378"/>
      <w:r>
        <w:t xml:space="preserve">There were also positive relationships between ELC allocation and changes in the producer price of corn </w:t>
      </w:r>
      <w:bookmarkEnd w:id="11"/>
      <w:r>
        <w:t xml:space="preserve">(one-year time lag rate ratio = 1.011) </w:t>
      </w:r>
      <w:bookmarkStart w:id="12" w:name="_Hlk85437385"/>
      <w:r>
        <w:t xml:space="preserve">and the producer price of rice </w:t>
      </w:r>
      <w:bookmarkEnd w:id="12"/>
      <w:r>
        <w:t xml:space="preserve">(two-year time lag rate ratio = 1.013, </w:t>
      </w:r>
      <w:r w:rsidRPr="00DF51FB">
        <w:t xml:space="preserve">Figure </w:t>
      </w:r>
      <w:r w:rsidR="0038235D">
        <w:t>2.</w:t>
      </w:r>
      <w:r w:rsidR="00700967">
        <w:t>3</w:t>
      </w:r>
      <w:r w:rsidRPr="00DF51FB">
        <w:t xml:space="preserve">, Table </w:t>
      </w:r>
      <w:r w:rsidR="002F1503">
        <w:t>2.2</w:t>
      </w:r>
      <w:r>
        <w:t xml:space="preserve">). </w:t>
      </w:r>
    </w:p>
    <w:p w14:paraId="1E83030E" w14:textId="0F304AAA" w:rsidR="009F455B" w:rsidRDefault="000A46B5" w:rsidP="000A46B5">
      <w:pPr>
        <w:sectPr w:rsidR="009F455B" w:rsidSect="009F455B">
          <w:pgSz w:w="11906" w:h="16838"/>
          <w:pgMar w:top="1440" w:right="1440" w:bottom="1440" w:left="1440" w:header="708" w:footer="708" w:gutter="0"/>
          <w:cols w:space="708"/>
          <w:docGrid w:linePitch="360"/>
        </w:sectPr>
      </w:pPr>
      <w:r>
        <w:t>There were two negative relationships between producer price variables and new ELC allocations (</w:t>
      </w:r>
      <w:r w:rsidRPr="00DF51FB">
        <w:t xml:space="preserve">Figure </w:t>
      </w:r>
      <w:r w:rsidR="0038235D">
        <w:t>2.</w:t>
      </w:r>
      <w:r w:rsidR="00700967">
        <w:t>3</w:t>
      </w:r>
      <w:r>
        <w:t xml:space="preserve">). </w:t>
      </w:r>
      <w:bookmarkStart w:id="13" w:name="_Hlk85437578"/>
      <w:r>
        <w:t>Increases in the producer prices of rice and cassava resulted in fewer predicted ELCs in the same year (no time lag rate ratio = 0.976) and two years later (two-year time lag rate ratio = 0.982), respectively</w:t>
      </w:r>
      <w:bookmarkEnd w:id="13"/>
      <w:r>
        <w:t xml:space="preserve">. The difference in the direction of the effect of rice producer prices in year </w:t>
      </w:r>
      <w:r>
        <w:rPr>
          <w:i/>
          <w:iCs/>
        </w:rPr>
        <w:t>t</w:t>
      </w:r>
      <w:r>
        <w:t xml:space="preserve"> and year </w:t>
      </w:r>
      <w:r>
        <w:rPr>
          <w:i/>
          <w:iCs/>
        </w:rPr>
        <w:t>t+2</w:t>
      </w:r>
      <w:r>
        <w:t xml:space="preserve"> (</w:t>
      </w:r>
      <w:r w:rsidRPr="00DF51FB">
        <w:t xml:space="preserve">Figure </w:t>
      </w:r>
      <w:r w:rsidR="0038235D">
        <w:t>2.</w:t>
      </w:r>
      <w:r w:rsidR="00700967">
        <w:t>3</w:t>
      </w:r>
      <w:r>
        <w:t xml:space="preserve">) suggests that there is a complex relationship between rice production and new </w:t>
      </w:r>
      <w:r>
        <w:lastRenderedPageBreak/>
        <w:t xml:space="preserve">ELC allocation. The negative relationship between the producer price of cassava and new ELC allocation was strong (two-year time lag rate ratio = 0.982, </w:t>
      </w:r>
      <w:r w:rsidRPr="00DF51FB">
        <w:t xml:space="preserve">Figure </w:t>
      </w:r>
      <w:r w:rsidR="0038235D">
        <w:t>2.</w:t>
      </w:r>
      <w:r w:rsidR="00700967">
        <w:t>3</w:t>
      </w:r>
      <w:r>
        <w:t xml:space="preserve">). </w:t>
      </w:r>
    </w:p>
    <w:p w14:paraId="7B392F78" w14:textId="5E7687E3" w:rsidR="009F455B" w:rsidRPr="00700967" w:rsidRDefault="009F455B" w:rsidP="009F455B">
      <w:pPr>
        <w:rPr>
          <w:b/>
          <w:bCs/>
        </w:rPr>
      </w:pPr>
      <w:r w:rsidRPr="00700967">
        <w:rPr>
          <w:b/>
          <w:bCs/>
        </w:rPr>
        <w:lastRenderedPageBreak/>
        <w:t xml:space="preserve">Table </w:t>
      </w:r>
      <w:r w:rsidR="004740E7" w:rsidRPr="00700967">
        <w:rPr>
          <w:b/>
          <w:bCs/>
        </w:rPr>
        <w:t>2</w:t>
      </w:r>
      <w:r w:rsidR="0038235D">
        <w:rPr>
          <w:b/>
          <w:bCs/>
        </w:rPr>
        <w:t>.2</w:t>
      </w:r>
      <w:r w:rsidRPr="00700967">
        <w:rPr>
          <w:b/>
          <w:bCs/>
        </w:rPr>
        <w:t xml:space="preserve">. </w:t>
      </w:r>
      <w:bookmarkStart w:id="14" w:name="_Hlk94422165"/>
      <w:r w:rsidRPr="00700967">
        <w:rPr>
          <w:b/>
          <w:bCs/>
        </w:rPr>
        <w:t>Parameter coefficients, standard errors, and rate ratios from the top model(s) in the analysis with rate of economic land concession allocation response</w:t>
      </w:r>
      <w:bookmarkEnd w:id="14"/>
      <w:r w:rsidRPr="00700967">
        <w:rPr>
          <w:b/>
          <w:bCs/>
        </w:rPr>
        <w:t>. Missing values denote predictor variables that were not selected in the top model(s) for that lag period.</w:t>
      </w:r>
      <w:r w:rsidR="00CC4F5A" w:rsidRPr="00700967">
        <w:rPr>
          <w:b/>
          <w:bCs/>
        </w:rPr>
        <w:t xml:space="preserve"> Coefficients are on the log scale. </w:t>
      </w:r>
      <w:r w:rsidR="00700967">
        <w:rPr>
          <w:b/>
          <w:bCs/>
        </w:rPr>
        <w:t>SE = Standard Error</w:t>
      </w:r>
    </w:p>
    <w:tbl>
      <w:tblPr>
        <w:tblW w:w="0" w:type="auto"/>
        <w:tblLayout w:type="fixed"/>
        <w:tblLook w:val="04A0" w:firstRow="1" w:lastRow="0" w:firstColumn="1" w:lastColumn="0" w:noHBand="0" w:noVBand="1"/>
      </w:tblPr>
      <w:tblGrid>
        <w:gridCol w:w="2119"/>
        <w:gridCol w:w="1134"/>
        <w:gridCol w:w="992"/>
        <w:gridCol w:w="1134"/>
        <w:gridCol w:w="283"/>
        <w:gridCol w:w="1134"/>
        <w:gridCol w:w="993"/>
        <w:gridCol w:w="1134"/>
        <w:gridCol w:w="283"/>
        <w:gridCol w:w="1559"/>
        <w:gridCol w:w="1134"/>
        <w:gridCol w:w="1276"/>
      </w:tblGrid>
      <w:tr w:rsidR="009F455B" w:rsidRPr="00EC6C01" w14:paraId="3EFCD358" w14:textId="77777777" w:rsidTr="00AB26EE">
        <w:trPr>
          <w:trHeight w:val="288"/>
        </w:trPr>
        <w:tc>
          <w:tcPr>
            <w:tcW w:w="2119" w:type="dxa"/>
            <w:tcBorders>
              <w:top w:val="single" w:sz="12" w:space="0" w:color="auto"/>
            </w:tcBorders>
            <w:shd w:val="clear" w:color="auto" w:fill="auto"/>
            <w:noWrap/>
            <w:hideMark/>
          </w:tcPr>
          <w:p w14:paraId="5BDEF924"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3260" w:type="dxa"/>
            <w:gridSpan w:val="3"/>
            <w:tcBorders>
              <w:top w:val="single" w:sz="12" w:space="0" w:color="auto"/>
            </w:tcBorders>
            <w:shd w:val="clear" w:color="auto" w:fill="auto"/>
            <w:noWrap/>
            <w:hideMark/>
          </w:tcPr>
          <w:p w14:paraId="1408BF4F"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No time lag</w:t>
            </w:r>
          </w:p>
        </w:tc>
        <w:tc>
          <w:tcPr>
            <w:tcW w:w="283" w:type="dxa"/>
            <w:tcBorders>
              <w:top w:val="single" w:sz="12" w:space="0" w:color="auto"/>
            </w:tcBorders>
          </w:tcPr>
          <w:p w14:paraId="2E9FFC6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261" w:type="dxa"/>
            <w:gridSpan w:val="3"/>
            <w:tcBorders>
              <w:top w:val="single" w:sz="12" w:space="0" w:color="auto"/>
            </w:tcBorders>
            <w:shd w:val="clear" w:color="auto" w:fill="auto"/>
            <w:noWrap/>
            <w:hideMark/>
          </w:tcPr>
          <w:p w14:paraId="4AA22EC4"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1 year time lag</w:t>
            </w:r>
          </w:p>
        </w:tc>
        <w:tc>
          <w:tcPr>
            <w:tcW w:w="283" w:type="dxa"/>
            <w:tcBorders>
              <w:top w:val="single" w:sz="12" w:space="0" w:color="auto"/>
            </w:tcBorders>
          </w:tcPr>
          <w:p w14:paraId="4AE8F60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969" w:type="dxa"/>
            <w:gridSpan w:val="3"/>
            <w:tcBorders>
              <w:top w:val="single" w:sz="12" w:space="0" w:color="auto"/>
            </w:tcBorders>
            <w:shd w:val="clear" w:color="auto" w:fill="auto"/>
            <w:noWrap/>
            <w:hideMark/>
          </w:tcPr>
          <w:p w14:paraId="66329EA3"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2 year time lag</w:t>
            </w:r>
          </w:p>
        </w:tc>
      </w:tr>
      <w:tr w:rsidR="009F455B" w:rsidRPr="00EC6C01" w14:paraId="643CD9E4" w14:textId="77777777" w:rsidTr="00AB26EE">
        <w:trPr>
          <w:trHeight w:val="288"/>
        </w:trPr>
        <w:tc>
          <w:tcPr>
            <w:tcW w:w="2119" w:type="dxa"/>
            <w:tcBorders>
              <w:bottom w:val="single" w:sz="12" w:space="0" w:color="auto"/>
            </w:tcBorders>
            <w:shd w:val="clear" w:color="auto" w:fill="auto"/>
            <w:noWrap/>
            <w:hideMark/>
          </w:tcPr>
          <w:p w14:paraId="0444A1AD"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Variable</w:t>
            </w:r>
          </w:p>
        </w:tc>
        <w:tc>
          <w:tcPr>
            <w:tcW w:w="1134" w:type="dxa"/>
            <w:tcBorders>
              <w:top w:val="single" w:sz="6" w:space="0" w:color="auto"/>
              <w:bottom w:val="single" w:sz="12" w:space="0" w:color="auto"/>
            </w:tcBorders>
            <w:shd w:val="clear" w:color="auto" w:fill="auto"/>
            <w:noWrap/>
            <w:hideMark/>
          </w:tcPr>
          <w:p w14:paraId="57FB20FE"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2" w:type="dxa"/>
            <w:tcBorders>
              <w:top w:val="single" w:sz="6" w:space="0" w:color="auto"/>
              <w:bottom w:val="single" w:sz="12" w:space="0" w:color="auto"/>
            </w:tcBorders>
            <w:shd w:val="clear" w:color="auto" w:fill="auto"/>
            <w:noWrap/>
            <w:hideMark/>
          </w:tcPr>
          <w:p w14:paraId="582DA47C"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6A0C1EA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Rate ratio</w:t>
            </w:r>
            <w:r w:rsidRPr="00D05083">
              <w:rPr>
                <w:rFonts w:ascii="Calibri" w:eastAsia="Times New Roman" w:hAnsi="Calibri" w:cs="Calibri"/>
                <w:b/>
                <w:bCs/>
                <w:color w:val="000000"/>
                <w:sz w:val="20"/>
                <w:szCs w:val="20"/>
                <w:vertAlign w:val="superscript"/>
                <w:lang w:eastAsia="en-GB"/>
              </w:rPr>
              <w:t>a</w:t>
            </w:r>
          </w:p>
        </w:tc>
        <w:tc>
          <w:tcPr>
            <w:tcW w:w="283" w:type="dxa"/>
            <w:tcBorders>
              <w:bottom w:val="single" w:sz="12" w:space="0" w:color="auto"/>
            </w:tcBorders>
          </w:tcPr>
          <w:p w14:paraId="6E02002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134" w:type="dxa"/>
            <w:tcBorders>
              <w:top w:val="single" w:sz="6" w:space="0" w:color="auto"/>
              <w:bottom w:val="single" w:sz="12" w:space="0" w:color="auto"/>
            </w:tcBorders>
            <w:shd w:val="clear" w:color="auto" w:fill="auto"/>
            <w:noWrap/>
            <w:hideMark/>
          </w:tcPr>
          <w:p w14:paraId="5DCCDD8A"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3" w:type="dxa"/>
            <w:tcBorders>
              <w:top w:val="single" w:sz="6" w:space="0" w:color="auto"/>
              <w:bottom w:val="single" w:sz="12" w:space="0" w:color="auto"/>
            </w:tcBorders>
            <w:shd w:val="clear" w:color="auto" w:fill="auto"/>
            <w:noWrap/>
            <w:hideMark/>
          </w:tcPr>
          <w:p w14:paraId="175BDD43"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3A441CEC"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Rate ratio</w:t>
            </w:r>
            <w:r w:rsidRPr="00D05083">
              <w:rPr>
                <w:rFonts w:ascii="Calibri" w:eastAsia="Times New Roman" w:hAnsi="Calibri" w:cs="Calibri"/>
                <w:b/>
                <w:bCs/>
                <w:color w:val="000000"/>
                <w:sz w:val="20"/>
                <w:szCs w:val="20"/>
                <w:vertAlign w:val="superscript"/>
                <w:lang w:eastAsia="en-GB"/>
              </w:rPr>
              <w:t>a</w:t>
            </w:r>
          </w:p>
        </w:tc>
        <w:tc>
          <w:tcPr>
            <w:tcW w:w="283" w:type="dxa"/>
            <w:tcBorders>
              <w:bottom w:val="single" w:sz="12" w:space="0" w:color="auto"/>
            </w:tcBorders>
          </w:tcPr>
          <w:p w14:paraId="62164B72"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559" w:type="dxa"/>
            <w:tcBorders>
              <w:top w:val="single" w:sz="6" w:space="0" w:color="auto"/>
              <w:bottom w:val="single" w:sz="12" w:space="0" w:color="auto"/>
            </w:tcBorders>
            <w:shd w:val="clear" w:color="auto" w:fill="auto"/>
            <w:noWrap/>
            <w:hideMark/>
          </w:tcPr>
          <w:p w14:paraId="0C5939B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1134" w:type="dxa"/>
            <w:tcBorders>
              <w:top w:val="single" w:sz="6" w:space="0" w:color="auto"/>
              <w:bottom w:val="single" w:sz="12" w:space="0" w:color="auto"/>
            </w:tcBorders>
            <w:shd w:val="clear" w:color="auto" w:fill="auto"/>
            <w:noWrap/>
            <w:hideMark/>
          </w:tcPr>
          <w:p w14:paraId="5608117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276" w:type="dxa"/>
            <w:tcBorders>
              <w:top w:val="single" w:sz="6" w:space="0" w:color="auto"/>
              <w:bottom w:val="single" w:sz="12" w:space="0" w:color="auto"/>
            </w:tcBorders>
          </w:tcPr>
          <w:p w14:paraId="0E94242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Rate ratio</w:t>
            </w:r>
            <w:r w:rsidRPr="00D05083">
              <w:rPr>
                <w:rFonts w:ascii="Calibri" w:eastAsia="Times New Roman" w:hAnsi="Calibri" w:cs="Calibri"/>
                <w:b/>
                <w:bCs/>
                <w:color w:val="000000"/>
                <w:sz w:val="20"/>
                <w:szCs w:val="20"/>
                <w:vertAlign w:val="superscript"/>
                <w:lang w:eastAsia="en-GB"/>
              </w:rPr>
              <w:t>a</w:t>
            </w:r>
          </w:p>
        </w:tc>
      </w:tr>
      <w:tr w:rsidR="009F455B" w:rsidRPr="00EC6C01" w14:paraId="48515D5B" w14:textId="77777777" w:rsidTr="00AB26EE">
        <w:trPr>
          <w:trHeight w:val="288"/>
        </w:trPr>
        <w:tc>
          <w:tcPr>
            <w:tcW w:w="2119" w:type="dxa"/>
            <w:tcBorders>
              <w:top w:val="single" w:sz="12" w:space="0" w:color="auto"/>
            </w:tcBorders>
            <w:shd w:val="clear" w:color="auto" w:fill="auto"/>
            <w:noWrap/>
            <w:hideMark/>
          </w:tcPr>
          <w:p w14:paraId="0D7FF039" w14:textId="40DBA1D3" w:rsidR="009F455B" w:rsidRPr="00EC6C01" w:rsidRDefault="0014476F" w:rsidP="00AB26EE">
            <w:pPr>
              <w:spacing w:after="0" w:line="240" w:lineRule="auto"/>
              <w:rPr>
                <w:rFonts w:ascii="Calibri" w:eastAsia="Times New Roman" w:hAnsi="Calibri" w:cs="Calibri"/>
                <w:b/>
                <w:bCs/>
                <w:i/>
                <w:iCs/>
                <w:color w:val="000000"/>
                <w:sz w:val="20"/>
                <w:szCs w:val="20"/>
                <w:lang w:eastAsia="en-GB"/>
              </w:rPr>
            </w:pPr>
            <w:r>
              <w:rPr>
                <w:rFonts w:ascii="Calibri" w:eastAsia="Times New Roman" w:hAnsi="Calibri" w:cs="Calibri"/>
                <w:b/>
                <w:bCs/>
                <w:i/>
                <w:iCs/>
                <w:color w:val="000000"/>
                <w:sz w:val="20"/>
                <w:szCs w:val="20"/>
                <w:lang w:eastAsia="en-GB"/>
              </w:rPr>
              <w:t>E</w:t>
            </w:r>
            <w:r w:rsidR="009F455B" w:rsidRPr="00EC6C01">
              <w:rPr>
                <w:rFonts w:ascii="Calibri" w:eastAsia="Times New Roman" w:hAnsi="Calibri" w:cs="Calibri"/>
                <w:b/>
                <w:bCs/>
                <w:i/>
                <w:iCs/>
                <w:color w:val="000000"/>
                <w:sz w:val="20"/>
                <w:szCs w:val="20"/>
                <w:lang w:eastAsia="en-GB"/>
              </w:rPr>
              <w:t>conom</w:t>
            </w:r>
            <w:r>
              <w:rPr>
                <w:rFonts w:ascii="Calibri" w:eastAsia="Times New Roman" w:hAnsi="Calibri" w:cs="Calibri"/>
                <w:b/>
                <w:bCs/>
                <w:i/>
                <w:iCs/>
                <w:color w:val="000000"/>
                <w:sz w:val="20"/>
                <w:szCs w:val="20"/>
                <w:lang w:eastAsia="en-GB"/>
              </w:rPr>
              <w:t>y</w:t>
            </w:r>
            <w:r w:rsidR="009F455B" w:rsidRPr="00EC6C01">
              <w:rPr>
                <w:rFonts w:ascii="Calibri" w:eastAsia="Times New Roman" w:hAnsi="Calibri" w:cs="Calibri"/>
                <w:b/>
                <w:bCs/>
                <w:i/>
                <w:iCs/>
                <w:color w:val="000000"/>
                <w:sz w:val="20"/>
                <w:szCs w:val="20"/>
                <w:lang w:eastAsia="en-GB"/>
              </w:rPr>
              <w:t xml:space="preserve"> </w:t>
            </w:r>
          </w:p>
        </w:tc>
        <w:tc>
          <w:tcPr>
            <w:tcW w:w="1134" w:type="dxa"/>
            <w:tcBorders>
              <w:top w:val="single" w:sz="12" w:space="0" w:color="auto"/>
            </w:tcBorders>
            <w:shd w:val="clear" w:color="auto" w:fill="auto"/>
            <w:noWrap/>
            <w:hideMark/>
          </w:tcPr>
          <w:p w14:paraId="002F7FDF"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12" w:space="0" w:color="auto"/>
            </w:tcBorders>
            <w:shd w:val="clear" w:color="auto" w:fill="auto"/>
            <w:noWrap/>
            <w:hideMark/>
          </w:tcPr>
          <w:p w14:paraId="3949343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486560F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744618C1"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40309E5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12" w:space="0" w:color="auto"/>
            </w:tcBorders>
            <w:shd w:val="clear" w:color="auto" w:fill="auto"/>
            <w:noWrap/>
            <w:hideMark/>
          </w:tcPr>
          <w:p w14:paraId="2436938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5CC6261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38B012D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12" w:space="0" w:color="auto"/>
            </w:tcBorders>
            <w:shd w:val="clear" w:color="auto" w:fill="auto"/>
            <w:noWrap/>
            <w:hideMark/>
          </w:tcPr>
          <w:p w14:paraId="55D00E8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29C97ED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12" w:space="0" w:color="auto"/>
            </w:tcBorders>
          </w:tcPr>
          <w:p w14:paraId="32141AB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5B4D6027" w14:textId="77777777" w:rsidTr="00AB26EE">
        <w:trPr>
          <w:trHeight w:val="288"/>
        </w:trPr>
        <w:tc>
          <w:tcPr>
            <w:tcW w:w="2119" w:type="dxa"/>
            <w:shd w:val="clear" w:color="auto" w:fill="auto"/>
            <w:hideMark/>
          </w:tcPr>
          <w:p w14:paraId="747750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GDP</w:t>
            </w:r>
          </w:p>
        </w:tc>
        <w:tc>
          <w:tcPr>
            <w:tcW w:w="1134" w:type="dxa"/>
            <w:shd w:val="clear" w:color="auto" w:fill="auto"/>
            <w:noWrap/>
            <w:hideMark/>
          </w:tcPr>
          <w:p w14:paraId="2056A7F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37778F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0BA55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770F26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30FBC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-0.01500</w:t>
            </w:r>
          </w:p>
        </w:tc>
        <w:tc>
          <w:tcPr>
            <w:tcW w:w="993" w:type="dxa"/>
            <w:shd w:val="clear" w:color="auto" w:fill="auto"/>
            <w:noWrap/>
            <w:hideMark/>
          </w:tcPr>
          <w:p w14:paraId="5DD074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0.00340</w:t>
            </w:r>
          </w:p>
        </w:tc>
        <w:tc>
          <w:tcPr>
            <w:tcW w:w="1134" w:type="dxa"/>
          </w:tcPr>
          <w:p w14:paraId="210CA0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0.985</w:t>
            </w:r>
          </w:p>
        </w:tc>
        <w:tc>
          <w:tcPr>
            <w:tcW w:w="283" w:type="dxa"/>
          </w:tcPr>
          <w:p w14:paraId="7C7599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69DF92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r>
              <w:rPr>
                <w:rFonts w:ascii="Calibri" w:eastAsia="Times New Roman" w:hAnsi="Calibri" w:cs="Calibri"/>
                <w:color w:val="000000"/>
                <w:sz w:val="20"/>
                <w:szCs w:val="20"/>
                <w:lang w:eastAsia="en-GB"/>
              </w:rPr>
              <w:t>*</w:t>
            </w:r>
          </w:p>
        </w:tc>
        <w:tc>
          <w:tcPr>
            <w:tcW w:w="1134" w:type="dxa"/>
            <w:shd w:val="clear" w:color="auto" w:fill="auto"/>
            <w:noWrap/>
            <w:hideMark/>
          </w:tcPr>
          <w:p w14:paraId="356B22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0.00390</w:t>
            </w:r>
          </w:p>
        </w:tc>
        <w:tc>
          <w:tcPr>
            <w:tcW w:w="1276" w:type="dxa"/>
          </w:tcPr>
          <w:p w14:paraId="6A084BB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0.974</w:t>
            </w:r>
          </w:p>
        </w:tc>
      </w:tr>
      <w:tr w:rsidR="009F455B" w:rsidRPr="00EC6C01" w14:paraId="3C9130C8" w14:textId="77777777" w:rsidTr="00AB26EE">
        <w:trPr>
          <w:trHeight w:val="420"/>
        </w:trPr>
        <w:tc>
          <w:tcPr>
            <w:tcW w:w="2119" w:type="dxa"/>
            <w:shd w:val="clear" w:color="auto" w:fill="auto"/>
            <w:hideMark/>
          </w:tcPr>
          <w:p w14:paraId="426EA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Agricultural proportion of GDP</w:t>
            </w:r>
          </w:p>
        </w:tc>
        <w:tc>
          <w:tcPr>
            <w:tcW w:w="1134" w:type="dxa"/>
            <w:shd w:val="clear" w:color="auto" w:fill="auto"/>
            <w:noWrap/>
            <w:hideMark/>
          </w:tcPr>
          <w:p w14:paraId="2AE09A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0.27000</w:t>
            </w:r>
          </w:p>
        </w:tc>
        <w:tc>
          <w:tcPr>
            <w:tcW w:w="992" w:type="dxa"/>
            <w:shd w:val="clear" w:color="auto" w:fill="auto"/>
            <w:noWrap/>
            <w:hideMark/>
          </w:tcPr>
          <w:p w14:paraId="059381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0.07000</w:t>
            </w:r>
          </w:p>
        </w:tc>
        <w:tc>
          <w:tcPr>
            <w:tcW w:w="1134" w:type="dxa"/>
          </w:tcPr>
          <w:p w14:paraId="06E0DD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1.310</w:t>
            </w:r>
          </w:p>
        </w:tc>
        <w:tc>
          <w:tcPr>
            <w:tcW w:w="283" w:type="dxa"/>
          </w:tcPr>
          <w:p w14:paraId="7BA2F85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1D60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0.25000</w:t>
            </w:r>
          </w:p>
        </w:tc>
        <w:tc>
          <w:tcPr>
            <w:tcW w:w="993" w:type="dxa"/>
            <w:shd w:val="clear" w:color="auto" w:fill="auto"/>
            <w:noWrap/>
            <w:hideMark/>
          </w:tcPr>
          <w:p w14:paraId="2011615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0.06600</w:t>
            </w:r>
          </w:p>
        </w:tc>
        <w:tc>
          <w:tcPr>
            <w:tcW w:w="1134" w:type="dxa"/>
          </w:tcPr>
          <w:p w14:paraId="55D0712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1.284</w:t>
            </w:r>
          </w:p>
        </w:tc>
        <w:tc>
          <w:tcPr>
            <w:tcW w:w="283" w:type="dxa"/>
          </w:tcPr>
          <w:p w14:paraId="38915BC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B7BAC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-0.03400</w:t>
            </w:r>
            <w:r>
              <w:rPr>
                <w:rFonts w:ascii="Calibri" w:eastAsia="Times New Roman" w:hAnsi="Calibri" w:cs="Calibri"/>
                <w:color w:val="000000"/>
                <w:sz w:val="20"/>
                <w:szCs w:val="20"/>
                <w:lang w:eastAsia="en-GB"/>
              </w:rPr>
              <w:t>*</w:t>
            </w:r>
          </w:p>
        </w:tc>
        <w:tc>
          <w:tcPr>
            <w:tcW w:w="1134" w:type="dxa"/>
            <w:shd w:val="clear" w:color="auto" w:fill="auto"/>
            <w:noWrap/>
            <w:hideMark/>
          </w:tcPr>
          <w:p w14:paraId="129A583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0.07600</w:t>
            </w:r>
          </w:p>
        </w:tc>
        <w:tc>
          <w:tcPr>
            <w:tcW w:w="1276" w:type="dxa"/>
          </w:tcPr>
          <w:p w14:paraId="4636BA2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0.967</w:t>
            </w:r>
          </w:p>
        </w:tc>
      </w:tr>
      <w:tr w:rsidR="009F455B" w:rsidRPr="00EC6C01" w14:paraId="04B7D2BE" w14:textId="77777777" w:rsidTr="00AB26EE">
        <w:trPr>
          <w:trHeight w:val="456"/>
        </w:trPr>
        <w:tc>
          <w:tcPr>
            <w:tcW w:w="2119" w:type="dxa"/>
            <w:shd w:val="clear" w:color="auto" w:fill="auto"/>
            <w:hideMark/>
          </w:tcPr>
          <w:p w14:paraId="290939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agriculture</w:t>
            </w:r>
          </w:p>
        </w:tc>
        <w:tc>
          <w:tcPr>
            <w:tcW w:w="1134" w:type="dxa"/>
            <w:shd w:val="clear" w:color="auto" w:fill="auto"/>
            <w:noWrap/>
            <w:hideMark/>
          </w:tcPr>
          <w:p w14:paraId="61F88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15C4206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01B18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4A82433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25934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3340E4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B8DC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69AACE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8D239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r>
              <w:rPr>
                <w:rFonts w:ascii="Calibri" w:eastAsia="Times New Roman" w:hAnsi="Calibri" w:cs="Calibri"/>
                <w:color w:val="000000"/>
                <w:sz w:val="20"/>
                <w:szCs w:val="20"/>
                <w:lang w:eastAsia="en-GB"/>
              </w:rPr>
              <w:t>*</w:t>
            </w:r>
          </w:p>
        </w:tc>
        <w:tc>
          <w:tcPr>
            <w:tcW w:w="1134" w:type="dxa"/>
            <w:shd w:val="clear" w:color="auto" w:fill="auto"/>
            <w:noWrap/>
            <w:hideMark/>
          </w:tcPr>
          <w:p w14:paraId="13EF6C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0.00020</w:t>
            </w:r>
          </w:p>
        </w:tc>
        <w:tc>
          <w:tcPr>
            <w:tcW w:w="1276" w:type="dxa"/>
          </w:tcPr>
          <w:p w14:paraId="6327B0D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03E15D13" w14:textId="77777777" w:rsidTr="00AB26EE">
        <w:trPr>
          <w:trHeight w:val="576"/>
        </w:trPr>
        <w:tc>
          <w:tcPr>
            <w:tcW w:w="2119" w:type="dxa"/>
            <w:shd w:val="clear" w:color="auto" w:fill="auto"/>
            <w:hideMark/>
          </w:tcPr>
          <w:p w14:paraId="1B1C84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environment</w:t>
            </w:r>
          </w:p>
        </w:tc>
        <w:tc>
          <w:tcPr>
            <w:tcW w:w="1134" w:type="dxa"/>
            <w:shd w:val="clear" w:color="auto" w:fill="auto"/>
            <w:noWrap/>
            <w:hideMark/>
          </w:tcPr>
          <w:p w14:paraId="300326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0.03100</w:t>
            </w:r>
          </w:p>
        </w:tc>
        <w:tc>
          <w:tcPr>
            <w:tcW w:w="992" w:type="dxa"/>
            <w:shd w:val="clear" w:color="auto" w:fill="auto"/>
            <w:noWrap/>
            <w:hideMark/>
          </w:tcPr>
          <w:p w14:paraId="03F2F5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0.00400</w:t>
            </w:r>
          </w:p>
        </w:tc>
        <w:tc>
          <w:tcPr>
            <w:tcW w:w="1134" w:type="dxa"/>
          </w:tcPr>
          <w:p w14:paraId="1AC44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1.031</w:t>
            </w:r>
          </w:p>
        </w:tc>
        <w:tc>
          <w:tcPr>
            <w:tcW w:w="283" w:type="dxa"/>
          </w:tcPr>
          <w:p w14:paraId="75F6D2F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908F79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080E76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DEF88D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59622E3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694136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-0.00260</w:t>
            </w:r>
            <w:r>
              <w:rPr>
                <w:rFonts w:ascii="Calibri" w:eastAsia="Times New Roman" w:hAnsi="Calibri" w:cs="Calibri"/>
                <w:color w:val="000000"/>
                <w:sz w:val="20"/>
                <w:szCs w:val="20"/>
                <w:lang w:eastAsia="en-GB"/>
              </w:rPr>
              <w:t>*</w:t>
            </w:r>
          </w:p>
        </w:tc>
        <w:tc>
          <w:tcPr>
            <w:tcW w:w="1134" w:type="dxa"/>
            <w:shd w:val="clear" w:color="auto" w:fill="auto"/>
            <w:noWrap/>
            <w:hideMark/>
          </w:tcPr>
          <w:p w14:paraId="19BA2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0.00450</w:t>
            </w:r>
          </w:p>
        </w:tc>
        <w:tc>
          <w:tcPr>
            <w:tcW w:w="1276" w:type="dxa"/>
          </w:tcPr>
          <w:p w14:paraId="1609753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633A64B4" w14:textId="77777777" w:rsidTr="00AB26EE">
        <w:trPr>
          <w:trHeight w:val="288"/>
        </w:trPr>
        <w:tc>
          <w:tcPr>
            <w:tcW w:w="2119" w:type="dxa"/>
            <w:shd w:val="clear" w:color="auto" w:fill="auto"/>
            <w:hideMark/>
          </w:tcPr>
          <w:p w14:paraId="77BC6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Foreign direct investment</w:t>
            </w:r>
          </w:p>
        </w:tc>
        <w:tc>
          <w:tcPr>
            <w:tcW w:w="1134" w:type="dxa"/>
            <w:shd w:val="clear" w:color="auto" w:fill="auto"/>
            <w:noWrap/>
            <w:hideMark/>
          </w:tcPr>
          <w:p w14:paraId="112C848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73E4115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F79431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A0EB9B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1F799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0.00360</w:t>
            </w:r>
          </w:p>
        </w:tc>
        <w:tc>
          <w:tcPr>
            <w:tcW w:w="993" w:type="dxa"/>
            <w:shd w:val="clear" w:color="auto" w:fill="auto"/>
            <w:noWrap/>
            <w:hideMark/>
          </w:tcPr>
          <w:p w14:paraId="72D4B5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0.00050</w:t>
            </w:r>
          </w:p>
        </w:tc>
        <w:tc>
          <w:tcPr>
            <w:tcW w:w="1134" w:type="dxa"/>
          </w:tcPr>
          <w:p w14:paraId="655043C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534436B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AF46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0.00040</w:t>
            </w:r>
            <w:r>
              <w:rPr>
                <w:rFonts w:ascii="Calibri" w:eastAsia="Times New Roman" w:hAnsi="Calibri" w:cs="Calibri"/>
                <w:color w:val="000000"/>
                <w:sz w:val="20"/>
                <w:szCs w:val="20"/>
                <w:lang w:eastAsia="en-GB"/>
              </w:rPr>
              <w:t>*</w:t>
            </w:r>
          </w:p>
        </w:tc>
        <w:tc>
          <w:tcPr>
            <w:tcW w:w="1134" w:type="dxa"/>
            <w:shd w:val="clear" w:color="auto" w:fill="auto"/>
            <w:noWrap/>
            <w:hideMark/>
          </w:tcPr>
          <w:p w14:paraId="0C59B6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0.00060</w:t>
            </w:r>
          </w:p>
        </w:tc>
        <w:tc>
          <w:tcPr>
            <w:tcW w:w="1276" w:type="dxa"/>
          </w:tcPr>
          <w:p w14:paraId="68C832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BDFB9D1" w14:textId="77777777" w:rsidTr="00AB26EE">
        <w:trPr>
          <w:trHeight w:val="288"/>
        </w:trPr>
        <w:tc>
          <w:tcPr>
            <w:tcW w:w="2119" w:type="dxa"/>
            <w:shd w:val="clear" w:color="auto" w:fill="auto"/>
            <w:hideMark/>
          </w:tcPr>
          <w:p w14:paraId="5236449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Population density</w:t>
            </w:r>
          </w:p>
        </w:tc>
        <w:tc>
          <w:tcPr>
            <w:tcW w:w="1134" w:type="dxa"/>
            <w:shd w:val="clear" w:color="auto" w:fill="auto"/>
            <w:noWrap/>
            <w:hideMark/>
          </w:tcPr>
          <w:p w14:paraId="06F2A1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-4.43000</w:t>
            </w:r>
          </w:p>
        </w:tc>
        <w:tc>
          <w:tcPr>
            <w:tcW w:w="992" w:type="dxa"/>
            <w:shd w:val="clear" w:color="auto" w:fill="auto"/>
            <w:noWrap/>
            <w:hideMark/>
          </w:tcPr>
          <w:p w14:paraId="25270E5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0.85000</w:t>
            </w:r>
          </w:p>
        </w:tc>
        <w:tc>
          <w:tcPr>
            <w:tcW w:w="1134" w:type="dxa"/>
          </w:tcPr>
          <w:p w14:paraId="665DE7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0.012</w:t>
            </w:r>
          </w:p>
        </w:tc>
        <w:tc>
          <w:tcPr>
            <w:tcW w:w="283" w:type="dxa"/>
          </w:tcPr>
          <w:p w14:paraId="3B7CDB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FFE0D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-6.09000</w:t>
            </w:r>
          </w:p>
        </w:tc>
        <w:tc>
          <w:tcPr>
            <w:tcW w:w="993" w:type="dxa"/>
            <w:shd w:val="clear" w:color="auto" w:fill="auto"/>
            <w:noWrap/>
            <w:hideMark/>
          </w:tcPr>
          <w:p w14:paraId="106A09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0.81000</w:t>
            </w:r>
          </w:p>
        </w:tc>
        <w:tc>
          <w:tcPr>
            <w:tcW w:w="1134" w:type="dxa"/>
          </w:tcPr>
          <w:p w14:paraId="4EFD6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0.002</w:t>
            </w:r>
          </w:p>
        </w:tc>
        <w:tc>
          <w:tcPr>
            <w:tcW w:w="283" w:type="dxa"/>
          </w:tcPr>
          <w:p w14:paraId="69F6194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1349ED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-7.68000</w:t>
            </w:r>
            <w:r>
              <w:rPr>
                <w:rFonts w:ascii="Calibri" w:eastAsia="Times New Roman" w:hAnsi="Calibri" w:cs="Calibri"/>
                <w:color w:val="000000"/>
                <w:sz w:val="20"/>
                <w:szCs w:val="20"/>
                <w:lang w:eastAsia="en-GB"/>
              </w:rPr>
              <w:t>*</w:t>
            </w:r>
          </w:p>
        </w:tc>
        <w:tc>
          <w:tcPr>
            <w:tcW w:w="1134" w:type="dxa"/>
            <w:shd w:val="clear" w:color="auto" w:fill="auto"/>
            <w:noWrap/>
            <w:hideMark/>
          </w:tcPr>
          <w:p w14:paraId="7ABEAD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0.95000</w:t>
            </w:r>
          </w:p>
        </w:tc>
        <w:tc>
          <w:tcPr>
            <w:tcW w:w="1276" w:type="dxa"/>
          </w:tcPr>
          <w:p w14:paraId="0010B4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w:t>
            </w:r>
          </w:p>
        </w:tc>
      </w:tr>
      <w:tr w:rsidR="009F455B" w:rsidRPr="00EC6C01" w14:paraId="05067388" w14:textId="77777777" w:rsidTr="00AB26EE">
        <w:trPr>
          <w:trHeight w:val="288"/>
        </w:trPr>
        <w:tc>
          <w:tcPr>
            <w:tcW w:w="2119" w:type="dxa"/>
            <w:tcBorders>
              <w:bottom w:val="single" w:sz="6" w:space="0" w:color="auto"/>
            </w:tcBorders>
            <w:shd w:val="clear" w:color="auto" w:fill="auto"/>
            <w:hideMark/>
          </w:tcPr>
          <w:p w14:paraId="70E85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6" w:space="0" w:color="auto"/>
            </w:tcBorders>
            <w:shd w:val="clear" w:color="auto" w:fill="auto"/>
            <w:noWrap/>
            <w:hideMark/>
          </w:tcPr>
          <w:p w14:paraId="1BEF54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-0.00030</w:t>
            </w:r>
          </w:p>
        </w:tc>
        <w:tc>
          <w:tcPr>
            <w:tcW w:w="992" w:type="dxa"/>
            <w:tcBorders>
              <w:bottom w:val="single" w:sz="6" w:space="0" w:color="auto"/>
            </w:tcBorders>
            <w:shd w:val="clear" w:color="auto" w:fill="auto"/>
            <w:noWrap/>
            <w:hideMark/>
          </w:tcPr>
          <w:p w14:paraId="47847B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408D75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0DD36C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02E8BC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3" w:type="dxa"/>
            <w:tcBorders>
              <w:bottom w:val="single" w:sz="6" w:space="0" w:color="auto"/>
            </w:tcBorders>
            <w:shd w:val="clear" w:color="auto" w:fill="auto"/>
            <w:noWrap/>
            <w:hideMark/>
          </w:tcPr>
          <w:p w14:paraId="359949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54AA50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24DF13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1CE97C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445885F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p>
        </w:tc>
        <w:tc>
          <w:tcPr>
            <w:tcW w:w="1276" w:type="dxa"/>
            <w:tcBorders>
              <w:bottom w:val="single" w:sz="6" w:space="0" w:color="auto"/>
            </w:tcBorders>
          </w:tcPr>
          <w:p w14:paraId="13176E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2A638956" w14:textId="77777777" w:rsidTr="00AB26EE">
        <w:trPr>
          <w:trHeight w:val="288"/>
        </w:trPr>
        <w:tc>
          <w:tcPr>
            <w:tcW w:w="2119" w:type="dxa"/>
            <w:tcBorders>
              <w:top w:val="single" w:sz="6" w:space="0" w:color="auto"/>
            </w:tcBorders>
            <w:shd w:val="clear" w:color="auto" w:fill="auto"/>
            <w:noWrap/>
            <w:hideMark/>
          </w:tcPr>
          <w:p w14:paraId="638AD330"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Commodity / production</w:t>
            </w:r>
          </w:p>
        </w:tc>
        <w:tc>
          <w:tcPr>
            <w:tcW w:w="1134" w:type="dxa"/>
            <w:tcBorders>
              <w:top w:val="single" w:sz="6" w:space="0" w:color="auto"/>
            </w:tcBorders>
            <w:shd w:val="clear" w:color="auto" w:fill="auto"/>
            <w:noWrap/>
            <w:hideMark/>
          </w:tcPr>
          <w:p w14:paraId="5FD4CDC6"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01E7100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85DBF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5F88296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05A9431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497F87B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3C85964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BE3CB4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1CF9812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2ADCE82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77C3B7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13531672" w14:textId="77777777" w:rsidTr="00AB26EE">
        <w:trPr>
          <w:trHeight w:val="576"/>
        </w:trPr>
        <w:tc>
          <w:tcPr>
            <w:tcW w:w="2119" w:type="dxa"/>
            <w:shd w:val="clear" w:color="auto" w:fill="auto"/>
            <w:hideMark/>
          </w:tcPr>
          <w:p w14:paraId="4798680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corn</w:t>
            </w:r>
          </w:p>
        </w:tc>
        <w:tc>
          <w:tcPr>
            <w:tcW w:w="1134" w:type="dxa"/>
            <w:shd w:val="clear" w:color="auto" w:fill="auto"/>
            <w:noWrap/>
            <w:hideMark/>
          </w:tcPr>
          <w:p w14:paraId="3CDADE4F" w14:textId="77777777" w:rsidR="009F455B" w:rsidRPr="00E92ACF" w:rsidRDefault="009F455B" w:rsidP="00AB26EE">
            <w:pPr>
              <w:rPr>
                <w:rFonts w:ascii="Calibri" w:hAnsi="Calibri" w:cs="Calibri"/>
                <w:color w:val="000000"/>
              </w:rPr>
            </w:pPr>
            <w:r>
              <w:rPr>
                <w:rFonts w:ascii="Calibri" w:hAnsi="Calibri" w:cs="Calibri"/>
                <w:color w:val="000000"/>
              </w:rPr>
              <w:t>-0.00330</w:t>
            </w:r>
          </w:p>
        </w:tc>
        <w:tc>
          <w:tcPr>
            <w:tcW w:w="992" w:type="dxa"/>
            <w:shd w:val="clear" w:color="auto" w:fill="auto"/>
            <w:noWrap/>
            <w:hideMark/>
          </w:tcPr>
          <w:p w14:paraId="338F3E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0.005697</w:t>
            </w:r>
          </w:p>
        </w:tc>
        <w:tc>
          <w:tcPr>
            <w:tcW w:w="1134" w:type="dxa"/>
          </w:tcPr>
          <w:p w14:paraId="195A27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c>
          <w:tcPr>
            <w:tcW w:w="283" w:type="dxa"/>
          </w:tcPr>
          <w:p w14:paraId="32A8306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956DB0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0.00704</w:t>
            </w:r>
            <w:r>
              <w:rPr>
                <w:rFonts w:ascii="Calibri" w:eastAsia="Times New Roman" w:hAnsi="Calibri" w:cs="Calibri"/>
                <w:color w:val="000000"/>
                <w:sz w:val="20"/>
                <w:szCs w:val="20"/>
                <w:lang w:eastAsia="en-GB"/>
              </w:rPr>
              <w:t>*</w:t>
            </w:r>
          </w:p>
        </w:tc>
        <w:tc>
          <w:tcPr>
            <w:tcW w:w="993" w:type="dxa"/>
            <w:shd w:val="clear" w:color="auto" w:fill="auto"/>
            <w:noWrap/>
            <w:hideMark/>
          </w:tcPr>
          <w:p w14:paraId="141C96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0.00647</w:t>
            </w:r>
          </w:p>
        </w:tc>
        <w:tc>
          <w:tcPr>
            <w:tcW w:w="1134" w:type="dxa"/>
          </w:tcPr>
          <w:p w14:paraId="27C842F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48BDC9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3F5C56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-0.00365</w:t>
            </w:r>
            <w:r>
              <w:rPr>
                <w:rFonts w:ascii="Calibri" w:eastAsia="Times New Roman" w:hAnsi="Calibri" w:cs="Calibri"/>
                <w:color w:val="000000"/>
                <w:sz w:val="20"/>
                <w:szCs w:val="20"/>
                <w:lang w:eastAsia="en-GB"/>
              </w:rPr>
              <w:t>*</w:t>
            </w:r>
          </w:p>
        </w:tc>
        <w:tc>
          <w:tcPr>
            <w:tcW w:w="1134" w:type="dxa"/>
            <w:shd w:val="clear" w:color="auto" w:fill="auto"/>
            <w:noWrap/>
            <w:hideMark/>
          </w:tcPr>
          <w:p w14:paraId="76A1E6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0.00329</w:t>
            </w:r>
          </w:p>
        </w:tc>
        <w:tc>
          <w:tcPr>
            <w:tcW w:w="1276" w:type="dxa"/>
          </w:tcPr>
          <w:p w14:paraId="3C152C5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10B4F76E" w14:textId="77777777" w:rsidTr="00AB26EE">
        <w:trPr>
          <w:trHeight w:val="576"/>
        </w:trPr>
        <w:tc>
          <w:tcPr>
            <w:tcW w:w="2119" w:type="dxa"/>
            <w:shd w:val="clear" w:color="auto" w:fill="auto"/>
            <w:hideMark/>
          </w:tcPr>
          <w:p w14:paraId="7590CB2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rice</w:t>
            </w:r>
          </w:p>
        </w:tc>
        <w:tc>
          <w:tcPr>
            <w:tcW w:w="1134" w:type="dxa"/>
            <w:shd w:val="clear" w:color="auto" w:fill="auto"/>
            <w:noWrap/>
            <w:hideMark/>
          </w:tcPr>
          <w:p w14:paraId="4ECEC3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0.009324</w:t>
            </w:r>
          </w:p>
        </w:tc>
        <w:tc>
          <w:tcPr>
            <w:tcW w:w="992" w:type="dxa"/>
            <w:shd w:val="clear" w:color="auto" w:fill="auto"/>
            <w:noWrap/>
            <w:hideMark/>
          </w:tcPr>
          <w:p w14:paraId="6D209D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0.00198</w:t>
            </w:r>
          </w:p>
        </w:tc>
        <w:tc>
          <w:tcPr>
            <w:tcW w:w="1134" w:type="dxa"/>
          </w:tcPr>
          <w:p w14:paraId="174FF97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c>
          <w:tcPr>
            <w:tcW w:w="283" w:type="dxa"/>
          </w:tcPr>
          <w:p w14:paraId="7222C8E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B827BB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-0.00429</w:t>
            </w:r>
            <w:r>
              <w:rPr>
                <w:rFonts w:ascii="Calibri" w:eastAsia="Times New Roman" w:hAnsi="Calibri" w:cs="Calibri"/>
                <w:color w:val="000000"/>
                <w:sz w:val="20"/>
                <w:szCs w:val="20"/>
                <w:lang w:eastAsia="en-GB"/>
              </w:rPr>
              <w:t>*</w:t>
            </w:r>
          </w:p>
        </w:tc>
        <w:tc>
          <w:tcPr>
            <w:tcW w:w="993" w:type="dxa"/>
            <w:shd w:val="clear" w:color="auto" w:fill="auto"/>
            <w:noWrap/>
            <w:hideMark/>
          </w:tcPr>
          <w:p w14:paraId="17D0289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0.00272</w:t>
            </w:r>
          </w:p>
        </w:tc>
        <w:tc>
          <w:tcPr>
            <w:tcW w:w="1134" w:type="dxa"/>
          </w:tcPr>
          <w:p w14:paraId="27B2FD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c>
          <w:tcPr>
            <w:tcW w:w="283" w:type="dxa"/>
          </w:tcPr>
          <w:p w14:paraId="18BEA6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5182C3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6B66308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0.00058</w:t>
            </w:r>
          </w:p>
        </w:tc>
        <w:tc>
          <w:tcPr>
            <w:tcW w:w="1276" w:type="dxa"/>
          </w:tcPr>
          <w:p w14:paraId="4A61458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6B143729" w14:textId="77777777" w:rsidTr="00AB26EE">
        <w:trPr>
          <w:trHeight w:val="576"/>
        </w:trPr>
        <w:tc>
          <w:tcPr>
            <w:tcW w:w="2119" w:type="dxa"/>
            <w:shd w:val="clear" w:color="auto" w:fill="auto"/>
            <w:hideMark/>
          </w:tcPr>
          <w:p w14:paraId="0984F0F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rubber</w:t>
            </w:r>
          </w:p>
        </w:tc>
        <w:tc>
          <w:tcPr>
            <w:tcW w:w="1134" w:type="dxa"/>
            <w:shd w:val="clear" w:color="auto" w:fill="auto"/>
            <w:noWrap/>
            <w:hideMark/>
          </w:tcPr>
          <w:p w14:paraId="4C1CB1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0.001247</w:t>
            </w:r>
          </w:p>
        </w:tc>
        <w:tc>
          <w:tcPr>
            <w:tcW w:w="992" w:type="dxa"/>
            <w:shd w:val="clear" w:color="auto" w:fill="auto"/>
            <w:noWrap/>
            <w:hideMark/>
          </w:tcPr>
          <w:p w14:paraId="03C34B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0.0002</w:t>
            </w:r>
            <w:r>
              <w:rPr>
                <w:rFonts w:ascii="Calibri" w:eastAsia="Times New Roman" w:hAnsi="Calibri" w:cs="Calibri"/>
                <w:color w:val="000000"/>
                <w:sz w:val="20"/>
                <w:szCs w:val="20"/>
                <w:lang w:eastAsia="en-GB"/>
              </w:rPr>
              <w:t>4</w:t>
            </w:r>
          </w:p>
        </w:tc>
        <w:tc>
          <w:tcPr>
            <w:tcW w:w="1134" w:type="dxa"/>
          </w:tcPr>
          <w:p w14:paraId="762C916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1.001</w:t>
            </w:r>
          </w:p>
        </w:tc>
        <w:tc>
          <w:tcPr>
            <w:tcW w:w="283" w:type="dxa"/>
          </w:tcPr>
          <w:p w14:paraId="26D3F5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C73FB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0.00019</w:t>
            </w:r>
            <w:r>
              <w:rPr>
                <w:rFonts w:ascii="Calibri" w:eastAsia="Times New Roman" w:hAnsi="Calibri" w:cs="Calibri"/>
                <w:color w:val="000000"/>
                <w:sz w:val="20"/>
                <w:szCs w:val="20"/>
                <w:lang w:eastAsia="en-GB"/>
              </w:rPr>
              <w:t>*</w:t>
            </w:r>
          </w:p>
        </w:tc>
        <w:tc>
          <w:tcPr>
            <w:tcW w:w="993" w:type="dxa"/>
            <w:shd w:val="clear" w:color="auto" w:fill="auto"/>
            <w:noWrap/>
            <w:hideMark/>
          </w:tcPr>
          <w:p w14:paraId="788BF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0.00022</w:t>
            </w:r>
          </w:p>
        </w:tc>
        <w:tc>
          <w:tcPr>
            <w:tcW w:w="1134" w:type="dxa"/>
          </w:tcPr>
          <w:p w14:paraId="2D1090B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F8B6DC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2FE595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02B5F2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0.00009</w:t>
            </w:r>
          </w:p>
        </w:tc>
        <w:tc>
          <w:tcPr>
            <w:tcW w:w="1276" w:type="dxa"/>
          </w:tcPr>
          <w:p w14:paraId="191238A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5E527E89" w14:textId="77777777" w:rsidTr="00AB26EE">
        <w:trPr>
          <w:trHeight w:val="576"/>
        </w:trPr>
        <w:tc>
          <w:tcPr>
            <w:tcW w:w="2119" w:type="dxa"/>
            <w:shd w:val="clear" w:color="auto" w:fill="auto"/>
            <w:hideMark/>
          </w:tcPr>
          <w:p w14:paraId="0194FE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sugar</w:t>
            </w:r>
          </w:p>
        </w:tc>
        <w:tc>
          <w:tcPr>
            <w:tcW w:w="1134" w:type="dxa"/>
            <w:shd w:val="clear" w:color="auto" w:fill="auto"/>
            <w:noWrap/>
            <w:hideMark/>
          </w:tcPr>
          <w:p w14:paraId="4BE9EB4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-0.00005</w:t>
            </w:r>
          </w:p>
        </w:tc>
        <w:tc>
          <w:tcPr>
            <w:tcW w:w="992" w:type="dxa"/>
            <w:shd w:val="clear" w:color="auto" w:fill="auto"/>
            <w:noWrap/>
            <w:hideMark/>
          </w:tcPr>
          <w:p w14:paraId="67F41EC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0.001931</w:t>
            </w:r>
          </w:p>
        </w:tc>
        <w:tc>
          <w:tcPr>
            <w:tcW w:w="1134" w:type="dxa"/>
          </w:tcPr>
          <w:p w14:paraId="1B4E3DC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p>
        </w:tc>
        <w:tc>
          <w:tcPr>
            <w:tcW w:w="283" w:type="dxa"/>
          </w:tcPr>
          <w:p w14:paraId="23A56BB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C23071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0.00708</w:t>
            </w:r>
            <w:r>
              <w:rPr>
                <w:rFonts w:ascii="Calibri" w:eastAsia="Times New Roman" w:hAnsi="Calibri" w:cs="Calibri"/>
                <w:color w:val="000000"/>
                <w:sz w:val="20"/>
                <w:szCs w:val="20"/>
                <w:lang w:eastAsia="en-GB"/>
              </w:rPr>
              <w:t>*</w:t>
            </w:r>
          </w:p>
        </w:tc>
        <w:tc>
          <w:tcPr>
            <w:tcW w:w="993" w:type="dxa"/>
            <w:shd w:val="clear" w:color="auto" w:fill="auto"/>
            <w:noWrap/>
            <w:hideMark/>
          </w:tcPr>
          <w:p w14:paraId="06D366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0.00127</w:t>
            </w:r>
          </w:p>
        </w:tc>
        <w:tc>
          <w:tcPr>
            <w:tcW w:w="1134" w:type="dxa"/>
          </w:tcPr>
          <w:p w14:paraId="771BAC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BC1F9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B7F8F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0.00877</w:t>
            </w:r>
            <w:r>
              <w:rPr>
                <w:rFonts w:ascii="Calibri" w:eastAsia="Times New Roman" w:hAnsi="Calibri" w:cs="Calibri"/>
                <w:color w:val="000000"/>
                <w:sz w:val="20"/>
                <w:szCs w:val="20"/>
                <w:lang w:eastAsia="en-GB"/>
              </w:rPr>
              <w:t>*</w:t>
            </w:r>
          </w:p>
        </w:tc>
        <w:tc>
          <w:tcPr>
            <w:tcW w:w="1134" w:type="dxa"/>
            <w:shd w:val="clear" w:color="auto" w:fill="auto"/>
            <w:noWrap/>
            <w:hideMark/>
          </w:tcPr>
          <w:p w14:paraId="47B10E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0.00124</w:t>
            </w:r>
          </w:p>
        </w:tc>
        <w:tc>
          <w:tcPr>
            <w:tcW w:w="1276" w:type="dxa"/>
          </w:tcPr>
          <w:p w14:paraId="6E98286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9F455B" w:rsidRPr="00EC6C01" w14:paraId="163AAB56" w14:textId="77777777" w:rsidTr="00AB26EE">
        <w:trPr>
          <w:trHeight w:val="576"/>
        </w:trPr>
        <w:tc>
          <w:tcPr>
            <w:tcW w:w="2119" w:type="dxa"/>
            <w:shd w:val="clear" w:color="auto" w:fill="auto"/>
            <w:hideMark/>
          </w:tcPr>
          <w:p w14:paraId="1DCD31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Non-food agricultural production index</w:t>
            </w:r>
          </w:p>
        </w:tc>
        <w:tc>
          <w:tcPr>
            <w:tcW w:w="1134" w:type="dxa"/>
            <w:shd w:val="clear" w:color="auto" w:fill="auto"/>
            <w:noWrap/>
            <w:hideMark/>
          </w:tcPr>
          <w:p w14:paraId="63F0CC4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-0.00995</w:t>
            </w:r>
          </w:p>
        </w:tc>
        <w:tc>
          <w:tcPr>
            <w:tcW w:w="992" w:type="dxa"/>
            <w:shd w:val="clear" w:color="auto" w:fill="auto"/>
            <w:noWrap/>
            <w:hideMark/>
          </w:tcPr>
          <w:p w14:paraId="27D96BE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0.00175</w:t>
            </w:r>
          </w:p>
        </w:tc>
        <w:tc>
          <w:tcPr>
            <w:tcW w:w="1134" w:type="dxa"/>
          </w:tcPr>
          <w:p w14:paraId="5B0E3C6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0.990</w:t>
            </w:r>
          </w:p>
        </w:tc>
        <w:tc>
          <w:tcPr>
            <w:tcW w:w="283" w:type="dxa"/>
          </w:tcPr>
          <w:p w14:paraId="4C3075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22B01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0.00672</w:t>
            </w:r>
            <w:r>
              <w:rPr>
                <w:rFonts w:ascii="Calibri" w:eastAsia="Times New Roman" w:hAnsi="Calibri" w:cs="Calibri"/>
                <w:color w:val="000000"/>
                <w:sz w:val="20"/>
                <w:szCs w:val="20"/>
                <w:lang w:eastAsia="en-GB"/>
              </w:rPr>
              <w:t>*</w:t>
            </w:r>
          </w:p>
        </w:tc>
        <w:tc>
          <w:tcPr>
            <w:tcW w:w="993" w:type="dxa"/>
            <w:shd w:val="clear" w:color="auto" w:fill="auto"/>
            <w:noWrap/>
            <w:hideMark/>
          </w:tcPr>
          <w:p w14:paraId="1FC9BAD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0.00264</w:t>
            </w:r>
          </w:p>
        </w:tc>
        <w:tc>
          <w:tcPr>
            <w:tcW w:w="1134" w:type="dxa"/>
          </w:tcPr>
          <w:p w14:paraId="1912BB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EA1AA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B1F24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-0.00149</w:t>
            </w:r>
            <w:r>
              <w:rPr>
                <w:rFonts w:ascii="Calibri" w:eastAsia="Times New Roman" w:hAnsi="Calibri" w:cs="Calibri"/>
                <w:color w:val="000000"/>
                <w:sz w:val="20"/>
                <w:szCs w:val="20"/>
                <w:lang w:eastAsia="en-GB"/>
              </w:rPr>
              <w:t>*</w:t>
            </w:r>
          </w:p>
        </w:tc>
        <w:tc>
          <w:tcPr>
            <w:tcW w:w="1134" w:type="dxa"/>
            <w:shd w:val="clear" w:color="auto" w:fill="auto"/>
            <w:noWrap/>
            <w:hideMark/>
          </w:tcPr>
          <w:p w14:paraId="14C7D2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0.00203</w:t>
            </w:r>
          </w:p>
        </w:tc>
        <w:tc>
          <w:tcPr>
            <w:tcW w:w="1276" w:type="dxa"/>
          </w:tcPr>
          <w:p w14:paraId="50F306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9F455B" w:rsidRPr="00EC6C01" w14:paraId="5B3732E6" w14:textId="77777777" w:rsidTr="00AB26EE">
        <w:trPr>
          <w:trHeight w:val="288"/>
        </w:trPr>
        <w:tc>
          <w:tcPr>
            <w:tcW w:w="2119" w:type="dxa"/>
            <w:shd w:val="clear" w:color="auto" w:fill="auto"/>
            <w:hideMark/>
          </w:tcPr>
          <w:p w14:paraId="63CBBA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Crop production index</w:t>
            </w:r>
          </w:p>
        </w:tc>
        <w:tc>
          <w:tcPr>
            <w:tcW w:w="1134" w:type="dxa"/>
            <w:shd w:val="clear" w:color="auto" w:fill="auto"/>
            <w:noWrap/>
            <w:hideMark/>
          </w:tcPr>
          <w:p w14:paraId="19C1FD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4217F53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w:t>
            </w:r>
          </w:p>
        </w:tc>
        <w:tc>
          <w:tcPr>
            <w:tcW w:w="1134" w:type="dxa"/>
          </w:tcPr>
          <w:p w14:paraId="2C27E56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119760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76D4D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0.00042</w:t>
            </w:r>
            <w:r>
              <w:rPr>
                <w:rFonts w:ascii="Calibri" w:eastAsia="Times New Roman" w:hAnsi="Calibri" w:cs="Calibri"/>
                <w:color w:val="000000"/>
                <w:sz w:val="20"/>
                <w:szCs w:val="20"/>
                <w:lang w:eastAsia="en-GB"/>
              </w:rPr>
              <w:t>*</w:t>
            </w:r>
          </w:p>
        </w:tc>
        <w:tc>
          <w:tcPr>
            <w:tcW w:w="993" w:type="dxa"/>
            <w:shd w:val="clear" w:color="auto" w:fill="auto"/>
            <w:noWrap/>
            <w:hideMark/>
          </w:tcPr>
          <w:p w14:paraId="373A11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0.00144</w:t>
            </w:r>
          </w:p>
        </w:tc>
        <w:tc>
          <w:tcPr>
            <w:tcW w:w="1134" w:type="dxa"/>
          </w:tcPr>
          <w:p w14:paraId="49B4C5A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70F65B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BF0E3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-0.00328</w:t>
            </w:r>
            <w:r>
              <w:rPr>
                <w:rFonts w:ascii="Calibri" w:eastAsia="Times New Roman" w:hAnsi="Calibri" w:cs="Calibri"/>
                <w:color w:val="000000"/>
                <w:sz w:val="20"/>
                <w:szCs w:val="20"/>
                <w:lang w:eastAsia="en-GB"/>
              </w:rPr>
              <w:t>*</w:t>
            </w:r>
          </w:p>
        </w:tc>
        <w:tc>
          <w:tcPr>
            <w:tcW w:w="1134" w:type="dxa"/>
            <w:shd w:val="clear" w:color="auto" w:fill="auto"/>
            <w:noWrap/>
            <w:hideMark/>
          </w:tcPr>
          <w:p w14:paraId="1090B5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0.00427</w:t>
            </w:r>
          </w:p>
        </w:tc>
        <w:tc>
          <w:tcPr>
            <w:tcW w:w="1276" w:type="dxa"/>
          </w:tcPr>
          <w:p w14:paraId="1A80D34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76CC165A" w14:textId="77777777" w:rsidTr="00AB26EE">
        <w:trPr>
          <w:trHeight w:val="576"/>
        </w:trPr>
        <w:tc>
          <w:tcPr>
            <w:tcW w:w="2119" w:type="dxa"/>
            <w:shd w:val="clear" w:color="auto" w:fill="auto"/>
            <w:hideMark/>
          </w:tcPr>
          <w:p w14:paraId="6FA87A0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lastRenderedPageBreak/>
              <w:t>Total production from forestry</w:t>
            </w:r>
          </w:p>
        </w:tc>
        <w:tc>
          <w:tcPr>
            <w:tcW w:w="1134" w:type="dxa"/>
            <w:shd w:val="clear" w:color="auto" w:fill="auto"/>
            <w:noWrap/>
            <w:hideMark/>
          </w:tcPr>
          <w:p w14:paraId="2D5EE5B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2C9E8E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9BFE8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2578A8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369A9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993" w:type="dxa"/>
            <w:shd w:val="clear" w:color="auto" w:fill="auto"/>
            <w:noWrap/>
            <w:hideMark/>
          </w:tcPr>
          <w:p w14:paraId="678CA25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134" w:type="dxa"/>
          </w:tcPr>
          <w:p w14:paraId="193C4F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9B26E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D492C7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4B3A84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276" w:type="dxa"/>
          </w:tcPr>
          <w:p w14:paraId="1EECA0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C306F2B" w14:textId="77777777" w:rsidTr="00AB26EE">
        <w:trPr>
          <w:trHeight w:val="288"/>
        </w:trPr>
        <w:tc>
          <w:tcPr>
            <w:tcW w:w="2119" w:type="dxa"/>
            <w:tcBorders>
              <w:bottom w:val="single" w:sz="6" w:space="0" w:color="auto"/>
            </w:tcBorders>
            <w:shd w:val="clear" w:color="auto" w:fill="auto"/>
            <w:hideMark/>
          </w:tcPr>
          <w:p w14:paraId="0E8284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6" w:space="0" w:color="auto"/>
            </w:tcBorders>
            <w:shd w:val="clear" w:color="auto" w:fill="auto"/>
            <w:noWrap/>
            <w:hideMark/>
          </w:tcPr>
          <w:p w14:paraId="402FEA0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-0.00014</w:t>
            </w:r>
          </w:p>
        </w:tc>
        <w:tc>
          <w:tcPr>
            <w:tcW w:w="992" w:type="dxa"/>
            <w:tcBorders>
              <w:bottom w:val="single" w:sz="6" w:space="0" w:color="auto"/>
            </w:tcBorders>
            <w:shd w:val="clear" w:color="auto" w:fill="auto"/>
            <w:noWrap/>
            <w:hideMark/>
          </w:tcPr>
          <w:p w14:paraId="0931DC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0.00002</w:t>
            </w:r>
          </w:p>
        </w:tc>
        <w:tc>
          <w:tcPr>
            <w:tcW w:w="1134" w:type="dxa"/>
            <w:tcBorders>
              <w:bottom w:val="single" w:sz="6" w:space="0" w:color="auto"/>
            </w:tcBorders>
          </w:tcPr>
          <w:p w14:paraId="58F4FD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499D12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29DD667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r>
              <w:rPr>
                <w:rFonts w:ascii="Calibri" w:eastAsia="Times New Roman" w:hAnsi="Calibri" w:cs="Calibri"/>
                <w:color w:val="000000"/>
                <w:sz w:val="20"/>
                <w:szCs w:val="20"/>
                <w:lang w:eastAsia="en-GB"/>
              </w:rPr>
              <w:t>*</w:t>
            </w:r>
          </w:p>
        </w:tc>
        <w:tc>
          <w:tcPr>
            <w:tcW w:w="993" w:type="dxa"/>
            <w:tcBorders>
              <w:bottom w:val="single" w:sz="6" w:space="0" w:color="auto"/>
            </w:tcBorders>
            <w:shd w:val="clear" w:color="auto" w:fill="auto"/>
            <w:noWrap/>
            <w:hideMark/>
          </w:tcPr>
          <w:p w14:paraId="2DB1BD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134" w:type="dxa"/>
            <w:tcBorders>
              <w:bottom w:val="single" w:sz="6" w:space="0" w:color="auto"/>
            </w:tcBorders>
          </w:tcPr>
          <w:p w14:paraId="16B6130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6205822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0860223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6B0D42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276" w:type="dxa"/>
            <w:tcBorders>
              <w:bottom w:val="single" w:sz="6" w:space="0" w:color="auto"/>
            </w:tcBorders>
          </w:tcPr>
          <w:p w14:paraId="76CFC7C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32926878" w14:textId="77777777" w:rsidTr="00AB26EE">
        <w:trPr>
          <w:trHeight w:val="288"/>
        </w:trPr>
        <w:tc>
          <w:tcPr>
            <w:tcW w:w="2119" w:type="dxa"/>
            <w:tcBorders>
              <w:top w:val="single" w:sz="6" w:space="0" w:color="auto"/>
            </w:tcBorders>
            <w:shd w:val="clear" w:color="auto" w:fill="auto"/>
            <w:noWrap/>
            <w:hideMark/>
          </w:tcPr>
          <w:p w14:paraId="092595EC"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Producer prices</w:t>
            </w:r>
          </w:p>
        </w:tc>
        <w:tc>
          <w:tcPr>
            <w:tcW w:w="1134" w:type="dxa"/>
            <w:tcBorders>
              <w:top w:val="single" w:sz="6" w:space="0" w:color="auto"/>
            </w:tcBorders>
            <w:shd w:val="clear" w:color="auto" w:fill="auto"/>
            <w:noWrap/>
            <w:hideMark/>
          </w:tcPr>
          <w:p w14:paraId="01F5354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3709EDF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2FBCCCB"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0EC55F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65AAFD3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6BC0CC9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5E75C41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6F0EE0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43E8D23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55D681D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214015D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2D43508B" w14:textId="77777777" w:rsidTr="00AB26EE">
        <w:trPr>
          <w:trHeight w:val="288"/>
        </w:trPr>
        <w:tc>
          <w:tcPr>
            <w:tcW w:w="2119" w:type="dxa"/>
            <w:shd w:val="clear" w:color="auto" w:fill="auto"/>
            <w:hideMark/>
          </w:tcPr>
          <w:p w14:paraId="35BE802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corn</w:t>
            </w:r>
          </w:p>
        </w:tc>
        <w:tc>
          <w:tcPr>
            <w:tcW w:w="1134" w:type="dxa"/>
            <w:shd w:val="clear" w:color="auto" w:fill="auto"/>
            <w:noWrap/>
            <w:hideMark/>
          </w:tcPr>
          <w:p w14:paraId="68468F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0.00415</w:t>
            </w:r>
          </w:p>
        </w:tc>
        <w:tc>
          <w:tcPr>
            <w:tcW w:w="992" w:type="dxa"/>
            <w:shd w:val="clear" w:color="auto" w:fill="auto"/>
            <w:noWrap/>
            <w:hideMark/>
          </w:tcPr>
          <w:p w14:paraId="75FE60C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0.00355</w:t>
            </w:r>
          </w:p>
        </w:tc>
        <w:tc>
          <w:tcPr>
            <w:tcW w:w="1134" w:type="dxa"/>
          </w:tcPr>
          <w:p w14:paraId="3AD387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60018E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B5E83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0.01093</w:t>
            </w:r>
            <w:r>
              <w:rPr>
                <w:rFonts w:ascii="Calibri" w:eastAsia="Times New Roman" w:hAnsi="Calibri" w:cs="Calibri"/>
                <w:color w:val="000000"/>
                <w:sz w:val="20"/>
                <w:szCs w:val="20"/>
                <w:lang w:eastAsia="en-GB"/>
              </w:rPr>
              <w:t>*</w:t>
            </w:r>
          </w:p>
        </w:tc>
        <w:tc>
          <w:tcPr>
            <w:tcW w:w="993" w:type="dxa"/>
            <w:shd w:val="clear" w:color="auto" w:fill="auto"/>
            <w:noWrap/>
            <w:hideMark/>
          </w:tcPr>
          <w:p w14:paraId="7B9A85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0.00240</w:t>
            </w:r>
          </w:p>
        </w:tc>
        <w:tc>
          <w:tcPr>
            <w:tcW w:w="1134" w:type="dxa"/>
          </w:tcPr>
          <w:p w14:paraId="72038BC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1.011</w:t>
            </w:r>
          </w:p>
        </w:tc>
        <w:tc>
          <w:tcPr>
            <w:tcW w:w="283" w:type="dxa"/>
          </w:tcPr>
          <w:p w14:paraId="0D164B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B66D0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0.00014</w:t>
            </w:r>
            <w:r>
              <w:rPr>
                <w:rFonts w:ascii="Calibri" w:eastAsia="Times New Roman" w:hAnsi="Calibri" w:cs="Calibri"/>
                <w:color w:val="000000"/>
                <w:sz w:val="20"/>
                <w:szCs w:val="20"/>
                <w:lang w:eastAsia="en-GB"/>
              </w:rPr>
              <w:t>*</w:t>
            </w:r>
          </w:p>
        </w:tc>
        <w:tc>
          <w:tcPr>
            <w:tcW w:w="1134" w:type="dxa"/>
            <w:shd w:val="clear" w:color="auto" w:fill="auto"/>
            <w:noWrap/>
            <w:hideMark/>
          </w:tcPr>
          <w:p w14:paraId="2261BCC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0.00081</w:t>
            </w:r>
          </w:p>
        </w:tc>
        <w:tc>
          <w:tcPr>
            <w:tcW w:w="1276" w:type="dxa"/>
          </w:tcPr>
          <w:p w14:paraId="1A93A5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485C5AB6" w14:textId="77777777" w:rsidTr="00AB26EE">
        <w:trPr>
          <w:trHeight w:val="288"/>
        </w:trPr>
        <w:tc>
          <w:tcPr>
            <w:tcW w:w="2119" w:type="dxa"/>
            <w:shd w:val="clear" w:color="auto" w:fill="auto"/>
            <w:hideMark/>
          </w:tcPr>
          <w:p w14:paraId="0A75A6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rice</w:t>
            </w:r>
          </w:p>
        </w:tc>
        <w:tc>
          <w:tcPr>
            <w:tcW w:w="1134" w:type="dxa"/>
            <w:shd w:val="clear" w:color="auto" w:fill="auto"/>
            <w:noWrap/>
            <w:hideMark/>
          </w:tcPr>
          <w:p w14:paraId="5E7064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-0.02465</w:t>
            </w:r>
          </w:p>
        </w:tc>
        <w:tc>
          <w:tcPr>
            <w:tcW w:w="992" w:type="dxa"/>
            <w:shd w:val="clear" w:color="auto" w:fill="auto"/>
            <w:noWrap/>
            <w:hideMark/>
          </w:tcPr>
          <w:p w14:paraId="18D877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0.00436</w:t>
            </w:r>
          </w:p>
        </w:tc>
        <w:tc>
          <w:tcPr>
            <w:tcW w:w="1134" w:type="dxa"/>
          </w:tcPr>
          <w:p w14:paraId="4379A1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0.976</w:t>
            </w:r>
          </w:p>
        </w:tc>
        <w:tc>
          <w:tcPr>
            <w:tcW w:w="283" w:type="dxa"/>
          </w:tcPr>
          <w:p w14:paraId="2C38B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72BA4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0.00452</w:t>
            </w:r>
            <w:r>
              <w:rPr>
                <w:rFonts w:ascii="Calibri" w:eastAsia="Times New Roman" w:hAnsi="Calibri" w:cs="Calibri"/>
                <w:color w:val="000000"/>
                <w:sz w:val="20"/>
                <w:szCs w:val="20"/>
                <w:lang w:eastAsia="en-GB"/>
              </w:rPr>
              <w:t>*</w:t>
            </w:r>
          </w:p>
        </w:tc>
        <w:tc>
          <w:tcPr>
            <w:tcW w:w="993" w:type="dxa"/>
            <w:shd w:val="clear" w:color="auto" w:fill="auto"/>
            <w:noWrap/>
            <w:hideMark/>
          </w:tcPr>
          <w:p w14:paraId="00634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0.00564</w:t>
            </w:r>
          </w:p>
        </w:tc>
        <w:tc>
          <w:tcPr>
            <w:tcW w:w="1134" w:type="dxa"/>
          </w:tcPr>
          <w:p w14:paraId="7C7E79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1.005</w:t>
            </w:r>
          </w:p>
        </w:tc>
        <w:tc>
          <w:tcPr>
            <w:tcW w:w="283" w:type="dxa"/>
          </w:tcPr>
          <w:p w14:paraId="1B0332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A2991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0.01258</w:t>
            </w:r>
            <w:r>
              <w:rPr>
                <w:rFonts w:ascii="Calibri" w:eastAsia="Times New Roman" w:hAnsi="Calibri" w:cs="Calibri"/>
                <w:color w:val="000000"/>
                <w:sz w:val="20"/>
                <w:szCs w:val="20"/>
                <w:lang w:eastAsia="en-GB"/>
              </w:rPr>
              <w:t>*</w:t>
            </w:r>
          </w:p>
        </w:tc>
        <w:tc>
          <w:tcPr>
            <w:tcW w:w="1134" w:type="dxa"/>
            <w:shd w:val="clear" w:color="auto" w:fill="auto"/>
            <w:noWrap/>
            <w:hideMark/>
          </w:tcPr>
          <w:p w14:paraId="4CD81F2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0.00474</w:t>
            </w:r>
          </w:p>
        </w:tc>
        <w:tc>
          <w:tcPr>
            <w:tcW w:w="1276" w:type="dxa"/>
          </w:tcPr>
          <w:p w14:paraId="1A3041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1.013</w:t>
            </w:r>
          </w:p>
        </w:tc>
      </w:tr>
      <w:tr w:rsidR="009F455B" w:rsidRPr="00EC6C01" w14:paraId="6DB77EDC" w14:textId="77777777" w:rsidTr="00AB26EE">
        <w:trPr>
          <w:trHeight w:val="288"/>
        </w:trPr>
        <w:tc>
          <w:tcPr>
            <w:tcW w:w="2119" w:type="dxa"/>
            <w:shd w:val="clear" w:color="auto" w:fill="auto"/>
            <w:hideMark/>
          </w:tcPr>
          <w:p w14:paraId="1A10C9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rubber</w:t>
            </w:r>
          </w:p>
        </w:tc>
        <w:tc>
          <w:tcPr>
            <w:tcW w:w="1134" w:type="dxa"/>
            <w:shd w:val="clear" w:color="auto" w:fill="auto"/>
            <w:noWrap/>
            <w:hideMark/>
          </w:tcPr>
          <w:p w14:paraId="110604A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0.03424</w:t>
            </w:r>
          </w:p>
        </w:tc>
        <w:tc>
          <w:tcPr>
            <w:tcW w:w="992" w:type="dxa"/>
            <w:shd w:val="clear" w:color="auto" w:fill="auto"/>
            <w:noWrap/>
            <w:hideMark/>
          </w:tcPr>
          <w:p w14:paraId="2EEE4B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0.00401</w:t>
            </w:r>
          </w:p>
        </w:tc>
        <w:tc>
          <w:tcPr>
            <w:tcW w:w="1134" w:type="dxa"/>
          </w:tcPr>
          <w:p w14:paraId="06E365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1.035</w:t>
            </w:r>
          </w:p>
        </w:tc>
        <w:tc>
          <w:tcPr>
            <w:tcW w:w="283" w:type="dxa"/>
          </w:tcPr>
          <w:p w14:paraId="5CC7B3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44DEFA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-0.00075</w:t>
            </w:r>
            <w:r>
              <w:rPr>
                <w:rFonts w:ascii="Calibri" w:eastAsia="Times New Roman" w:hAnsi="Calibri" w:cs="Calibri"/>
                <w:color w:val="000000"/>
                <w:sz w:val="20"/>
                <w:szCs w:val="20"/>
                <w:lang w:eastAsia="en-GB"/>
              </w:rPr>
              <w:t>*</w:t>
            </w:r>
          </w:p>
        </w:tc>
        <w:tc>
          <w:tcPr>
            <w:tcW w:w="993" w:type="dxa"/>
            <w:shd w:val="clear" w:color="auto" w:fill="auto"/>
            <w:noWrap/>
            <w:hideMark/>
          </w:tcPr>
          <w:p w14:paraId="6CF087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0.00228</w:t>
            </w:r>
          </w:p>
        </w:tc>
        <w:tc>
          <w:tcPr>
            <w:tcW w:w="1134" w:type="dxa"/>
          </w:tcPr>
          <w:p w14:paraId="6281A6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c>
          <w:tcPr>
            <w:tcW w:w="283" w:type="dxa"/>
          </w:tcPr>
          <w:p w14:paraId="22DD46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DF5F3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-0.00431</w:t>
            </w:r>
            <w:r>
              <w:rPr>
                <w:rFonts w:ascii="Calibri" w:eastAsia="Times New Roman" w:hAnsi="Calibri" w:cs="Calibri"/>
                <w:color w:val="000000"/>
                <w:sz w:val="20"/>
                <w:szCs w:val="20"/>
                <w:lang w:eastAsia="en-GB"/>
              </w:rPr>
              <w:t>*</w:t>
            </w:r>
          </w:p>
        </w:tc>
        <w:tc>
          <w:tcPr>
            <w:tcW w:w="1134" w:type="dxa"/>
            <w:shd w:val="clear" w:color="auto" w:fill="auto"/>
            <w:noWrap/>
            <w:hideMark/>
          </w:tcPr>
          <w:p w14:paraId="7F9B5C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0.00467</w:t>
            </w:r>
          </w:p>
        </w:tc>
        <w:tc>
          <w:tcPr>
            <w:tcW w:w="1276" w:type="dxa"/>
          </w:tcPr>
          <w:p w14:paraId="0640598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6165A9C4" w14:textId="77777777" w:rsidTr="00AB26EE">
        <w:trPr>
          <w:trHeight w:val="288"/>
        </w:trPr>
        <w:tc>
          <w:tcPr>
            <w:tcW w:w="2119" w:type="dxa"/>
            <w:shd w:val="clear" w:color="auto" w:fill="auto"/>
            <w:hideMark/>
          </w:tcPr>
          <w:p w14:paraId="338AB0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sugar</w:t>
            </w:r>
          </w:p>
        </w:tc>
        <w:tc>
          <w:tcPr>
            <w:tcW w:w="1134" w:type="dxa"/>
            <w:shd w:val="clear" w:color="auto" w:fill="auto"/>
            <w:noWrap/>
            <w:hideMark/>
          </w:tcPr>
          <w:p w14:paraId="6AA45AD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2" w:type="dxa"/>
            <w:shd w:val="clear" w:color="auto" w:fill="auto"/>
            <w:noWrap/>
            <w:hideMark/>
          </w:tcPr>
          <w:p w14:paraId="3E3E55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0.00010</w:t>
            </w:r>
          </w:p>
        </w:tc>
        <w:tc>
          <w:tcPr>
            <w:tcW w:w="1134" w:type="dxa"/>
          </w:tcPr>
          <w:p w14:paraId="7864114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1F8C1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F21D9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0.00016</w:t>
            </w:r>
            <w:r>
              <w:rPr>
                <w:rFonts w:ascii="Calibri" w:eastAsia="Times New Roman" w:hAnsi="Calibri" w:cs="Calibri"/>
                <w:color w:val="000000"/>
                <w:sz w:val="20"/>
                <w:szCs w:val="20"/>
                <w:lang w:eastAsia="en-GB"/>
              </w:rPr>
              <w:t>*</w:t>
            </w:r>
          </w:p>
        </w:tc>
        <w:tc>
          <w:tcPr>
            <w:tcW w:w="993" w:type="dxa"/>
            <w:shd w:val="clear" w:color="auto" w:fill="auto"/>
            <w:noWrap/>
            <w:hideMark/>
          </w:tcPr>
          <w:p w14:paraId="409A433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0.00018</w:t>
            </w:r>
          </w:p>
        </w:tc>
        <w:tc>
          <w:tcPr>
            <w:tcW w:w="1134" w:type="dxa"/>
          </w:tcPr>
          <w:p w14:paraId="7911E3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E4836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37263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066D5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p>
        </w:tc>
        <w:tc>
          <w:tcPr>
            <w:tcW w:w="1276" w:type="dxa"/>
          </w:tcPr>
          <w:p w14:paraId="2AC1A1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7341B152" w14:textId="77777777" w:rsidTr="00AB26EE">
        <w:trPr>
          <w:trHeight w:val="288"/>
        </w:trPr>
        <w:tc>
          <w:tcPr>
            <w:tcW w:w="2119" w:type="dxa"/>
            <w:shd w:val="clear" w:color="auto" w:fill="auto"/>
            <w:hideMark/>
          </w:tcPr>
          <w:p w14:paraId="142EBE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cassava</w:t>
            </w:r>
          </w:p>
        </w:tc>
        <w:tc>
          <w:tcPr>
            <w:tcW w:w="1134" w:type="dxa"/>
            <w:shd w:val="clear" w:color="auto" w:fill="auto"/>
            <w:noWrap/>
            <w:hideMark/>
          </w:tcPr>
          <w:p w14:paraId="6051658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0.00032</w:t>
            </w:r>
          </w:p>
        </w:tc>
        <w:tc>
          <w:tcPr>
            <w:tcW w:w="992" w:type="dxa"/>
            <w:shd w:val="clear" w:color="auto" w:fill="auto"/>
            <w:noWrap/>
            <w:hideMark/>
          </w:tcPr>
          <w:p w14:paraId="2DB147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0.00123</w:t>
            </w:r>
          </w:p>
        </w:tc>
        <w:tc>
          <w:tcPr>
            <w:tcW w:w="1134" w:type="dxa"/>
          </w:tcPr>
          <w:p w14:paraId="04FFE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786E0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C6BC6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r>
              <w:rPr>
                <w:rFonts w:ascii="Calibri" w:eastAsia="Times New Roman" w:hAnsi="Calibri" w:cs="Calibri"/>
                <w:color w:val="000000"/>
                <w:sz w:val="20"/>
                <w:szCs w:val="20"/>
                <w:lang w:eastAsia="en-GB"/>
              </w:rPr>
              <w:t>*</w:t>
            </w:r>
          </w:p>
        </w:tc>
        <w:tc>
          <w:tcPr>
            <w:tcW w:w="993" w:type="dxa"/>
            <w:shd w:val="clear" w:color="auto" w:fill="auto"/>
            <w:noWrap/>
            <w:hideMark/>
          </w:tcPr>
          <w:p w14:paraId="0DAE2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0.00076</w:t>
            </w:r>
          </w:p>
        </w:tc>
        <w:tc>
          <w:tcPr>
            <w:tcW w:w="1134" w:type="dxa"/>
          </w:tcPr>
          <w:p w14:paraId="6D9BB1E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90605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711AE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-0.01791</w:t>
            </w:r>
            <w:r>
              <w:rPr>
                <w:rFonts w:ascii="Calibri" w:eastAsia="Times New Roman" w:hAnsi="Calibri" w:cs="Calibri"/>
                <w:color w:val="000000"/>
                <w:sz w:val="20"/>
                <w:szCs w:val="20"/>
                <w:lang w:eastAsia="en-GB"/>
              </w:rPr>
              <w:t>*</w:t>
            </w:r>
          </w:p>
        </w:tc>
        <w:tc>
          <w:tcPr>
            <w:tcW w:w="1134" w:type="dxa"/>
            <w:shd w:val="clear" w:color="auto" w:fill="auto"/>
            <w:noWrap/>
            <w:hideMark/>
          </w:tcPr>
          <w:p w14:paraId="0C5E52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0.00214</w:t>
            </w:r>
          </w:p>
        </w:tc>
        <w:tc>
          <w:tcPr>
            <w:tcW w:w="1276" w:type="dxa"/>
          </w:tcPr>
          <w:p w14:paraId="199E918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0.982</w:t>
            </w:r>
          </w:p>
        </w:tc>
      </w:tr>
      <w:tr w:rsidR="009F455B" w:rsidRPr="00EC6C01" w14:paraId="27DE581C" w14:textId="77777777" w:rsidTr="00AB26EE">
        <w:trPr>
          <w:trHeight w:val="288"/>
        </w:trPr>
        <w:tc>
          <w:tcPr>
            <w:tcW w:w="2119" w:type="dxa"/>
            <w:tcBorders>
              <w:bottom w:val="single" w:sz="12" w:space="0" w:color="auto"/>
            </w:tcBorders>
            <w:shd w:val="clear" w:color="auto" w:fill="auto"/>
            <w:hideMark/>
          </w:tcPr>
          <w:p w14:paraId="3A3C8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12" w:space="0" w:color="auto"/>
            </w:tcBorders>
            <w:shd w:val="clear" w:color="auto" w:fill="auto"/>
            <w:noWrap/>
            <w:hideMark/>
          </w:tcPr>
          <w:p w14:paraId="3F6E37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-0.00023</w:t>
            </w:r>
          </w:p>
        </w:tc>
        <w:tc>
          <w:tcPr>
            <w:tcW w:w="992" w:type="dxa"/>
            <w:tcBorders>
              <w:bottom w:val="single" w:sz="12" w:space="0" w:color="auto"/>
            </w:tcBorders>
            <w:shd w:val="clear" w:color="auto" w:fill="auto"/>
            <w:noWrap/>
            <w:hideMark/>
          </w:tcPr>
          <w:p w14:paraId="025638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40B203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083EF9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12" w:space="0" w:color="auto"/>
            </w:tcBorders>
            <w:shd w:val="clear" w:color="auto" w:fill="auto"/>
            <w:noWrap/>
            <w:hideMark/>
          </w:tcPr>
          <w:p w14:paraId="72E7A38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-0.00015</w:t>
            </w:r>
            <w:r>
              <w:rPr>
                <w:rFonts w:ascii="Calibri" w:eastAsia="Times New Roman" w:hAnsi="Calibri" w:cs="Calibri"/>
                <w:color w:val="000000"/>
                <w:sz w:val="20"/>
                <w:szCs w:val="20"/>
                <w:lang w:eastAsia="en-GB"/>
              </w:rPr>
              <w:t>*</w:t>
            </w:r>
          </w:p>
        </w:tc>
        <w:tc>
          <w:tcPr>
            <w:tcW w:w="993" w:type="dxa"/>
            <w:tcBorders>
              <w:bottom w:val="single" w:sz="12" w:space="0" w:color="auto"/>
            </w:tcBorders>
            <w:shd w:val="clear" w:color="auto" w:fill="auto"/>
            <w:noWrap/>
            <w:hideMark/>
          </w:tcPr>
          <w:p w14:paraId="3B7A4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5CE1BE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5B65660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12" w:space="0" w:color="auto"/>
            </w:tcBorders>
            <w:shd w:val="clear" w:color="auto" w:fill="auto"/>
            <w:noWrap/>
            <w:hideMark/>
          </w:tcPr>
          <w:p w14:paraId="5C071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12" w:space="0" w:color="auto"/>
            </w:tcBorders>
            <w:shd w:val="clear" w:color="auto" w:fill="auto"/>
            <w:noWrap/>
            <w:hideMark/>
          </w:tcPr>
          <w:p w14:paraId="16E964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276" w:type="dxa"/>
            <w:tcBorders>
              <w:bottom w:val="single" w:sz="12" w:space="0" w:color="auto"/>
            </w:tcBorders>
          </w:tcPr>
          <w:p w14:paraId="12CEF0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bl>
    <w:p w14:paraId="17E70044" w14:textId="2B5C9B12" w:rsidR="009F455B" w:rsidRDefault="009F455B" w:rsidP="009F455B">
      <w:pPr>
        <w:spacing w:after="0" w:line="240" w:lineRule="auto"/>
        <w:rPr>
          <w:sz w:val="18"/>
          <w:szCs w:val="18"/>
        </w:rPr>
      </w:pPr>
      <w:r w:rsidRPr="00B41CFA">
        <w:rPr>
          <w:sz w:val="18"/>
          <w:szCs w:val="18"/>
        </w:rPr>
        <w:t xml:space="preserve">* Coefficients derived from full averaging of models within dAIC &lt; 6. </w:t>
      </w:r>
      <w:r w:rsidR="00CC4F5A">
        <w:rPr>
          <w:sz w:val="18"/>
          <w:szCs w:val="18"/>
        </w:rPr>
        <w:t>In some cases there was a single top model and therefore model averaging was not necessary.</w:t>
      </w:r>
    </w:p>
    <w:p w14:paraId="1663FD86" w14:textId="28C0F6F7" w:rsidR="009F455B" w:rsidRPr="00C21A41" w:rsidRDefault="009F455B" w:rsidP="00C21A41">
      <w:pPr>
        <w:spacing w:after="0" w:line="240" w:lineRule="auto"/>
        <w:rPr>
          <w:sz w:val="18"/>
          <w:szCs w:val="18"/>
        </w:rPr>
        <w:sectPr w:rsidR="009F455B" w:rsidRPr="00C21A41" w:rsidSect="009F455B">
          <w:pgSz w:w="16838" w:h="11906" w:orient="landscape"/>
          <w:pgMar w:top="1440" w:right="1440" w:bottom="1440" w:left="1440" w:header="708" w:footer="708" w:gutter="0"/>
          <w:cols w:space="708"/>
          <w:docGrid w:linePitch="360"/>
        </w:sectPr>
      </w:pPr>
      <w:r w:rsidRPr="00D05083">
        <w:rPr>
          <w:sz w:val="18"/>
          <w:szCs w:val="18"/>
          <w:vertAlign w:val="superscript"/>
        </w:rPr>
        <w:t>A</w:t>
      </w:r>
      <w:r>
        <w:rPr>
          <w:sz w:val="18"/>
          <w:szCs w:val="18"/>
        </w:rPr>
        <w:t xml:space="preserve"> Rate ratio = exp(coefficient</w:t>
      </w:r>
      <w:r w:rsidR="00700967">
        <w:rPr>
          <w:sz w:val="18"/>
          <w:szCs w:val="18"/>
        </w:rPr>
        <w:t>)</w:t>
      </w:r>
    </w:p>
    <w:p w14:paraId="7F7D41BA" w14:textId="07406626" w:rsidR="004740E7" w:rsidRDefault="000D74DE" w:rsidP="009F455B">
      <w:pPr>
        <w:rPr>
          <w:b/>
          <w:bCs/>
          <w:sz w:val="20"/>
          <w:szCs w:val="20"/>
        </w:rPr>
      </w:pPr>
      <w:r>
        <w:rPr>
          <w:noProof/>
        </w:rPr>
        <w:lastRenderedPageBreak/>
        <w:drawing>
          <wp:anchor distT="0" distB="0" distL="114300" distR="114300" simplePos="0" relativeHeight="251665408" behindDoc="1" locked="0" layoutInCell="1" allowOverlap="1" wp14:anchorId="3F460F4C" wp14:editId="0BBF739F">
            <wp:simplePos x="0" y="0"/>
            <wp:positionH relativeFrom="column">
              <wp:posOffset>-99060</wp:posOffset>
            </wp:positionH>
            <wp:positionV relativeFrom="paragraph">
              <wp:posOffset>7620</wp:posOffset>
            </wp:positionV>
            <wp:extent cx="6164580" cy="6164580"/>
            <wp:effectExtent l="0" t="0" r="7620" b="7620"/>
            <wp:wrapNone/>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64580" cy="6164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7EFCC3" w14:textId="11691467" w:rsidR="009F455B" w:rsidRDefault="009F455B" w:rsidP="009F455B">
      <w:pPr>
        <w:rPr>
          <w:b/>
          <w:bCs/>
          <w:sz w:val="20"/>
          <w:szCs w:val="20"/>
        </w:rPr>
      </w:pPr>
    </w:p>
    <w:p w14:paraId="31D7DDA7" w14:textId="77777777" w:rsidR="000D74DE" w:rsidRDefault="000D74DE" w:rsidP="009F455B">
      <w:pPr>
        <w:rPr>
          <w:b/>
          <w:bCs/>
        </w:rPr>
      </w:pPr>
    </w:p>
    <w:p w14:paraId="79B43E4F" w14:textId="77777777" w:rsidR="000D74DE" w:rsidRDefault="000D74DE" w:rsidP="009F455B">
      <w:pPr>
        <w:rPr>
          <w:b/>
          <w:bCs/>
        </w:rPr>
      </w:pPr>
    </w:p>
    <w:p w14:paraId="06FE87C1" w14:textId="77777777" w:rsidR="000D74DE" w:rsidRDefault="000D74DE" w:rsidP="009F455B">
      <w:pPr>
        <w:rPr>
          <w:b/>
          <w:bCs/>
        </w:rPr>
      </w:pPr>
    </w:p>
    <w:p w14:paraId="453A2D3B" w14:textId="77777777" w:rsidR="000D74DE" w:rsidRDefault="000D74DE" w:rsidP="009F455B">
      <w:pPr>
        <w:rPr>
          <w:b/>
          <w:bCs/>
        </w:rPr>
      </w:pPr>
    </w:p>
    <w:p w14:paraId="085091B2" w14:textId="77777777" w:rsidR="000D74DE" w:rsidRDefault="000D74DE" w:rsidP="009F455B">
      <w:pPr>
        <w:rPr>
          <w:b/>
          <w:bCs/>
        </w:rPr>
      </w:pPr>
    </w:p>
    <w:p w14:paraId="02452BE0" w14:textId="77777777" w:rsidR="000D74DE" w:rsidRDefault="000D74DE" w:rsidP="009F455B">
      <w:pPr>
        <w:rPr>
          <w:b/>
          <w:bCs/>
        </w:rPr>
      </w:pPr>
    </w:p>
    <w:p w14:paraId="45C90363" w14:textId="77777777" w:rsidR="000D74DE" w:rsidRDefault="000D74DE" w:rsidP="009F455B">
      <w:pPr>
        <w:rPr>
          <w:b/>
          <w:bCs/>
        </w:rPr>
      </w:pPr>
    </w:p>
    <w:p w14:paraId="01FEDED4" w14:textId="77777777" w:rsidR="000D74DE" w:rsidRDefault="000D74DE" w:rsidP="009F455B">
      <w:pPr>
        <w:rPr>
          <w:b/>
          <w:bCs/>
        </w:rPr>
      </w:pPr>
    </w:p>
    <w:p w14:paraId="6F33CF4D" w14:textId="77777777" w:rsidR="000D74DE" w:rsidRDefault="000D74DE" w:rsidP="009F455B">
      <w:pPr>
        <w:rPr>
          <w:b/>
          <w:bCs/>
        </w:rPr>
      </w:pPr>
    </w:p>
    <w:p w14:paraId="167ECA2B" w14:textId="77777777" w:rsidR="000D74DE" w:rsidRDefault="000D74DE" w:rsidP="009F455B">
      <w:pPr>
        <w:rPr>
          <w:b/>
          <w:bCs/>
        </w:rPr>
      </w:pPr>
    </w:p>
    <w:p w14:paraId="4534249B" w14:textId="77777777" w:rsidR="000D74DE" w:rsidRDefault="000D74DE" w:rsidP="009F455B">
      <w:pPr>
        <w:rPr>
          <w:b/>
          <w:bCs/>
        </w:rPr>
      </w:pPr>
    </w:p>
    <w:p w14:paraId="01487B63" w14:textId="77777777" w:rsidR="000D74DE" w:rsidRDefault="000D74DE" w:rsidP="009F455B">
      <w:pPr>
        <w:rPr>
          <w:b/>
          <w:bCs/>
        </w:rPr>
      </w:pPr>
    </w:p>
    <w:p w14:paraId="55570B46" w14:textId="77777777" w:rsidR="000D74DE" w:rsidRDefault="000D74DE" w:rsidP="009F455B">
      <w:pPr>
        <w:rPr>
          <w:b/>
          <w:bCs/>
        </w:rPr>
      </w:pPr>
    </w:p>
    <w:p w14:paraId="639BFF1B" w14:textId="77777777" w:rsidR="000D74DE" w:rsidRDefault="000D74DE" w:rsidP="009F455B">
      <w:pPr>
        <w:rPr>
          <w:b/>
          <w:bCs/>
        </w:rPr>
      </w:pPr>
    </w:p>
    <w:p w14:paraId="17C24EEA" w14:textId="77777777" w:rsidR="000D74DE" w:rsidRDefault="000D74DE" w:rsidP="009F455B">
      <w:pPr>
        <w:rPr>
          <w:b/>
          <w:bCs/>
        </w:rPr>
      </w:pPr>
    </w:p>
    <w:p w14:paraId="60F8CA3C" w14:textId="77777777" w:rsidR="000D74DE" w:rsidRDefault="000D74DE" w:rsidP="009F455B">
      <w:pPr>
        <w:rPr>
          <w:b/>
          <w:bCs/>
        </w:rPr>
      </w:pPr>
    </w:p>
    <w:p w14:paraId="3637B6BC" w14:textId="77777777" w:rsidR="000D74DE" w:rsidRDefault="000D74DE" w:rsidP="009F455B">
      <w:pPr>
        <w:rPr>
          <w:b/>
          <w:bCs/>
        </w:rPr>
      </w:pPr>
    </w:p>
    <w:p w14:paraId="093ECF54" w14:textId="77777777" w:rsidR="000D74DE" w:rsidRDefault="000D74DE" w:rsidP="009F455B">
      <w:pPr>
        <w:rPr>
          <w:b/>
          <w:bCs/>
        </w:rPr>
      </w:pPr>
    </w:p>
    <w:p w14:paraId="445C44F7" w14:textId="77777777" w:rsidR="000D74DE" w:rsidRDefault="000D74DE" w:rsidP="009F455B">
      <w:pPr>
        <w:rPr>
          <w:b/>
          <w:bCs/>
        </w:rPr>
      </w:pPr>
    </w:p>
    <w:p w14:paraId="6A545877" w14:textId="77777777" w:rsidR="000D74DE" w:rsidRDefault="000D74DE" w:rsidP="009F455B">
      <w:pPr>
        <w:rPr>
          <w:b/>
          <w:bCs/>
        </w:rPr>
      </w:pPr>
    </w:p>
    <w:p w14:paraId="767F451E" w14:textId="4DACC806" w:rsidR="009F455B" w:rsidRPr="00966433" w:rsidRDefault="009F455B" w:rsidP="009F455B">
      <w:pPr>
        <w:rPr>
          <w:b/>
          <w:bCs/>
          <w:i/>
          <w:iCs/>
        </w:rPr>
      </w:pPr>
      <w:r w:rsidRPr="00966433">
        <w:rPr>
          <w:b/>
          <w:bCs/>
        </w:rPr>
        <w:t xml:space="preserve">Figure </w:t>
      </w:r>
      <w:r w:rsidR="0038235D">
        <w:rPr>
          <w:b/>
          <w:bCs/>
        </w:rPr>
        <w:t>2.</w:t>
      </w:r>
      <w:r w:rsidR="00700967" w:rsidRPr="00966433">
        <w:rPr>
          <w:b/>
          <w:bCs/>
        </w:rPr>
        <w:t>1</w:t>
      </w:r>
      <w:r w:rsidRPr="00966433">
        <w:rPr>
          <w:b/>
          <w:bCs/>
        </w:rPr>
        <w:t xml:space="preserve">. </w:t>
      </w:r>
      <w:bookmarkStart w:id="15" w:name="_Hlk94422088"/>
      <w:r w:rsidRPr="00966433">
        <w:rPr>
          <w:b/>
          <w:bCs/>
        </w:rPr>
        <w:t xml:space="preserve">Modelled relationships between economic predictors and the allocation of new economic land concessions </w:t>
      </w:r>
      <w:bookmarkEnd w:id="15"/>
      <w:r w:rsidRPr="00966433">
        <w:rPr>
          <w:b/>
          <w:bCs/>
        </w:rPr>
        <w:t xml:space="preserve">in Cambodia between 1993 – 2015. </w:t>
      </w:r>
      <w:r w:rsidR="004740E7" w:rsidRPr="00966433">
        <w:rPr>
          <w:b/>
          <w:bCs/>
        </w:rPr>
        <w:t xml:space="preserve">Points are the observed data, black lines are model predictions, and coloured ribbons are 95% confidence intervals. </w:t>
      </w:r>
      <w:r w:rsidRPr="00966433">
        <w:rPr>
          <w:b/>
          <w:bCs/>
        </w:rPr>
        <w:t>Top row: no time lag between predictor and response; middle row: 1-year time lag between predictor and response; bottom row: 2-year time lag between predictor and response.</w:t>
      </w:r>
      <w:r w:rsidR="00C65931" w:rsidRPr="00966433">
        <w:rPr>
          <w:b/>
          <w:bCs/>
        </w:rPr>
        <w:t xml:space="preserve"> </w:t>
      </w:r>
      <w:r w:rsidR="003D5F3C" w:rsidRPr="00966433">
        <w:rPr>
          <w:b/>
          <w:bCs/>
        </w:rPr>
        <w:t>Models had Poisson error structures with a log link; points and predictions were back-transformed to the original scale for plotting above.</w:t>
      </w:r>
    </w:p>
    <w:p w14:paraId="0B8B9054" w14:textId="0DCF179B" w:rsidR="009F455B" w:rsidRDefault="009F455B" w:rsidP="009F455B">
      <w:pPr>
        <w:rPr>
          <w:b/>
          <w:bCs/>
          <w:i/>
          <w:iCs/>
        </w:rPr>
      </w:pPr>
    </w:p>
    <w:p w14:paraId="5CC95FC9" w14:textId="5C299FC0" w:rsidR="00700967" w:rsidRDefault="00700967" w:rsidP="009F455B">
      <w:pPr>
        <w:rPr>
          <w:b/>
          <w:bCs/>
          <w:i/>
          <w:iCs/>
        </w:rPr>
      </w:pPr>
    </w:p>
    <w:p w14:paraId="43E2613E" w14:textId="5EB94EDB" w:rsidR="003D3198" w:rsidRDefault="003D3198" w:rsidP="009F455B">
      <w:pPr>
        <w:rPr>
          <w:b/>
          <w:bCs/>
          <w:i/>
          <w:iCs/>
        </w:rPr>
      </w:pPr>
    </w:p>
    <w:p w14:paraId="0612FE68" w14:textId="77777777" w:rsidR="003D3198" w:rsidRDefault="003D3198" w:rsidP="009F455B">
      <w:pPr>
        <w:rPr>
          <w:b/>
          <w:bCs/>
          <w:i/>
          <w:iCs/>
        </w:rPr>
      </w:pPr>
    </w:p>
    <w:p w14:paraId="4EFA9070" w14:textId="0B8B634D" w:rsidR="009F455B" w:rsidRDefault="000D74DE" w:rsidP="009F455B">
      <w:pPr>
        <w:rPr>
          <w:b/>
          <w:bCs/>
          <w:i/>
          <w:iCs/>
        </w:rPr>
      </w:pPr>
      <w:r>
        <w:rPr>
          <w:noProof/>
        </w:rPr>
        <w:lastRenderedPageBreak/>
        <w:drawing>
          <wp:anchor distT="0" distB="0" distL="114300" distR="114300" simplePos="0" relativeHeight="251664384" behindDoc="1" locked="0" layoutInCell="1" allowOverlap="1" wp14:anchorId="350B6B57" wp14:editId="1BCC1FC6">
            <wp:simplePos x="0" y="0"/>
            <wp:positionH relativeFrom="column">
              <wp:posOffset>-83820</wp:posOffset>
            </wp:positionH>
            <wp:positionV relativeFrom="paragraph">
              <wp:posOffset>30480</wp:posOffset>
            </wp:positionV>
            <wp:extent cx="6446520" cy="6446520"/>
            <wp:effectExtent l="0" t="0" r="0" b="0"/>
            <wp:wrapNone/>
            <wp:docPr id="7" name="Picture 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46520" cy="6446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83EC87" w14:textId="248132ED" w:rsidR="009F455B" w:rsidRDefault="009F455B" w:rsidP="009F455B">
      <w:pPr>
        <w:rPr>
          <w:b/>
          <w:bCs/>
          <w:i/>
          <w:iCs/>
        </w:rPr>
      </w:pPr>
    </w:p>
    <w:p w14:paraId="49160110" w14:textId="77777777" w:rsidR="009F455B" w:rsidRDefault="009F455B" w:rsidP="009F455B">
      <w:pPr>
        <w:rPr>
          <w:b/>
          <w:bCs/>
          <w:i/>
          <w:iCs/>
        </w:rPr>
      </w:pPr>
    </w:p>
    <w:p w14:paraId="6C338CC4" w14:textId="77777777" w:rsidR="009F455B" w:rsidRDefault="009F455B" w:rsidP="009F455B">
      <w:pPr>
        <w:rPr>
          <w:b/>
          <w:bCs/>
          <w:i/>
          <w:iCs/>
        </w:rPr>
      </w:pPr>
    </w:p>
    <w:p w14:paraId="10AC1FC3" w14:textId="77777777" w:rsidR="009F455B" w:rsidRDefault="009F455B" w:rsidP="009F455B">
      <w:pPr>
        <w:rPr>
          <w:b/>
          <w:bCs/>
          <w:i/>
          <w:iCs/>
        </w:rPr>
      </w:pPr>
    </w:p>
    <w:p w14:paraId="364B2653" w14:textId="77777777" w:rsidR="009F455B" w:rsidRDefault="009F455B" w:rsidP="009F455B">
      <w:pPr>
        <w:rPr>
          <w:b/>
          <w:bCs/>
          <w:i/>
          <w:iCs/>
        </w:rPr>
      </w:pPr>
    </w:p>
    <w:p w14:paraId="7C0A179D" w14:textId="77777777" w:rsidR="009F455B" w:rsidRDefault="009F455B" w:rsidP="009F455B">
      <w:pPr>
        <w:rPr>
          <w:b/>
          <w:bCs/>
          <w:i/>
          <w:iCs/>
        </w:rPr>
      </w:pPr>
    </w:p>
    <w:p w14:paraId="2A38DD98" w14:textId="77777777" w:rsidR="009F455B" w:rsidRDefault="009F455B" w:rsidP="009F455B">
      <w:pPr>
        <w:rPr>
          <w:b/>
          <w:bCs/>
          <w:i/>
          <w:iCs/>
        </w:rPr>
      </w:pPr>
    </w:p>
    <w:p w14:paraId="6299D7EC" w14:textId="77777777" w:rsidR="009F455B" w:rsidRDefault="009F455B" w:rsidP="009F455B">
      <w:pPr>
        <w:rPr>
          <w:b/>
          <w:bCs/>
          <w:i/>
          <w:iCs/>
        </w:rPr>
      </w:pPr>
    </w:p>
    <w:p w14:paraId="42FD726B" w14:textId="77777777" w:rsidR="009F455B" w:rsidRDefault="009F455B" w:rsidP="009F455B">
      <w:pPr>
        <w:rPr>
          <w:b/>
          <w:bCs/>
          <w:i/>
          <w:iCs/>
        </w:rPr>
      </w:pPr>
    </w:p>
    <w:p w14:paraId="101B4C1D" w14:textId="77777777" w:rsidR="009F455B" w:rsidRDefault="009F455B" w:rsidP="009F455B">
      <w:pPr>
        <w:rPr>
          <w:b/>
          <w:bCs/>
          <w:i/>
          <w:iCs/>
        </w:rPr>
      </w:pPr>
    </w:p>
    <w:p w14:paraId="0243B4D4" w14:textId="77777777" w:rsidR="009F455B" w:rsidRDefault="009F455B" w:rsidP="009F455B">
      <w:pPr>
        <w:rPr>
          <w:b/>
          <w:bCs/>
          <w:i/>
          <w:iCs/>
        </w:rPr>
      </w:pPr>
    </w:p>
    <w:p w14:paraId="7A7CD6A5" w14:textId="77777777" w:rsidR="009F455B" w:rsidRDefault="009F455B" w:rsidP="009F455B">
      <w:pPr>
        <w:rPr>
          <w:b/>
          <w:bCs/>
          <w:i/>
          <w:iCs/>
        </w:rPr>
      </w:pPr>
    </w:p>
    <w:p w14:paraId="2243698A" w14:textId="77777777" w:rsidR="009F455B" w:rsidRDefault="009F455B" w:rsidP="009F455B">
      <w:pPr>
        <w:rPr>
          <w:b/>
          <w:bCs/>
          <w:i/>
          <w:iCs/>
        </w:rPr>
      </w:pPr>
    </w:p>
    <w:p w14:paraId="0F34856A" w14:textId="77777777" w:rsidR="009F455B" w:rsidRDefault="009F455B" w:rsidP="009F455B">
      <w:pPr>
        <w:rPr>
          <w:b/>
          <w:bCs/>
          <w:i/>
          <w:iCs/>
        </w:rPr>
      </w:pPr>
    </w:p>
    <w:p w14:paraId="6CEEE269" w14:textId="77777777" w:rsidR="009F455B" w:rsidRDefault="009F455B" w:rsidP="009F455B">
      <w:pPr>
        <w:rPr>
          <w:b/>
          <w:bCs/>
          <w:i/>
          <w:iCs/>
        </w:rPr>
      </w:pPr>
    </w:p>
    <w:p w14:paraId="2370CB1C" w14:textId="77777777" w:rsidR="009F455B" w:rsidRDefault="009F455B" w:rsidP="009F455B">
      <w:pPr>
        <w:rPr>
          <w:b/>
          <w:bCs/>
          <w:i/>
          <w:iCs/>
        </w:rPr>
      </w:pPr>
    </w:p>
    <w:p w14:paraId="392CB97A" w14:textId="77777777" w:rsidR="009F455B" w:rsidRDefault="009F455B" w:rsidP="009F455B">
      <w:pPr>
        <w:rPr>
          <w:b/>
          <w:bCs/>
          <w:i/>
          <w:iCs/>
        </w:rPr>
      </w:pPr>
    </w:p>
    <w:p w14:paraId="03D46207" w14:textId="77777777" w:rsidR="009F455B" w:rsidRDefault="009F455B" w:rsidP="009F455B">
      <w:pPr>
        <w:rPr>
          <w:b/>
          <w:bCs/>
          <w:i/>
          <w:iCs/>
        </w:rPr>
      </w:pPr>
    </w:p>
    <w:p w14:paraId="05C15ED1" w14:textId="77777777" w:rsidR="009F455B" w:rsidRDefault="009F455B" w:rsidP="009F455B">
      <w:pPr>
        <w:rPr>
          <w:b/>
          <w:bCs/>
          <w:i/>
          <w:iCs/>
        </w:rPr>
      </w:pPr>
    </w:p>
    <w:p w14:paraId="665F3B36" w14:textId="77777777" w:rsidR="009F455B" w:rsidRDefault="009F455B" w:rsidP="009F455B">
      <w:pPr>
        <w:rPr>
          <w:b/>
          <w:bCs/>
          <w:i/>
          <w:iCs/>
        </w:rPr>
      </w:pPr>
    </w:p>
    <w:p w14:paraId="6E6F64CD" w14:textId="77777777" w:rsidR="009F455B" w:rsidRDefault="009F455B" w:rsidP="009F455B">
      <w:pPr>
        <w:rPr>
          <w:b/>
          <w:bCs/>
          <w:i/>
          <w:iCs/>
        </w:rPr>
      </w:pPr>
    </w:p>
    <w:p w14:paraId="427AF2AD" w14:textId="77777777" w:rsidR="009F455B" w:rsidRDefault="009F455B" w:rsidP="009F455B">
      <w:pPr>
        <w:rPr>
          <w:b/>
          <w:bCs/>
          <w:i/>
          <w:iCs/>
        </w:rPr>
      </w:pPr>
    </w:p>
    <w:p w14:paraId="3D6EB1A5" w14:textId="703FA039" w:rsidR="009F455B" w:rsidRPr="00966433" w:rsidRDefault="009F455B" w:rsidP="009F455B">
      <w:pPr>
        <w:rPr>
          <w:b/>
          <w:bCs/>
        </w:rPr>
      </w:pPr>
      <w:r w:rsidRPr="00966433">
        <w:rPr>
          <w:b/>
          <w:bCs/>
        </w:rPr>
        <w:t xml:space="preserve">Figure </w:t>
      </w:r>
      <w:r w:rsidR="00700967" w:rsidRPr="00966433">
        <w:rPr>
          <w:b/>
          <w:bCs/>
        </w:rPr>
        <w:t>2</w:t>
      </w:r>
      <w:r w:rsidR="0038235D">
        <w:rPr>
          <w:b/>
          <w:bCs/>
        </w:rPr>
        <w:t>.2</w:t>
      </w:r>
      <w:r w:rsidRPr="00966433">
        <w:rPr>
          <w:b/>
          <w:bCs/>
        </w:rPr>
        <w:t xml:space="preserve">. </w:t>
      </w:r>
      <w:bookmarkStart w:id="16" w:name="_Hlk94422115"/>
      <w:r w:rsidRPr="00966433">
        <w:rPr>
          <w:b/>
          <w:bCs/>
        </w:rPr>
        <w:t xml:space="preserve">Modelled relationships between commodity price predictors and the allocation of new economic land concessions </w:t>
      </w:r>
      <w:bookmarkEnd w:id="16"/>
      <w:r w:rsidRPr="00966433">
        <w:rPr>
          <w:b/>
          <w:bCs/>
        </w:rPr>
        <w:t xml:space="preserve">in Cambodia between 1993 – 2015. </w:t>
      </w:r>
      <w:r w:rsidR="000D74DE">
        <w:rPr>
          <w:b/>
          <w:bCs/>
        </w:rPr>
        <w:t xml:space="preserve">All x axis values are in US dollars. </w:t>
      </w:r>
      <w:r w:rsidR="004740E7" w:rsidRPr="00966433">
        <w:rPr>
          <w:b/>
          <w:bCs/>
        </w:rPr>
        <w:t xml:space="preserve">Points are the observed data, black lines are model predictions, and coloured ribbons are 95% confidence intervals. </w:t>
      </w:r>
      <w:r w:rsidRPr="00966433">
        <w:rPr>
          <w:b/>
          <w:bCs/>
        </w:rPr>
        <w:t>Top two rows: no time lag between predictor and response; third row: 1-year time lag between predictor and response; bottom row: 2-year time lag between predictor and response.</w:t>
      </w:r>
      <w:r w:rsidR="00DE2591" w:rsidRPr="00966433">
        <w:rPr>
          <w:b/>
          <w:bCs/>
        </w:rPr>
        <w:t xml:space="preserve"> </w:t>
      </w:r>
      <w:r w:rsidR="003D5F3C" w:rsidRPr="00966433">
        <w:rPr>
          <w:b/>
          <w:bCs/>
        </w:rPr>
        <w:t>Models had Poisson error structures with a log link; points and predictions were back-transformed to the original scale for plotting above.</w:t>
      </w:r>
    </w:p>
    <w:p w14:paraId="7F555BF9" w14:textId="77777777" w:rsidR="009F455B" w:rsidRDefault="009F455B" w:rsidP="009F455B">
      <w:pPr>
        <w:rPr>
          <w:b/>
          <w:bCs/>
          <w:i/>
          <w:iCs/>
        </w:rPr>
      </w:pPr>
    </w:p>
    <w:p w14:paraId="08B66489" w14:textId="346C90FD" w:rsidR="009F455B" w:rsidRDefault="009F455B" w:rsidP="009F455B">
      <w:pPr>
        <w:rPr>
          <w:b/>
          <w:bCs/>
          <w:i/>
          <w:iCs/>
        </w:rPr>
      </w:pPr>
    </w:p>
    <w:p w14:paraId="44031420" w14:textId="4527DDC6" w:rsidR="00700967" w:rsidRDefault="00700967" w:rsidP="009F455B">
      <w:pPr>
        <w:rPr>
          <w:b/>
          <w:bCs/>
          <w:i/>
          <w:iCs/>
        </w:rPr>
      </w:pPr>
    </w:p>
    <w:p w14:paraId="2573E014" w14:textId="77777777" w:rsidR="00700967" w:rsidRDefault="00700967" w:rsidP="009F455B">
      <w:pPr>
        <w:rPr>
          <w:b/>
          <w:bCs/>
          <w:i/>
          <w:iCs/>
        </w:rPr>
      </w:pPr>
    </w:p>
    <w:p w14:paraId="583B7FA9" w14:textId="77777777" w:rsidR="009F455B" w:rsidRDefault="009F455B" w:rsidP="009F455B">
      <w:pPr>
        <w:rPr>
          <w:b/>
          <w:bCs/>
          <w:i/>
          <w:iCs/>
        </w:rPr>
      </w:pPr>
      <w:r>
        <w:rPr>
          <w:noProof/>
        </w:rPr>
        <w:drawing>
          <wp:anchor distT="0" distB="0" distL="114300" distR="114300" simplePos="0" relativeHeight="251663360" behindDoc="1" locked="0" layoutInCell="1" allowOverlap="1" wp14:anchorId="1440E833" wp14:editId="19189FA2">
            <wp:simplePos x="0" y="0"/>
            <wp:positionH relativeFrom="margin">
              <wp:posOffset>0</wp:posOffset>
            </wp:positionH>
            <wp:positionV relativeFrom="paragraph">
              <wp:posOffset>-635</wp:posOffset>
            </wp:positionV>
            <wp:extent cx="5882640" cy="5882640"/>
            <wp:effectExtent l="0" t="0" r="3810" b="3810"/>
            <wp:wrapNone/>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82640" cy="5882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9D5074" w14:textId="77777777" w:rsidR="009F455B" w:rsidRDefault="009F455B" w:rsidP="009F455B">
      <w:pPr>
        <w:rPr>
          <w:b/>
          <w:bCs/>
          <w:i/>
          <w:iCs/>
        </w:rPr>
      </w:pPr>
    </w:p>
    <w:p w14:paraId="17247F15" w14:textId="77777777" w:rsidR="009F455B" w:rsidRDefault="009F455B" w:rsidP="009F455B">
      <w:pPr>
        <w:rPr>
          <w:b/>
          <w:bCs/>
          <w:i/>
          <w:iCs/>
        </w:rPr>
      </w:pPr>
    </w:p>
    <w:p w14:paraId="6E2C15BA" w14:textId="77777777" w:rsidR="009F455B" w:rsidRDefault="009F455B" w:rsidP="009F455B">
      <w:pPr>
        <w:rPr>
          <w:b/>
          <w:bCs/>
          <w:i/>
          <w:iCs/>
        </w:rPr>
      </w:pPr>
    </w:p>
    <w:p w14:paraId="2C4A7D41" w14:textId="77777777" w:rsidR="009F455B" w:rsidRDefault="009F455B" w:rsidP="009F455B">
      <w:pPr>
        <w:rPr>
          <w:b/>
          <w:bCs/>
          <w:i/>
          <w:iCs/>
        </w:rPr>
      </w:pPr>
    </w:p>
    <w:p w14:paraId="40B3E3AE" w14:textId="77777777" w:rsidR="009F455B" w:rsidRDefault="009F455B" w:rsidP="009F455B">
      <w:pPr>
        <w:rPr>
          <w:b/>
          <w:bCs/>
          <w:i/>
          <w:iCs/>
        </w:rPr>
      </w:pPr>
    </w:p>
    <w:p w14:paraId="50326579" w14:textId="77777777" w:rsidR="009F455B" w:rsidRDefault="009F455B" w:rsidP="009F455B">
      <w:pPr>
        <w:rPr>
          <w:b/>
          <w:bCs/>
          <w:i/>
          <w:iCs/>
        </w:rPr>
      </w:pPr>
    </w:p>
    <w:p w14:paraId="386BB5F0" w14:textId="77777777" w:rsidR="009F455B" w:rsidRDefault="009F455B" w:rsidP="009F455B">
      <w:pPr>
        <w:rPr>
          <w:b/>
          <w:bCs/>
          <w:i/>
          <w:iCs/>
        </w:rPr>
      </w:pPr>
    </w:p>
    <w:p w14:paraId="172F9002" w14:textId="77777777" w:rsidR="009F455B" w:rsidRDefault="009F455B" w:rsidP="009F455B">
      <w:pPr>
        <w:rPr>
          <w:b/>
          <w:bCs/>
          <w:i/>
          <w:iCs/>
        </w:rPr>
      </w:pPr>
    </w:p>
    <w:p w14:paraId="16B44BB6" w14:textId="77777777" w:rsidR="009F455B" w:rsidRDefault="009F455B" w:rsidP="009F455B">
      <w:pPr>
        <w:rPr>
          <w:b/>
          <w:bCs/>
          <w:i/>
          <w:iCs/>
        </w:rPr>
      </w:pPr>
    </w:p>
    <w:p w14:paraId="1DC93453" w14:textId="77777777" w:rsidR="009F455B" w:rsidRDefault="009F455B" w:rsidP="009F455B">
      <w:pPr>
        <w:rPr>
          <w:b/>
          <w:bCs/>
          <w:i/>
          <w:iCs/>
        </w:rPr>
      </w:pPr>
    </w:p>
    <w:p w14:paraId="4AE91843" w14:textId="77777777" w:rsidR="009F455B" w:rsidRDefault="009F455B" w:rsidP="009F455B">
      <w:pPr>
        <w:rPr>
          <w:b/>
          <w:bCs/>
          <w:i/>
          <w:iCs/>
        </w:rPr>
      </w:pPr>
    </w:p>
    <w:p w14:paraId="6B54A073" w14:textId="77777777" w:rsidR="009F455B" w:rsidRDefault="009F455B" w:rsidP="009F455B">
      <w:pPr>
        <w:rPr>
          <w:b/>
          <w:bCs/>
          <w:i/>
          <w:iCs/>
        </w:rPr>
      </w:pPr>
    </w:p>
    <w:p w14:paraId="289C3B03" w14:textId="77777777" w:rsidR="009F455B" w:rsidRDefault="009F455B" w:rsidP="009F455B">
      <w:pPr>
        <w:rPr>
          <w:b/>
          <w:bCs/>
          <w:i/>
          <w:iCs/>
        </w:rPr>
      </w:pPr>
    </w:p>
    <w:p w14:paraId="0C90B6D6" w14:textId="77777777" w:rsidR="009F455B" w:rsidRDefault="009F455B" w:rsidP="009F455B">
      <w:pPr>
        <w:rPr>
          <w:b/>
          <w:bCs/>
          <w:i/>
          <w:iCs/>
        </w:rPr>
      </w:pPr>
    </w:p>
    <w:p w14:paraId="26C2F3EE" w14:textId="77777777" w:rsidR="009F455B" w:rsidRDefault="009F455B" w:rsidP="009F455B">
      <w:pPr>
        <w:rPr>
          <w:b/>
          <w:bCs/>
          <w:i/>
          <w:iCs/>
        </w:rPr>
      </w:pPr>
    </w:p>
    <w:p w14:paraId="2014B02E" w14:textId="77777777" w:rsidR="009F455B" w:rsidRDefault="009F455B" w:rsidP="009F455B">
      <w:pPr>
        <w:rPr>
          <w:b/>
          <w:bCs/>
          <w:i/>
          <w:iCs/>
        </w:rPr>
      </w:pPr>
    </w:p>
    <w:p w14:paraId="54B78976" w14:textId="77777777" w:rsidR="009F455B" w:rsidRDefault="009F455B" w:rsidP="009F455B">
      <w:pPr>
        <w:rPr>
          <w:b/>
          <w:bCs/>
          <w:i/>
          <w:iCs/>
        </w:rPr>
      </w:pPr>
    </w:p>
    <w:p w14:paraId="202148EA" w14:textId="77777777" w:rsidR="009F455B" w:rsidRDefault="009F455B" w:rsidP="009F455B">
      <w:pPr>
        <w:rPr>
          <w:b/>
          <w:bCs/>
          <w:i/>
          <w:iCs/>
        </w:rPr>
      </w:pPr>
    </w:p>
    <w:p w14:paraId="37F6F2B4" w14:textId="77777777" w:rsidR="009F455B" w:rsidRDefault="009F455B" w:rsidP="009F455B">
      <w:pPr>
        <w:rPr>
          <w:b/>
          <w:bCs/>
          <w:i/>
          <w:iCs/>
        </w:rPr>
      </w:pPr>
    </w:p>
    <w:p w14:paraId="17C9B7FD" w14:textId="77777777" w:rsidR="009F455B" w:rsidRDefault="009F455B" w:rsidP="009F455B">
      <w:pPr>
        <w:rPr>
          <w:b/>
          <w:bCs/>
          <w:i/>
          <w:iCs/>
        </w:rPr>
      </w:pPr>
    </w:p>
    <w:p w14:paraId="30A41B29" w14:textId="0DB37CE2" w:rsidR="009F455B" w:rsidRPr="00966433" w:rsidRDefault="009F455B" w:rsidP="009F455B">
      <w:pPr>
        <w:rPr>
          <w:b/>
          <w:bCs/>
        </w:rPr>
      </w:pPr>
      <w:r w:rsidRPr="00966433">
        <w:rPr>
          <w:b/>
          <w:bCs/>
        </w:rPr>
        <w:t xml:space="preserve">Figure </w:t>
      </w:r>
      <w:r w:rsidR="0038235D">
        <w:rPr>
          <w:b/>
          <w:bCs/>
        </w:rPr>
        <w:t>2.</w:t>
      </w:r>
      <w:r w:rsidR="00700967" w:rsidRPr="00966433">
        <w:rPr>
          <w:b/>
          <w:bCs/>
        </w:rPr>
        <w:t>3</w:t>
      </w:r>
      <w:r w:rsidRPr="00966433">
        <w:rPr>
          <w:b/>
          <w:bCs/>
        </w:rPr>
        <w:t xml:space="preserve">. </w:t>
      </w:r>
      <w:bookmarkStart w:id="17" w:name="_Hlk94422137"/>
      <w:r w:rsidRPr="00966433">
        <w:rPr>
          <w:b/>
          <w:bCs/>
        </w:rPr>
        <w:t xml:space="preserve">Modelled relationships between producer price predictors and the allocation of new economic land concessions </w:t>
      </w:r>
      <w:bookmarkEnd w:id="17"/>
      <w:r w:rsidRPr="00966433">
        <w:rPr>
          <w:b/>
          <w:bCs/>
        </w:rPr>
        <w:t xml:space="preserve">Cambodia between 1993 – 2015. </w:t>
      </w:r>
      <w:r w:rsidR="004740E7" w:rsidRPr="00966433">
        <w:rPr>
          <w:b/>
          <w:bCs/>
        </w:rPr>
        <w:t xml:space="preserve">Points are the observed data, black lines are model predictions, and coloured ribbons are 95% confidence intervals. </w:t>
      </w:r>
      <w:r w:rsidRPr="00966433">
        <w:rPr>
          <w:b/>
          <w:bCs/>
        </w:rPr>
        <w:t>Top row: no time lag between predictor and response; middle row: 1-year time lag between predictor and response; bottom row: 2-year time lag between predictor and response.</w:t>
      </w:r>
      <w:r w:rsidR="00DE2591" w:rsidRPr="00966433">
        <w:rPr>
          <w:b/>
          <w:bCs/>
        </w:rPr>
        <w:t xml:space="preserve"> Models had Poisson error structures with a log link</w:t>
      </w:r>
      <w:r w:rsidR="003D5F3C" w:rsidRPr="00966433">
        <w:rPr>
          <w:b/>
          <w:bCs/>
        </w:rPr>
        <w:t>;</w:t>
      </w:r>
      <w:r w:rsidR="00DE2591" w:rsidRPr="00966433">
        <w:rPr>
          <w:b/>
          <w:bCs/>
        </w:rPr>
        <w:t xml:space="preserve"> points and predictions were back-transformed to the original scale for plotting above.</w:t>
      </w:r>
      <w:r w:rsidR="003D5F3C" w:rsidRPr="00966433">
        <w:rPr>
          <w:b/>
          <w:bCs/>
        </w:rPr>
        <w:t xml:space="preserve"> </w:t>
      </w:r>
    </w:p>
    <w:p w14:paraId="695F9DBA" w14:textId="2BA93BB3" w:rsidR="000A46B5" w:rsidRDefault="000A46B5" w:rsidP="000A46B5"/>
    <w:p w14:paraId="49C0471E" w14:textId="77777777" w:rsidR="00EC7AAF" w:rsidRDefault="00EC7AAF" w:rsidP="000A46B5">
      <w:pPr>
        <w:rPr>
          <w:b/>
          <w:bCs/>
        </w:rPr>
      </w:pPr>
    </w:p>
    <w:p w14:paraId="56EC1239" w14:textId="77777777" w:rsidR="00EC7AAF" w:rsidRDefault="00EC7AAF" w:rsidP="000A46B5">
      <w:pPr>
        <w:rPr>
          <w:b/>
          <w:bCs/>
        </w:rPr>
      </w:pPr>
    </w:p>
    <w:p w14:paraId="5F6C1434" w14:textId="078C8F11" w:rsidR="002E4677" w:rsidRDefault="000A0B92" w:rsidP="000A46B5">
      <w:pPr>
        <w:rPr>
          <w:b/>
          <w:bCs/>
        </w:rPr>
      </w:pPr>
      <w:r>
        <w:rPr>
          <w:b/>
          <w:bCs/>
        </w:rPr>
        <w:t xml:space="preserve">2.4 </w:t>
      </w:r>
      <w:r w:rsidR="002E4677" w:rsidRPr="002E4677">
        <w:rPr>
          <w:b/>
          <w:bCs/>
        </w:rPr>
        <w:t>D</w:t>
      </w:r>
      <w:r>
        <w:rPr>
          <w:b/>
          <w:bCs/>
        </w:rPr>
        <w:t>ISCUSSION</w:t>
      </w:r>
    </w:p>
    <w:p w14:paraId="135FC9CB" w14:textId="2EC4557B" w:rsidR="00046338" w:rsidRDefault="006F2311" w:rsidP="00965D4A">
      <w:r>
        <w:lastRenderedPageBreak/>
        <w:t xml:space="preserve">In this study, </w:t>
      </w:r>
      <w:r w:rsidR="00D55D54">
        <w:t>I</w:t>
      </w:r>
      <w:r>
        <w:t xml:space="preserve"> have modelled the relationships between </w:t>
      </w:r>
      <w:r w:rsidR="00287C4F">
        <w:t xml:space="preserve">metrics of </w:t>
      </w:r>
      <w:r w:rsidR="0014476F">
        <w:t>economic</w:t>
      </w:r>
      <w:r w:rsidR="00287C4F">
        <w:t xml:space="preserve"> development</w:t>
      </w:r>
      <w:r w:rsidR="0014476F">
        <w:t xml:space="preserve"> and </w:t>
      </w:r>
      <w:r w:rsidR="00287C4F">
        <w:t xml:space="preserve">the </w:t>
      </w:r>
      <w:r w:rsidR="0014476F">
        <w:t xml:space="preserve">agricultural </w:t>
      </w:r>
      <w:r w:rsidR="00287C4F">
        <w:t>sector</w:t>
      </w:r>
      <w:r w:rsidR="00BB787D">
        <w:t>,</w:t>
      </w:r>
      <w:r>
        <w:t xml:space="preserve"> and forest loss</w:t>
      </w:r>
      <w:r w:rsidR="00381FF1">
        <w:t xml:space="preserve"> </w:t>
      </w:r>
      <w:r>
        <w:t xml:space="preserve">and the development of </w:t>
      </w:r>
      <w:r w:rsidR="001B2E6F">
        <w:t>industrial-scale agriculture</w:t>
      </w:r>
      <w:r>
        <w:t xml:space="preserve">. </w:t>
      </w:r>
      <w:r w:rsidR="00287C4F">
        <w:t xml:space="preserve">My analysis has revealed some important relationships between changes in the national economy and the growth of the commercial agriculture sector, from which I can make inferences regarding drivers of forest loss. </w:t>
      </w:r>
      <w:r w:rsidR="007C7AA3">
        <w:t>Understanding the relationships between economic development and deforestation is</w:t>
      </w:r>
      <w:r w:rsidR="001B2E6F">
        <w:t xml:space="preserve"> critical in countries that are undergoing rapid economic and social development such as Cambodia </w:t>
      </w:r>
      <w:r w:rsidR="001B2E6F">
        <w:fldChar w:fldCharType="begin"/>
      </w:r>
      <w:r w:rsidR="00C20340">
        <w:instrText xml:space="preserve"> ADDIN ZOTERO_ITEM CSL_CITATION {"citationID":"E1ISxbwp","properties":{"formattedCitation":"(Hughes &amp; Un 2011)","plainCitation":"(Hughes &amp; Un 2011)","noteIndex":0},"citationItems":[{"id":2448,"uris":["http://zotero.org/users/2170232/items/IRTUHWES"],"uri":["http://zotero.org/users/2170232/items/IRTUHWES"],"itemData":{"id":2448,"type":"report","collection-title":"NIAS Studies in Asian Topics","event-place":"Leifsgade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rsidR="001B2E6F">
        <w:fldChar w:fldCharType="separate"/>
      </w:r>
      <w:r w:rsidR="001B2E6F" w:rsidRPr="001B2E6F">
        <w:rPr>
          <w:rFonts w:ascii="Calibri" w:hAnsi="Calibri" w:cs="Calibri"/>
        </w:rPr>
        <w:t>(Hughes &amp; Un 2011)</w:t>
      </w:r>
      <w:r w:rsidR="001B2E6F">
        <w:fldChar w:fldCharType="end"/>
      </w:r>
      <w:r w:rsidR="001B2E6F">
        <w:t xml:space="preserve">, as it is within these conditions of socioeconomic transition that forest loss is often accelerated </w:t>
      </w:r>
      <w:r w:rsidR="001B2E6F">
        <w:fldChar w:fldCharType="begin"/>
      </w:r>
      <w:r w:rsidR="001B2E6F">
        <w:instrText xml:space="preserve"> ADDIN ZOTERO_ITEM CSL_CITATION {"citationID":"3e6VsjPn","properties":{"formattedCitation":"(Imai et al. 2018)","plainCitation":"(Imai et al. 2018)","noteIndex":0},"citationItems":[{"id":2735,"uris":["http://zotero.org/users/2170232/items/NRDB68R8"],"uri":["http://zotero.org/users/2170232/items/NRDB68R8"],"itemData":{"id":2735,"type":"article-journal","abstract":"While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schema":"https://github.com/citation-style-language/schema/raw/master/csl-citation.json"} </w:instrText>
      </w:r>
      <w:r w:rsidR="001B2E6F">
        <w:fldChar w:fldCharType="separate"/>
      </w:r>
      <w:r w:rsidR="001B2E6F" w:rsidRPr="001B2E6F">
        <w:rPr>
          <w:rFonts w:ascii="Calibri" w:hAnsi="Calibri" w:cs="Calibri"/>
        </w:rPr>
        <w:t>(Imai et al. 2018)</w:t>
      </w:r>
      <w:r w:rsidR="001B2E6F">
        <w:fldChar w:fldCharType="end"/>
      </w:r>
      <w:r w:rsidR="001B2E6F">
        <w:t>.</w:t>
      </w:r>
      <w:r w:rsidR="00947237">
        <w:t xml:space="preserve"> Knowledge of these relationships can be used to develop land use policies that can guide a country through forest transition periods towards sustainable forestry </w:t>
      </w:r>
      <w:r w:rsidR="00947237">
        <w:fldChar w:fldCharType="begin"/>
      </w:r>
      <w:r w:rsidR="00947237">
        <w:instrText xml:space="preserve"> ADDIN ZOTERO_ITEM CSL_CITATION {"citationID":"DhVThW0z","properties":{"formattedCitation":"(Culas 2012)","plainCitation":"(Culas 2012)","noteIndex":0},"citationItems":[{"id":2143,"uris":["http://zotero.org/users/2170232/items/TPIWN6QK"],"uri":["http://zotero.org/users/2170232/items/TPIWN6QK"],"itemData":{"id":2143,"type":"article-journal","abstract":"International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J."}],"issued":{"date-parts":[["2012",7,1]]}}}],"schema":"https://github.com/citation-style-language/schema/raw/master/csl-citation.json"} </w:instrText>
      </w:r>
      <w:r w:rsidR="00947237">
        <w:fldChar w:fldCharType="separate"/>
      </w:r>
      <w:r w:rsidR="00947237" w:rsidRPr="00947237">
        <w:rPr>
          <w:rFonts w:ascii="Calibri" w:hAnsi="Calibri" w:cs="Calibri"/>
        </w:rPr>
        <w:t>(Culas 2012)</w:t>
      </w:r>
      <w:r w:rsidR="00947237">
        <w:fldChar w:fldCharType="end"/>
      </w:r>
      <w:r w:rsidR="00947237">
        <w:t xml:space="preserve">. </w:t>
      </w:r>
    </w:p>
    <w:p w14:paraId="3C8E1423" w14:textId="004E758B" w:rsidR="00AD3F12" w:rsidRPr="00965D4A" w:rsidRDefault="00965D4A" w:rsidP="006F2311">
      <w:pPr>
        <w:rPr>
          <w:b/>
          <w:bCs/>
          <w:i/>
          <w:iCs/>
        </w:rPr>
      </w:pPr>
      <w:r w:rsidRPr="00965D4A">
        <w:rPr>
          <w:b/>
          <w:bCs/>
          <w:i/>
          <w:iCs/>
        </w:rPr>
        <w:t xml:space="preserve">2.4.1 </w:t>
      </w:r>
      <w:r w:rsidR="00AD3F12" w:rsidRPr="00965D4A">
        <w:rPr>
          <w:b/>
          <w:bCs/>
          <w:i/>
          <w:iCs/>
        </w:rPr>
        <w:t>New E</w:t>
      </w:r>
      <w:r>
        <w:rPr>
          <w:b/>
          <w:bCs/>
          <w:i/>
          <w:iCs/>
        </w:rPr>
        <w:t>conomic Land Concessions</w:t>
      </w:r>
    </w:p>
    <w:p w14:paraId="79089BA6" w14:textId="19830B23" w:rsidR="003205E2" w:rsidRDefault="006F2311" w:rsidP="006F2311">
      <w:r>
        <w:t xml:space="preserve">In contrast, the economic </w:t>
      </w:r>
      <w:r w:rsidR="0014476F">
        <w:t xml:space="preserve">and agricultural commodity </w:t>
      </w:r>
      <w:r>
        <w:t xml:space="preserve">variables were effective at predicting the allocation of new ELCs. Although ELCs do not guarantee deforestation (indeed not all ELCs are awarded on forested land), the deforestation rates within ELCs are up to 105% higher than comparable areas with no ELCs </w:t>
      </w:r>
      <w:r>
        <w:fldChar w:fldCharType="begin"/>
      </w:r>
      <w:r w:rsidR="007739D7">
        <w:instrText xml:space="preserve"> ADDIN ZOTERO_ITEM CSL_CITATION {"citationID":"d0P6J01P","properties":{"formattedCitation":"(Davis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fldChar w:fldCharType="separate"/>
      </w:r>
      <w:r w:rsidR="007739D7" w:rsidRPr="007739D7">
        <w:rPr>
          <w:rFonts w:ascii="Calibri" w:hAnsi="Calibri" w:cs="Calibri"/>
        </w:rPr>
        <w:t>(Davis et al. 2015)</w:t>
      </w:r>
      <w:r>
        <w:fldChar w:fldCharType="end"/>
      </w:r>
      <w:r>
        <w:t xml:space="preserve">. There has also been widespread allocation of ELCs within forested community land and protected areas, resulting in the loss of important forest habitat, rural livelihoods, and indigenous land rights </w:t>
      </w:r>
      <w:r>
        <w:fldChar w:fldCharType="begin"/>
      </w:r>
      <w:r w:rsidR="00AD1588">
        <w:instrText xml:space="preserve"> ADDIN ZOTERO_ITEM CSL_CITATION {"citationID":"usbYIFKC","properties":{"formattedCitation":"(Neef et al. 2013; Oldenburg &amp; Neef 2014; Watson et al. 2014; Davis et al. 2015; Beauchamp et al. 2018; Magliocca et al. 2019)","plainCitation":"(Neef et al. 2013; Oldenburg &amp; Neef 2014; Watson et al. 2014; Davis et al. 2015; Beauchamp et al. 2018; Magliocca et al. 2019)","noteIndex":0},"citationItems":[{"id":2486,"uris":["http://zotero.org/users/2170232/items/2HCRAVQT"],"uri":["http://zotero.org/users/2170232/items/2HCRAVQT"],"itemData":{"id":2486,"type":"article-journal","abstract":"In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2482,"uris":["http://zotero.org/users/2170232/items/RTUUGXI9"],"uri":["http://zotero.org/users/2170232/items/RTUUGXI9"],"itemData":{"id":2482,"type":"article-journal","container-title":"Law and Development Review","issue":"1","journalAbbreviation":"Law &amp; Dev. Rev.","language":"eng","page":"49-78","source":"HeinOnline","title":"Reversing Land Grabs or Aggravating Tenure Insecurity: Competing Perspectives on Economic Land Concessions and Land Titling in Cambodia","title-short":"Reversing Land Grabs or Aggravating Tenure Insecurity","volume":"7","author":[{"family":"Oldenburg","given":"Christoph"},{"family":"Neef","given":"Andreas"}],"issued":{"date-parts":[["2014"]]}}},{"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3123,"uris":["http://zotero.org/users/2170232/items/JE75AC84"],"uri":["http://zotero.org/users/2170232/items/JE75AC84"],"itemData":{"id":3123,"type":"article-journal","abstract":"Trade-offs between different land use outcomes are inevitable to meet both development and conservation agendas, especially in developing countries where aspirations for development take place within the world's most biodiversity-rich areas. Reports at the national or subnational levels about how trade-offs between conservation and development outcomes materialise once implemented are limited and regionalized analyses are required to understand how they materialise spatially once policies are executed. We take the case study of northern Cambodia, where both protected areas (PAs), as a conservation policy, and Economic Land Concessions (ELCs), as a developmental agricultural intensification strategy, have been implemented. We explore the influences on placement of ELCs and the extent to which they overlap with protected areas, using mixed effect models. We then determine the predictors of deforestation in the study area between 2008 and 2013, including presence of ELCs and PAs. ELC placement does not respond to expected socio-environmental factors related to implementation criteria in policy documents, and is not influenced by the presence of PAs. ELCs represent the most significant driver of deforestation of the factors considered. PAs limit deforestation but only if well-managed. This failure to achieve the balanced trade-off between conservation and development outcomes which policies intend points to development impacts compromising environmental sustainability in the long-run.","container-title":"Land Use Policy","DOI":"10.1016/j.landusepol.2017.11.021","ISSN":"0264-8377","journalAbbreviation":"Land Use Policy","language":"en","page":"431-444","source":"ScienceDirect","title":"Exploring trade-offs between development and conservation outcomes in Northern Cambodia","volume":"71","author":[{"family":"Beauchamp","given":"Emilie"},{"family":"Clements","given":"Tom"},{"family":"Milner-Gulland","given":"E. J."}],"issued":{"date-parts":[["2018",2,1]]}}},{"id":3067,"uris":["http://zotero.org/users/2170232/items/GQ9JDGW8"],"uri":["http://zotero.org/users/2170232/items/GQ9JDGW8"],"itemData":{"id":3067,"type":"article-journal","abstract":"In the global South, a rush of large-scale land acquisitions (LSLAs) is occurring by governments and transnational and domestic investors seeking to secure access to land in developing countries to produce food, biofuels, and other agricultural commodities. Complex interactions between regional and global market dynamics and local institutional, socioeconomic, and agro-ecological conditions can lead to widely varying causal processes, land-use change (LUC), and socioeconomic and environmental outcomes. Systematic understanding of how characteristics of LSLAs across multiple social and environmental contexts produce spillover effects on local communities, ranging from employment opportunities to displacement and indirect land-use change (iLUC), is lacking. We conceptualize agricultural commodity production and land-acquisition processes associated with LSLAs as catalyzing causal pathways of direct and indirect land-use changes. Using the case of economic land concessions (ELCs) in Cambodia, we employed a novel synthesis research approach combining remote sensing, spatio-temporal statistics, and case study meta-analysis to construct archetypical pathways of the causes, timing, and consequences of ELC-driven land change. Archetypical pathways generally diverged based on specialized or flex commodity crops and rates of direct LUC, and rapid rates of direct LUC tended to cause displacement and iLUC. In contrast, ELCs producing commodity crops associated with more gradual land-use change and/or organized local resistance lead to less iLUC. Systematic knowledge generated through synthesis of local causes and consequences of LSLA-driven land change is now possible and needed to better address the direct and indirect consequences of LSLAs for commodity crop production.","container-title":"Ecology and Society","ISSN":"1708-3087","issue":"2","note":"publisher: Resilience Alliance Inc.","source":"JSTOR","title":"Archetypical pathways of direct and indirect land-use change caused by Cambodia’s economic land concessions","URL":"https://www.jstor.org/stable/26796950","volume":"24","author":[{"family":"Magliocca","given":"Nicholas R."},{"family":"Van Khuc","given":"Quy"},{"family":"Ellicott","given":"Evan A."},{"family":"Bremond","given":"Ariane","non-dropping-particle":"de"}],"accessed":{"date-parts":[["2021",12,6]]},"issued":{"date-parts":[["2019"]]}}}],"schema":"https://github.com/citation-style-language/schema/raw/master/csl-citation.json"} </w:instrText>
      </w:r>
      <w:r>
        <w:fldChar w:fldCharType="separate"/>
      </w:r>
      <w:r w:rsidR="00AD1588" w:rsidRPr="00AD1588">
        <w:rPr>
          <w:rFonts w:ascii="Calibri" w:hAnsi="Calibri" w:cs="Calibri"/>
        </w:rPr>
        <w:t>(Neef et al. 2013; Oldenburg &amp; Neef 2014; Watson et al. 2014; Davis et al. 2015; Beauchamp et al. 2018; Magliocca et al. 2019)</w:t>
      </w:r>
      <w:r>
        <w:fldChar w:fldCharType="end"/>
      </w:r>
      <w:r>
        <w:t xml:space="preserve">. Therefore, ELCs themselves can be considered direct drivers of forest loss, </w:t>
      </w:r>
      <w:r w:rsidR="00AD1588">
        <w:t>which may mean that</w:t>
      </w:r>
      <w:r>
        <w:t xml:space="preserve"> the </w:t>
      </w:r>
      <w:r w:rsidR="0014476F">
        <w:t xml:space="preserve">economic and agricultural commodity </w:t>
      </w:r>
      <w:r>
        <w:t>predictors</w:t>
      </w:r>
      <w:r w:rsidR="00AD1588">
        <w:t xml:space="preserve"> are indeed</w:t>
      </w:r>
      <w:r>
        <w:t xml:space="preserve"> indirect drivers. </w:t>
      </w:r>
      <w:r w:rsidR="00376731">
        <w:t>My</w:t>
      </w:r>
      <w:r>
        <w:t xml:space="preserve"> results have demonstrated that during the study period, the </w:t>
      </w:r>
      <w:r w:rsidR="000E32E5">
        <w:t>national economy and economic development</w:t>
      </w:r>
      <w:r>
        <w:t xml:space="preserve"> of the country</w:t>
      </w:r>
      <w:r w:rsidR="00B66116">
        <w:t>, including increases in foreign investment, changes in the structure of national GDP, and fluctuations in agricultural commodity prices,</w:t>
      </w:r>
      <w:r>
        <w:t xml:space="preserve"> w</w:t>
      </w:r>
      <w:r w:rsidR="000E32E5">
        <w:t>ere</w:t>
      </w:r>
      <w:r>
        <w:t xml:space="preserve"> closely linked to the increase in ELCs, which in turn have</w:t>
      </w:r>
      <w:r w:rsidR="00B66116">
        <w:t xml:space="preserve"> been shown to</w:t>
      </w:r>
      <w:r>
        <w:t xml:space="preserve"> driv</w:t>
      </w:r>
      <w:r w:rsidR="00B66116">
        <w:t>e</w:t>
      </w:r>
      <w:r>
        <w:t xml:space="preserve"> forest loss. </w:t>
      </w:r>
      <w:r w:rsidR="00EC7AAF">
        <w:t>These effects suggest ties between both the development of new ELCs and the growth of the agricultural sector, and the injection of foreign wealth into the sector via the purchasing of concessions by international companies.</w:t>
      </w:r>
    </w:p>
    <w:p w14:paraId="2B72F5CE" w14:textId="62604993" w:rsidR="0089542A" w:rsidRPr="0089542A" w:rsidRDefault="00965D4A" w:rsidP="00801E63">
      <w:pPr>
        <w:rPr>
          <w:i/>
          <w:iCs/>
        </w:rPr>
      </w:pPr>
      <w:r>
        <w:rPr>
          <w:i/>
          <w:iCs/>
        </w:rPr>
        <w:t xml:space="preserve">2.4.1.1 </w:t>
      </w:r>
      <w:r w:rsidR="0089542A" w:rsidRPr="0089542A">
        <w:rPr>
          <w:i/>
          <w:iCs/>
        </w:rPr>
        <w:t xml:space="preserve">Economics </w:t>
      </w:r>
    </w:p>
    <w:p w14:paraId="359D150E" w14:textId="5599FE21" w:rsidR="00201C8C" w:rsidRDefault="006F2311" w:rsidP="006F2311">
      <w:r>
        <w:t xml:space="preserve">There were clear relationships between the size of the agricultural sector, the rates of foreign investment, and the number of new ELCs. </w:t>
      </w:r>
      <w:r w:rsidR="00B82439">
        <w:t>When the agricultural sector’s contribution to national GDP increase</w:t>
      </w:r>
      <w:r w:rsidR="00BB787D">
        <w:t>d</w:t>
      </w:r>
      <w:r w:rsidR="00B82439">
        <w:t>, so d</w:t>
      </w:r>
      <w:r w:rsidR="00BB787D">
        <w:t>id</w:t>
      </w:r>
      <w:r w:rsidR="00B82439">
        <w:t xml:space="preserve"> the predicted number of new ELCs. </w:t>
      </w:r>
      <w:r w:rsidR="00801E63">
        <w:t xml:space="preserve">For example, when the agricultural sector’s </w:t>
      </w:r>
      <w:r w:rsidR="00B82439">
        <w:t>GDP proportion</w:t>
      </w:r>
      <w:r w:rsidR="00801E63">
        <w:t xml:space="preserve"> decrease</w:t>
      </w:r>
      <w:r w:rsidR="00F60630">
        <w:t>d</w:t>
      </w:r>
      <w:r w:rsidR="00801E63">
        <w:t xml:space="preserve"> by 3% in a given year relative to the previous year, the number of new ELCs allocated that year is predicted to be approximately </w:t>
      </w:r>
      <w:r w:rsidR="00BB787D">
        <w:t>two</w:t>
      </w:r>
      <w:r w:rsidR="00801E63">
        <w:t>, whereas when the sector’s</w:t>
      </w:r>
      <w:r w:rsidR="00B82439">
        <w:t xml:space="preserve"> GDP</w:t>
      </w:r>
      <w:r w:rsidR="00801E63">
        <w:t xml:space="preserve"> proportion</w:t>
      </w:r>
      <w:r w:rsidR="00B82439">
        <w:t xml:space="preserve"> </w:t>
      </w:r>
      <w:r w:rsidR="00801E63">
        <w:t>increase</w:t>
      </w:r>
      <w:r w:rsidR="00F60630">
        <w:t>d</w:t>
      </w:r>
      <w:r w:rsidR="00801E63">
        <w:t xml:space="preserve"> in a given year by 1% relative to the previous year, the number of new ELCs is predicted to be </w:t>
      </w:r>
      <w:r w:rsidR="00BB787D">
        <w:t>six</w:t>
      </w:r>
      <w:r w:rsidR="00801E63">
        <w:t xml:space="preserve">. </w:t>
      </w:r>
      <w:r w:rsidR="00B82439">
        <w:t>Likewise, when foreign investment into the country increase</w:t>
      </w:r>
      <w:r w:rsidR="00BB787D">
        <w:t>d</w:t>
      </w:r>
      <w:r w:rsidR="00B82439">
        <w:t>, so d</w:t>
      </w:r>
      <w:r w:rsidR="00BB787D">
        <w:t>id</w:t>
      </w:r>
      <w:r w:rsidR="00B82439">
        <w:t xml:space="preserve"> the predicted number of new ELCs. For example, w</w:t>
      </w:r>
      <w:r w:rsidR="00801E63">
        <w:t>hen the amount of foreign investment decrease</w:t>
      </w:r>
      <w:r w:rsidR="00F60630">
        <w:t>d</w:t>
      </w:r>
      <w:r w:rsidR="00801E63">
        <w:t xml:space="preserve"> by approximately $10 million relative to the previous year, the number of new ELCs one year later is predicted to be </w:t>
      </w:r>
      <w:r w:rsidR="00BB787D">
        <w:t>three</w:t>
      </w:r>
      <w:r w:rsidR="00801E63">
        <w:t>. Conversely, when foreign investment in a given year increase</w:t>
      </w:r>
      <w:r w:rsidR="00F60630">
        <w:t>d</w:t>
      </w:r>
      <w:r w:rsidR="00801E63">
        <w:t xml:space="preserve"> by approximately $300 million relative to the previous year, then one year later the number of new ELCs is predicted to be 10. </w:t>
      </w:r>
      <w:r w:rsidR="00B82439">
        <w:t xml:space="preserve">Although </w:t>
      </w:r>
      <w:r w:rsidR="00376731">
        <w:t>my</w:t>
      </w:r>
      <w:r w:rsidR="00B82439">
        <w:t xml:space="preserve"> results do not describe causation, </w:t>
      </w:r>
      <w:r w:rsidR="007A4E6E">
        <w:t>there</w:t>
      </w:r>
      <w:r w:rsidR="00B82439">
        <w:t xml:space="preserve"> are important relationships between foreign investment, agriculture, and the development of new ELCs.</w:t>
      </w:r>
      <w:r w:rsidR="00131C5D">
        <w:t xml:space="preserve"> </w:t>
      </w:r>
      <w:r w:rsidR="00201C8C">
        <w:t xml:space="preserve">Interestingly, increases in development flows to the environment sector did not reduce the number of new ELCs. </w:t>
      </w:r>
      <w:r w:rsidR="00201C8C">
        <w:t>This suggests that in the short-term</w:t>
      </w:r>
      <w:r w:rsidR="00201C8C">
        <w:t xml:space="preserve"> (i.e., over periods less than three years)</w:t>
      </w:r>
      <w:r w:rsidR="00201C8C">
        <w:t xml:space="preserve">, investments into the environment sector via development funding (predominantly from international donors) does not reduce the number of new ELC allocations. </w:t>
      </w:r>
    </w:p>
    <w:p w14:paraId="2DECDAB0" w14:textId="5438F344" w:rsidR="006F2311" w:rsidRDefault="00131C5D" w:rsidP="006F2311">
      <w:r>
        <w:lastRenderedPageBreak/>
        <w:t xml:space="preserve">Cambodia is likely to continue prioritising growth within the agricultural sector </w:t>
      </w:r>
      <w:r>
        <w:fldChar w:fldCharType="begin"/>
      </w:r>
      <w:r>
        <w:instrText xml:space="preserve"> ADDIN ZOTERO_ITEM CSL_CITATION {"citationID":"d0gRFWeG","properties":{"formattedCitation":"(Eliste &amp; Zorya 2015)","plainCitation":"(Eliste &amp;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fldChar w:fldCharType="separate"/>
      </w:r>
      <w:r w:rsidRPr="00131C5D">
        <w:rPr>
          <w:rFonts w:ascii="Calibri" w:hAnsi="Calibri" w:cs="Calibri"/>
        </w:rPr>
        <w:t>(Eliste &amp; Zorya 2015)</w:t>
      </w:r>
      <w:r>
        <w:fldChar w:fldCharType="end"/>
      </w:r>
      <w:r>
        <w:t xml:space="preserve">, and neoliberal economic policies will continue to encourage foreign investment </w:t>
      </w:r>
      <w:r>
        <w:fldChar w:fldCharType="begin"/>
      </w:r>
      <w:r w:rsidR="00C20340">
        <w:instrText xml:space="preserve"> ADDIN ZOTERO_ITEM CSL_CITATION {"citationID":"4Srbtbpu","properties":{"formattedCitation":"(Hughes &amp; Un 2011; Green 2020; Phillips &amp; Davy 2021)","plainCitation":"(Hughes &amp; Un 2011; Green 2020; Phillips &amp; Davy 2021)","noteIndex":0},"citationItems":[{"id":2448,"uris":["http://zotero.org/users/2170232/items/IRTUHWES"],"uri":["http://zotero.org/users/2170232/items/IRTUHWES"],"itemData":{"id":2448,"type":"report","collection-title":"NIAS Studies in Asian Topics","event-place":"Leifsgade 33, DK-2300 Copenhagen S, Denmark","number":"49","publisher":"Nordic Institute of Asian Studies","publisher-place":"Leifsgade 33, DK-2300 Copenhagen S, Denmark","title":"Cambodia's Economic Transformation","author":[{"family":"Hughes","given":"C"},{"family":"Un","given":"K"}],"issued":{"date-parts":[["2011"]]}}},{"id":2901,"uris":["http://zotero.org/users/2170232/items/GEVSXNPE"],"uri":["http://zotero.org/users/2170232/items/GEVSXNPE"],"itemData":{"id":2901,"type":"article-journal","abstract":"In the context of neoliberal financialization, what is the role of debt in agrarian change? To address this question, I combine insights about debt from rural political ecology and development finance scholarship in order to analyze the relationship between changing agroecological practices and household indebtedness in a Cambodian rice- farming village. In the past two decades, Cambodians have borrowed from commercial microfinance institutions at the highest rate per capita of any country in the world. With fewer Cambodians farming, and agricultural production increasingly commodified, researchers have begun to study how the fast growth of Cambodia's microfinance industry contributes to these changes. By building upon the concept of financial landscapes, which highlights the diversity of social and material relations of debt in rural economies, I argue that agrarian change in Cambodia is entangled with rising household debts used to fund both agricultural production and social reproduction. I describe how non-monetary debt obligations underpinned labor-intensive rice agricultural practices in the 1980s and early 1990s, but have since been replaced by monetary debt used to fund household basic needs and commodified agricultural production. To make my argument, I draw upon 20 months of ethnographic research within a farming village in Kampot Province. This article contributes to rural political ecology and development finance scholarship by exploring debt in its diverse material and social forms at a time of deepening financialization, and how these debt relations in turn shape the economic and agroecological contours of contemporary agrarian change.","container-title":"Geoforum","DOI":"10.1016/j.geoforum.2020.02.001","ISSN":"0016-7185","journalAbbreviation":"Geoforum","language":"en","source":"ScienceDirect","title":"Financial landscapes of agrarian change in Cambodia","URL":"https://www.sciencedirect.com/science/article/pii/S0016718520300361","author":[{"family":"Green","given":"W. Nathan"}],"accessed":{"date-parts":[["2021",10,20]]},"issued":{"date-parts":[["2020",2,15]]}}},{"id":2903,"uris":["http://zotero.org/users/2170232/items/JHUW6T38"],"uri":["http://zotero.org/users/2170232/items/JHUW6T38"],"itemData":{"id":2903,"type":"chapter","abstract":"The main purpose of this chapter is to shine a light on transnational ‘neoliberalization’ of civil society. Transformations from authoritarian states to capitalist free-market economies are often linked to democratization, however the lack of welfare state structures and protective levels of regulation create avenues for exploitation. This exists in the growing number of hybridized civil society organizations in Southeast Asia. In order to demonstrate the impact of transnational neoliberalism on civil society, findings from a study about the microfinance sector in Cambodia, where the microfinance industry appeared to be creating serious consequences for Cambodian microfinance borrowers, are reported in this chapter. Based on interviews with workers within NGOs and UN agencies that operated to support people who have been released/freed from trafficking in persons, and those involved in the prevention of irregular migration and trafficking or policy initiatives, the study revealed the creation of highly vulnerable neoliberal subjects. The study also illuminated the impact of a privatized and marketized microfinance industry in Cambodia, thus demonstrating how the ‘neoliberalization’ of civil society’s social enterprise has in fact increased rather than prevented poverty.","container-title":"Transnational Civil Society in Asia","ISBN":"978-1-00-311048-4","note":"number-of-pages: 18","publisher":"Routledge","title":"Transnational neoliberalism in Asian civil society: Microfinance and poverty in Cambodia","title-short":"Transnational neoliberalism in Asian civil society","author":[{"family":"Phillips","given":"Ruth"},{"family":"Davy","given":"Deanna"}],"issued":{"date-parts":[["2021"]]}}}],"schema":"https://github.com/citation-style-language/schema/raw/master/csl-citation.json"} </w:instrText>
      </w:r>
      <w:r>
        <w:fldChar w:fldCharType="separate"/>
      </w:r>
      <w:r w:rsidRPr="00131C5D">
        <w:rPr>
          <w:rFonts w:ascii="Calibri" w:hAnsi="Calibri" w:cs="Calibri"/>
        </w:rPr>
        <w:t>(Hughes &amp; Un 2011; Green 2020; Phillips &amp; Davy 2021)</w:t>
      </w:r>
      <w:r>
        <w:fldChar w:fldCharType="end"/>
      </w:r>
      <w:r w:rsidR="001D4CBF">
        <w:t>. Therefore, it is likely that the development of industrial-scale commercial agriculture will continue</w:t>
      </w:r>
      <w:r w:rsidR="00DD0C5C">
        <w:t xml:space="preserve">, despite a visible effort to decrease them since 2012 </w:t>
      </w:r>
      <w:r w:rsidR="00526FE6">
        <w:fldChar w:fldCharType="begin"/>
      </w:r>
      <w:r w:rsidR="00526FE6">
        <w:instrText xml:space="preserve"> ADDIN ZOTERO_ITEM CSL_CITATION {"citationID":"YENjaADP","properties":{"formattedCitation":"(Neef et al. 2013)","plainCitation":"(Neef et al. 2013)","noteIndex":0},"citationItems":[{"id":2486,"uris":["http://zotero.org/users/2170232/items/2HCRAVQT"],"uri":["http://zotero.org/users/2170232/items/2HCRAVQT"],"itemData":{"id":2486,"type":"article-journal","abstract":"In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schema":"https://github.com/citation-style-language/schema/raw/master/csl-citation.json"} </w:instrText>
      </w:r>
      <w:r w:rsidR="00526FE6">
        <w:fldChar w:fldCharType="separate"/>
      </w:r>
      <w:r w:rsidR="00526FE6" w:rsidRPr="00526FE6">
        <w:rPr>
          <w:rFonts w:ascii="Calibri" w:hAnsi="Calibri" w:cs="Calibri"/>
        </w:rPr>
        <w:t>(Neef et al. 2013)</w:t>
      </w:r>
      <w:r w:rsidR="00526FE6">
        <w:fldChar w:fldCharType="end"/>
      </w:r>
      <w:r w:rsidR="001D4CBF">
        <w:t xml:space="preserve">. </w:t>
      </w:r>
      <w:r w:rsidR="006F2311">
        <w:t xml:space="preserve">The process of awarding ELC contracts in Cambodia has been criticised for lacking transparency and for corruption </w:t>
      </w:r>
      <w:r w:rsidR="006F2311">
        <w:fldChar w:fldCharType="begin"/>
      </w:r>
      <w:r w:rsidR="00C20340">
        <w:instrText xml:space="preserve"> ADDIN ZOTERO_ITEM CSL_CITATION {"citationID":"ZEOqCtHg","properties":{"formattedCitation":"(Vrieze &amp; Kuch 2012; Neef et al. 2013)","plainCitation":"(Vrieze &amp; Kuch 2012; Neef et al. 2013)","noteIndex":0},"citationItems":[{"id":2486,"uris":["http://zotero.org/users/2170232/items/2HCRAVQT"],"uri":["http://zotero.org/users/2170232/items/2HCRAVQT"],"itemData":{"id":2486,"type":"article-journal","abstract":"In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2053,"uris":["http://zotero.org/users/2170232/items/C9AXILM9"],"uri":["http://zotero.org/users/2170232/items/C9AXILM9"],"itemData":{"id":2053,"type":"article-newspaper","container-title":"The Cambodia Daily","page":"4-11","title":"Carving up Cambodia: One concession at a time","author":[{"family":"Vrieze","given":"Paul"},{"family":"Kuch","given":"Naren"}],"issued":{"date-parts":[["2012"]]}}}],"schema":"https://github.com/citation-style-language/schema/raw/master/csl-citation.json"} </w:instrText>
      </w:r>
      <w:r w:rsidR="006F2311">
        <w:fldChar w:fldCharType="separate"/>
      </w:r>
      <w:r w:rsidR="007739D7" w:rsidRPr="007739D7">
        <w:rPr>
          <w:rFonts w:ascii="Calibri" w:hAnsi="Calibri" w:cs="Calibri"/>
        </w:rPr>
        <w:t>(Vrieze &amp; Kuch 2012; Neef et al. 2013)</w:t>
      </w:r>
      <w:r w:rsidR="006F2311">
        <w:fldChar w:fldCharType="end"/>
      </w:r>
      <w:r w:rsidR="006F2311">
        <w:t>, and so it is not always possible to identify who owns a particular concession. Nevertheless, of those identified</w:t>
      </w:r>
      <w:r w:rsidR="00F513EE">
        <w:t xml:space="preserve"> (80% are identifiable)</w:t>
      </w:r>
      <w:r w:rsidR="006F2311">
        <w:t xml:space="preserve">, 48% were foreign owned </w:t>
      </w:r>
      <w:r w:rsidR="006F2311">
        <w:fldChar w:fldCharType="begin"/>
      </w:r>
      <w:r w:rsidR="007739D7">
        <w:instrText xml:space="preserve"> ADDIN ZOTERO_ITEM CSL_CITATION {"citationID":"FzYs6DA6","properties":{"formattedCitation":"(Licadho 2019)","plainCitation":"(Licadho 2019)","noteIndex":0},"citationItems":[{"id":2054,"uris":["http://zotero.org/users/2170232/items/4ICGYNM8"],"uri":["http://zotero.org/users/2170232/items/4ICGYNM8"],"itemData":{"id":2054,"type":"map","title":"Economic Land Concessions in Cambodia","URL":"http://www.licadho-cambodia.org","author":[{"family":"Licadho","given":""}],"accessed":{"date-parts":[["2019",9,24]]},"issued":{"date-parts":[["2019"]]}}}],"schema":"https://github.com/citation-style-language/schema/raw/master/csl-citation.json"} </w:instrText>
      </w:r>
      <w:r w:rsidR="006F2311">
        <w:fldChar w:fldCharType="separate"/>
      </w:r>
      <w:r w:rsidR="007739D7" w:rsidRPr="007739D7">
        <w:rPr>
          <w:rFonts w:ascii="Calibri" w:hAnsi="Calibri" w:cs="Calibri"/>
        </w:rPr>
        <w:t>(Licadho 2019)</w:t>
      </w:r>
      <w:r w:rsidR="006F2311">
        <w:fldChar w:fldCharType="end"/>
      </w:r>
      <w:r w:rsidR="006F2311">
        <w:t>. Despite real and perceived benefits of attracting foreign investment and</w:t>
      </w:r>
      <w:r w:rsidR="00A54C9C">
        <w:t xml:space="preserve"> promoting the</w:t>
      </w:r>
      <w:r w:rsidR="006F2311">
        <w:t xml:space="preserve"> expan</w:t>
      </w:r>
      <w:r w:rsidR="00A54C9C">
        <w:t>sion</w:t>
      </w:r>
      <w:r w:rsidR="006F2311">
        <w:t xml:space="preserve"> of cash crops</w:t>
      </w:r>
      <w:r w:rsidR="00415058">
        <w:t xml:space="preserve"> </w:t>
      </w:r>
      <w:r w:rsidR="00415058">
        <w:fldChar w:fldCharType="begin"/>
      </w:r>
      <w:r w:rsidR="00D955C9">
        <w:instrText xml:space="preserve"> ADDIN ZOTERO_ITEM CSL_CITATION {"citationID":"IRyuBzHF","properties":{"formattedCitation":"(Li et al. 2018; Taylor et al. 2019)","plainCitation":"(Li et al. 2018; Taylor et al. 2019)","noteIndex":0},"citationItems":[{"id":2910,"uris":["http://zotero.org/users/2170232/items/EKRIK89S"],"uri":["http://zotero.org/users/2170232/items/EKRIK89S"],"itemData":{"id":2910,"type":"article-journal","abstract":"Cash crops have kept expanding at an accelerating rate across the globe during the last decades. It therefore requires elaborate efforts to examine the socioeconomic and ecological consequences of cash crop cultivation. With a case of the Hangzhou region in subtropical China, this paper investigated the dynamic patterns of four cash crop types (tea, fruit, mulberry and nursery) at town level by using aerial photos; and then quantified the subsequent socioeconomic and ecological consequences using spatial regression. In particular, the socioeconomic impacts were examined based on a set of socioeconomic indicators and the ecological consequences were described by ecosystem service values (ESV) and landscape pattern changes. Results indicated that the economic benefits of cash crop cultivation were evident, including raising household income, boosting rural economy, increasing fiscal revenues, and attracting foreign investment. Cash crop cultivation generally yielded positive social impacts (welfare promotion, infrastructure improvement and job creation), but the impacts also varied with crop types. Cash crop cultivation not only increased landscape fragmentation, isolation and irregularity, but also decreased the dominance, connectivity and aggregation of forest and farmland. Specifically, forest was more subjected to tea and fruit expansion, while farmland was more vulnerable to mulberry and nursery expansion. A significant negative relationship was identified between ESV changes and cash crop expansion. It implied that cash crop cultivation would impair the capacity of ecosystems to deliver services. Our study demonstrated an applicable framework to identify the essential indicators for land use policy makers to monitor the socioeconomic and ecological consequences of cash crop cultivation.","container-title":"Land Use Policy","DOI":"10.1016/j.landusepol.2018.04.009","ISSN":"0264-8377","journalAbbreviation":"Land Use Policy","language":"en","page":"46-57","source":"ScienceDirect","title":"Exploring the socioeconomic and ecological consequences of cash crop cultivation for policy implications","volume":"76","author":[{"family":"Li","given":"Jing"},{"family":"Zhang","given":"Zelie"},{"family":"Jin","given":"Xianfeng"},{"family":"Chen","given":"Jiaquan"},{"family":"Zhang","given":"Shaojia"},{"family":"He","given":"Zong"},{"family":"Li","given":"Sheng"},{"family":"He","given":"Zhiming"},{"family":"Zhang","given":"Haipeng"},{"family":"Xiao","given":"He"}],"issued":{"date-parts":[["2018",7,1]]}}},{"id":2914,"uris":["http://zotero.org/users/2170232/items/XPP5Z55A"],"uri":["http://zotero.org/users/2170232/items/XPP5Z55A"],"itemData":{"id":2914,"type":"report","abstract":"A number of studies have examined the direct impacts of cash crop production on producer households. This is the first to quantify the general equilibrium impacts of introducing a new cash crop into a poor isolated economy, including impacts on environmentally sensitive fishing activities. We find that the introduction of oil palm production explains the striking growth in income in Uganda’s Ssese Islands, including large-scale production spillovers to non-palm sectors, as well as a significant reduction in pressure on the Lake Victoria fishery. It appears that oil palm development, via a project that connected a commercial aggregator with small-scale farmers, enabled an economy at a low-level equilibrium to transition to a higher equilibrium state, with positive spillovers across households as well as across production sectors. Econometric evidence confirms results from simulations using an island-wide general equilibrium model parameterized from new micro survey data.","language":"English","publisher":"IFAD","source":"agris.fao.org","title":"Local-economy impacts of cash crop promotion","URL":"https://www.ifad.org/en/web/knowledge/publication/asset/41374221","author":[{"family":"Taylor","given":"J. E."},{"family":"Whitney","given":"E."},{"family":"Zhu","given":"H."}],"accessed":{"date-parts":[["2021",10,20]]},"issued":{"date-parts":[["2019"]]}}}],"schema":"https://github.com/citation-style-language/schema/raw/master/csl-citation.json"} </w:instrText>
      </w:r>
      <w:r w:rsidR="00415058">
        <w:fldChar w:fldCharType="separate"/>
      </w:r>
      <w:r w:rsidR="00D955C9" w:rsidRPr="00D955C9">
        <w:rPr>
          <w:rFonts w:ascii="Calibri" w:hAnsi="Calibri" w:cs="Calibri"/>
        </w:rPr>
        <w:t>(Li et al. 2018; Taylor et al. 2019)</w:t>
      </w:r>
      <w:r w:rsidR="00415058">
        <w:fldChar w:fldCharType="end"/>
      </w:r>
      <w:r w:rsidR="006F2311">
        <w:t>, there are numerous negative effects on local people and the environment</w:t>
      </w:r>
      <w:r w:rsidR="00050B93">
        <w:t xml:space="preserve"> </w:t>
      </w:r>
      <w:r w:rsidR="00050B93">
        <w:fldChar w:fldCharType="begin"/>
      </w:r>
      <w:r w:rsidR="002C15A5">
        <w:instrText xml:space="preserve"> ADDIN ZOTERO_ITEM CSL_CITATION {"citationID":"c6uSyVfX","properties":{"formattedCitation":"(Neef et al. 2013; Oldenburg &amp; Neef 2014; Curtis et al. 2018; Magliocca et al. 2019; Zaehringer et al. 2020)","plainCitation":"(Neef et al. 2013; Oldenburg &amp; Neef 2014; Curtis et al. 2018; Magliocca et al. 2019; Zaehringer et al. 2020)","noteIndex":0},"citationItems":[{"id":2486,"uris":["http://zotero.org/users/2170232/items/2HCRAVQT"],"uri":["http://zotero.org/users/2170232/items/2HCRAVQT"],"itemData":{"id":2486,"type":"article-journal","abstract":"In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2482,"uris":["http://zotero.org/users/2170232/items/RTUUGXI9"],"uri":["http://zotero.org/users/2170232/items/RTUUGXI9"],"itemData":{"id":2482,"type":"article-journal","container-title":"Law and Development Review","issue":"1","journalAbbreviation":"Law &amp; Dev. Rev.","language":"eng","page":"49-78","source":"HeinOnline","title":"Reversing Land Grabs or Aggravating Tenure Insecurity: Competing Perspectives on Economic Land Concessions and Land Titling in Cambodia","title-short":"Reversing Land Grabs or Aggravating Tenure Insecurity","volume":"7","author":[{"family":"Oldenburg","given":"Christoph"},{"family":"Neef","given":"Andreas"}],"issued":{"date-parts":[["2014"]]}}},{"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C."}],"issued":{"date-parts":[["2018"]]}}},{"id":3067,"uris":["http://zotero.org/users/2170232/items/GQ9JDGW8"],"uri":["http://zotero.org/users/2170232/items/GQ9JDGW8"],"itemData":{"id":3067,"type":"article-journal","abstract":"In the global South, a rush of large-scale land acquisitions (LSLAs) is occurring by governments and transnational and domestic investors seeking to secure access to land in developing countries to produce food, biofuels, and other agricultural commodities. Complex interactions between regional and global market dynamics and local institutional, socioeconomic, and agro-ecological conditions can lead to widely varying causal processes, land-use change (LUC), and socioeconomic and environmental outcomes. Systematic understanding of how characteristics of LSLAs across multiple social and environmental contexts produce spillover effects on local communities, ranging from employment opportunities to displacement and indirect land-use change (iLUC), is lacking. We conceptualize agricultural commodity production and land-acquisition processes associated with LSLAs as catalyzing causal pathways of direct and indirect land-use changes. Using the case of economic land concessions (ELCs) in Cambodia, we employed a novel synthesis research approach combining remote sensing, spatio-temporal statistics, and case study meta-analysis to construct archetypical pathways of the causes, timing, and consequences of ELC-driven land change. Archetypical pathways generally diverged based on specialized or flex commodity crops and rates of direct LUC, and rapid rates of direct LUC tended to cause displacement and iLUC. In contrast, ELCs producing commodity crops associated with more gradual land-use change and/or organized local resistance lead to less iLUC. Systematic knowledge generated through synthesis of local causes and consequences of LSLA-driven land change is now possible and needed to better address the direct and indirect consequences of LSLAs for commodity crop production.","container-title":"Ecology and Society","ISSN":"1708-3087","issue":"2","note":"publisher: Resilience Alliance Inc.","source":"JSTOR","title":"Archetypical pathways of direct and indirect land-use change caused by Cambodia’s economic land concessions","URL":"https://www.jstor.org/stable/26796950","volume":"24","author":[{"family":"Magliocca","given":"Nicholas R."},{"family":"Van Khuc","given":"Quy"},{"family":"Ellicott","given":"Evan A."},{"family":"Bremond","given":"Ariane","non-dropping-particle":"de"}],"accessed":{"date-parts":[["2021",12,6]]},"issued":{"date-parts":[["2019"]]}}},{"id":2912,"uris":["http://zotero.org/users/2170232/items/RQKGBK7S"],"uri":["http://zotero.org/users/2170232/items/RQKGBK7S"],"itemData":{"id":2912,"type":"article-journal","abstract":"Tropical forest landscapes are undergoing vast transformations. Myanmar was long an exception to this trend – until recent policy reforms put economic development at the forefront. Under ambiguous land rights, commercial agriculture has spread rapidly, causing an unprecedented loss of biodiversity-rich forest. In south-eastern Myanmar, where land tenure is highly contested due to several decades of conflict, scientific evidence on these complex social-ecological processes is lacking. In the absence of past satellite data, we applied a participatory mapping approach and co-produced annual land use information with local land users between 1990 and 2017 for two case study landscapes. Results show that both landscapes have undergone a land use regime shift from small-scale farmers’ shifting cultivation to plantations of rubber, betel nut, cashew, and oil palm. These changes are likely to have long-term impacts on land users’ livelihoods and the environment. We call for a reconsideration of land governance arrangements and concerted land use planning that respects the rights of local land users and strengthens their role as environmental stewards. Applied with careful facilitation, participatory mapping could be an important tool to engage communities in the highly challenging process of transforming land governance to achieve more sustainable outcomes in this post-conflict context.","container-title":"Ecosystems and People","DOI":"10.1080/26395916.2019.1699164","ISSN":"2639-5908","issue":"1","note":"publisher: Taylor &amp; Francis\n_eprint: https://doi.org/10.1080/26395916.2019.1699164","page":"36-49","source":"Taylor and Francis+NEJM","title":"The cash crop boom in southern Myanmar: tracing land use regime shifts through participatory mapping","title-short":"The cash crop boom in southern Myanmar","volume":"16","author":[{"family":"Zaehringer","given":"Julie G."},{"family":"Lundsgaard-Hansen","given":"Lara"},{"family":"Thein","given":"Tun Tun"},{"family":"Llopis","given":"Jorge C."},{"family":"Tun","given":"Nwe Nwe"},{"family":"Myint","given":"Win"},{"family":"Schneider","given":"Flurina"}],"issued":{"date-parts":[["2020",1,1]]}}}],"schema":"https://github.com/citation-style-language/schema/raw/master/csl-citation.json"} </w:instrText>
      </w:r>
      <w:r w:rsidR="00050B93">
        <w:fldChar w:fldCharType="separate"/>
      </w:r>
      <w:r w:rsidR="002C15A5" w:rsidRPr="002C15A5">
        <w:rPr>
          <w:rFonts w:ascii="Calibri" w:hAnsi="Calibri" w:cs="Calibri"/>
        </w:rPr>
        <w:t>(Neef et al. 2013; Oldenburg &amp; Neef 2014; Curtis et al. 2018; Magliocca et al. 2019; Zaehringer et al. 2020)</w:t>
      </w:r>
      <w:r w:rsidR="00050B93">
        <w:fldChar w:fldCharType="end"/>
      </w:r>
      <w:r w:rsidR="006F2311">
        <w:t xml:space="preserve">. Development of potential agricultural land by investors comes with opportunity costs for local people, who otherwise may have had access to the land, water, and other resources, and could have developed agriculture </w:t>
      </w:r>
      <w:r w:rsidR="00F513EE">
        <w:t xml:space="preserve">themselves </w:t>
      </w:r>
      <w:r w:rsidR="006F2311">
        <w:t>that would have alleviated poverty more effectively than a</w:t>
      </w:r>
      <w:r w:rsidR="00F513EE">
        <w:t>n externally owned</w:t>
      </w:r>
      <w:r w:rsidR="006F2311">
        <w:t xml:space="preserve"> commercial agricultural enterprise</w:t>
      </w:r>
      <w:r w:rsidR="002C15A5">
        <w:t xml:space="preserve"> </w:t>
      </w:r>
      <w:r w:rsidR="002C15A5">
        <w:fldChar w:fldCharType="begin"/>
      </w:r>
      <w:r w:rsidR="002C15A5">
        <w:instrText xml:space="preserve"> ADDIN ZOTERO_ITEM CSL_CITATION {"citationID":"yazsqFJg","properties":{"formattedCitation":"(De Schutter 2011)","plainCitation":"(De Schutter 2011)","noteIndex":0},"citationItems":[{"id":2758,"uris":["http://zotero.org/users/2170232/items/W4WVMKX6"],"uri":["http://zotero.org/users/2170232/items/W4WVMKX6"],"itemData":{"id":2758,"type":"article-journal","abstract":"Large-scale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Schutter","given":"Olivier"}],"issued":{"date-parts":[["2011",3,1]]}}}],"schema":"https://github.com/citation-style-language/schema/raw/master/csl-citation.json"} </w:instrText>
      </w:r>
      <w:r w:rsidR="002C15A5">
        <w:fldChar w:fldCharType="separate"/>
      </w:r>
      <w:r w:rsidR="002C15A5" w:rsidRPr="002C15A5">
        <w:rPr>
          <w:rFonts w:ascii="Calibri" w:hAnsi="Calibri" w:cs="Calibri"/>
        </w:rPr>
        <w:t>(De Schutter 2011)</w:t>
      </w:r>
      <w:r w:rsidR="002C15A5">
        <w:fldChar w:fldCharType="end"/>
      </w:r>
      <w:r w:rsidR="006F2311">
        <w:t xml:space="preserve">. </w:t>
      </w:r>
    </w:p>
    <w:p w14:paraId="029DC42A" w14:textId="0475D6AA" w:rsidR="00AD3F12" w:rsidRPr="0089542A" w:rsidRDefault="00965D4A" w:rsidP="006F2311">
      <w:pPr>
        <w:rPr>
          <w:i/>
          <w:iCs/>
        </w:rPr>
      </w:pPr>
      <w:r>
        <w:rPr>
          <w:i/>
          <w:iCs/>
        </w:rPr>
        <w:t xml:space="preserve">2.4.1.2 </w:t>
      </w:r>
      <w:r w:rsidR="00F60630">
        <w:rPr>
          <w:i/>
          <w:iCs/>
        </w:rPr>
        <w:t>Agricultural c</w:t>
      </w:r>
      <w:r w:rsidR="00AD3F12" w:rsidRPr="0089542A">
        <w:rPr>
          <w:i/>
          <w:iCs/>
        </w:rPr>
        <w:t>ommodity</w:t>
      </w:r>
      <w:r w:rsidR="0089542A" w:rsidRPr="0089542A">
        <w:rPr>
          <w:i/>
          <w:iCs/>
        </w:rPr>
        <w:t xml:space="preserve"> and producer</w:t>
      </w:r>
      <w:r w:rsidR="00AD3F12" w:rsidRPr="0089542A">
        <w:rPr>
          <w:i/>
          <w:iCs/>
        </w:rPr>
        <w:t xml:space="preserve"> prices</w:t>
      </w:r>
    </w:p>
    <w:p w14:paraId="1B34C37E" w14:textId="7803A8CC" w:rsidR="00801E63" w:rsidRDefault="006F2311" w:rsidP="006F2311">
      <w:r>
        <w:t xml:space="preserve">Changes in new ELC allocation can be </w:t>
      </w:r>
      <w:r>
        <w:t xml:space="preserve">predicted </w:t>
      </w:r>
      <w:r w:rsidR="00AF6A54">
        <w:t xml:space="preserve">from </w:t>
      </w:r>
      <w:r w:rsidR="00376731">
        <w:t>my</w:t>
      </w:r>
      <w:r w:rsidR="00AF6A54">
        <w:t xml:space="preserve"> models </w:t>
      </w:r>
      <w:r>
        <w:t xml:space="preserve">by </w:t>
      </w:r>
      <w:r>
        <w:t xml:space="preserve">several key agricultural commodity prices, both on the international market and internally at the </w:t>
      </w:r>
      <w:r w:rsidR="001D4CBF">
        <w:t>scale of the individual producer</w:t>
      </w:r>
      <w:r>
        <w:t>. Rubber, sugar, corn, and rice we</w:t>
      </w:r>
      <w:r w:rsidR="007D3440">
        <w:t>re</w:t>
      </w:r>
      <w:r>
        <w:t xml:space="preserve"> all important variables in the models, and increases in the market prices</w:t>
      </w:r>
      <w:r w:rsidR="00F1302E">
        <w:t xml:space="preserve"> and producer prices</w:t>
      </w:r>
      <w:r>
        <w:t xml:space="preserve"> of these commodities predict</w:t>
      </w:r>
      <w:r w:rsidR="007D3440">
        <w:t>ed</w:t>
      </w:r>
      <w:r>
        <w:t xml:space="preserve"> increases in the allocation of ELCs. </w:t>
      </w:r>
      <w:r w:rsidR="00801E63">
        <w:t>Economic land concessions in Cambodia are predominantly agro-industrial concessions, and therefore the positive relationships between the price of agricultural commodities and new ELC allocations is not surprising. Rubber and rice are the most valuable market commodities within the variable set</w:t>
      </w:r>
      <w:r w:rsidR="00050B93">
        <w:t xml:space="preserve"> (</w:t>
      </w:r>
      <w:r w:rsidR="00050B93" w:rsidRPr="00050B93">
        <w:rPr>
          <w:highlight w:val="yellow"/>
        </w:rPr>
        <w:t>Table Sx</w:t>
      </w:r>
      <w:r w:rsidR="00050B93">
        <w:t>)</w:t>
      </w:r>
      <w:r w:rsidR="00801E63">
        <w:t>, and this</w:t>
      </w:r>
      <w:r w:rsidR="00F60630">
        <w:t xml:space="preserve"> is</w:t>
      </w:r>
      <w:r w:rsidR="00801E63">
        <w:t xml:space="preserve"> reflected in the model; </w:t>
      </w:r>
      <w:r w:rsidR="001D4CBF">
        <w:t>if international rubber prices increase</w:t>
      </w:r>
      <w:r w:rsidR="00F60630">
        <w:t>d</w:t>
      </w:r>
      <w:r w:rsidR="001D4CBF">
        <w:t xml:space="preserve"> by </w:t>
      </w:r>
      <w:r w:rsidR="00FB65AB">
        <w:t>$1500/ton, the model predict</w:t>
      </w:r>
      <w:r w:rsidR="00F60630">
        <w:t>ed</w:t>
      </w:r>
      <w:r w:rsidR="00FB65AB">
        <w:t xml:space="preserve"> an additional </w:t>
      </w:r>
      <w:r w:rsidR="001D4CBF">
        <w:t>2</w:t>
      </w:r>
      <w:r w:rsidR="00FB65AB">
        <w:t>9</w:t>
      </w:r>
      <w:r w:rsidR="001D4CBF">
        <w:t xml:space="preserve"> new ELCs </w:t>
      </w:r>
      <w:r w:rsidR="00FB65AB">
        <w:t>the following year, compared with</w:t>
      </w:r>
      <w:r w:rsidR="001D4CBF">
        <w:t xml:space="preserve"> </w:t>
      </w:r>
      <w:r w:rsidR="00FB65AB">
        <w:t xml:space="preserve">an additional </w:t>
      </w:r>
      <w:r w:rsidR="00F60630">
        <w:t>four</w:t>
      </w:r>
      <w:r w:rsidR="00FB65AB">
        <w:t xml:space="preserve"> if rubber prices d</w:t>
      </w:r>
      <w:r w:rsidR="00F60630">
        <w:t>id</w:t>
      </w:r>
      <w:r w:rsidR="00FB65AB">
        <w:t xml:space="preserve"> not change. Likewise, when the producer price of rubber decrease</w:t>
      </w:r>
      <w:r w:rsidR="00F60630">
        <w:t>d</w:t>
      </w:r>
      <w:r w:rsidR="00FB65AB">
        <w:t xml:space="preserve"> in value, very few new ELCs </w:t>
      </w:r>
      <w:r w:rsidR="00F60630">
        <w:t>were</w:t>
      </w:r>
      <w:r w:rsidR="00FB65AB">
        <w:t xml:space="preserve"> predicted in the following year, but when prices increase</w:t>
      </w:r>
      <w:r w:rsidR="00F60630">
        <w:t>d</w:t>
      </w:r>
      <w:r w:rsidR="00FB65AB">
        <w:t xml:space="preserve"> by</w:t>
      </w:r>
      <w:r w:rsidR="00DD0C5C">
        <w:t>,</w:t>
      </w:r>
      <w:r w:rsidR="00FB65AB">
        <w:t xml:space="preserve"> for example, $30/ton, in the following year 12 new ELCs </w:t>
      </w:r>
      <w:r w:rsidR="00F60630">
        <w:t>were</w:t>
      </w:r>
      <w:r w:rsidR="00FB65AB">
        <w:t xml:space="preserve"> predicted. </w:t>
      </w:r>
      <w:r w:rsidR="00F1302E">
        <w:t xml:space="preserve">This suggests that producers are highly influenced by sale prices of commodities, particularly of high value products such as rubber, and that they will act quickly when there is the potential for financial gain. </w:t>
      </w:r>
      <w:r w:rsidR="00801E63">
        <w:t xml:space="preserve">Similarly, if there </w:t>
      </w:r>
      <w:r w:rsidR="00AC7048">
        <w:t>was</w:t>
      </w:r>
      <w:r w:rsidR="00801E63">
        <w:t xml:space="preserve"> no change in the market price of rice between two given years, then approximately </w:t>
      </w:r>
      <w:r w:rsidR="00AC7048">
        <w:t>five</w:t>
      </w:r>
      <w:r w:rsidR="00801E63">
        <w:t xml:space="preserve"> new ELCs </w:t>
      </w:r>
      <w:r w:rsidR="00AC7048">
        <w:t>were</w:t>
      </w:r>
      <w:r w:rsidR="00801E63">
        <w:t xml:space="preserve"> predicted. If the market value increase</w:t>
      </w:r>
      <w:r w:rsidR="00AC7048">
        <w:t>d</w:t>
      </w:r>
      <w:r w:rsidR="00801E63">
        <w:t xml:space="preserve"> by $300/ton then in year </w:t>
      </w:r>
      <w:r w:rsidR="00801E63">
        <w:rPr>
          <w:i/>
          <w:iCs/>
        </w:rPr>
        <w:t>t+1</w:t>
      </w:r>
      <w:r w:rsidR="00801E63">
        <w:t xml:space="preserve"> approximately 80 new ELCs </w:t>
      </w:r>
      <w:r w:rsidR="00AC7048">
        <w:t>were</w:t>
      </w:r>
      <w:r w:rsidR="00801E63">
        <w:t xml:space="preserve"> predicted. Interestingly</w:t>
      </w:r>
      <w:r w:rsidR="00AC7048">
        <w:t>,</w:t>
      </w:r>
      <w:r w:rsidR="00801E63">
        <w:t xml:space="preserve"> the effect of changes in sugar price were weak when there was no time lag, but the effect was stronger when both a one-year and two-year time lag were introduced.</w:t>
      </w:r>
    </w:p>
    <w:p w14:paraId="3553016D" w14:textId="3A8E5E23" w:rsidR="00050B93" w:rsidRDefault="00F1302E" w:rsidP="006F2311">
      <w:r>
        <w:t>T</w:t>
      </w:r>
      <w:r w:rsidR="006F2311">
        <w:t>he differences in the effects of commodity and producer prices on ELC allocation at different time lags</w:t>
      </w:r>
      <w:r>
        <w:t xml:space="preserve"> is interesting</w:t>
      </w:r>
      <w:r w:rsidR="006F2311">
        <w:t>,</w:t>
      </w:r>
      <w:r>
        <w:t xml:space="preserve"> as it</w:t>
      </w:r>
      <w:r w:rsidR="006F2311">
        <w:t xml:space="preserve"> suggest</w:t>
      </w:r>
      <w:r>
        <w:t>s</w:t>
      </w:r>
      <w:r w:rsidR="006F2311">
        <w:t xml:space="preserve"> that either investors will delay investing in a new crop for up to two years after the prices increase, or that the process of purchasing land and establishing an ELC venture can</w:t>
      </w:r>
      <w:r w:rsidR="00AC7048">
        <w:t>,</w:t>
      </w:r>
      <w:r w:rsidR="006F2311">
        <w:t xml:space="preserve"> in some cases</w:t>
      </w:r>
      <w:r w:rsidR="00AC7048">
        <w:t>,</w:t>
      </w:r>
      <w:r w:rsidR="006F2311">
        <w:t xml:space="preserve"> be a slow process. International market forces are known to drive</w:t>
      </w:r>
      <w:r w:rsidR="002657C7">
        <w:t xml:space="preserve"> land use change</w:t>
      </w:r>
      <w:r w:rsidR="006F2311">
        <w:t xml:space="preserve"> </w:t>
      </w:r>
      <w:r w:rsidR="002657C7">
        <w:t>(</w:t>
      </w:r>
      <w:r w:rsidR="006F2311">
        <w:t>LUC</w:t>
      </w:r>
      <w:r w:rsidR="002657C7">
        <w:t>)</w:t>
      </w:r>
      <w:r w:rsidR="00D90A79">
        <w:t xml:space="preserve"> in Cambodia </w:t>
      </w:r>
      <w:r w:rsidR="00C16DA9">
        <w:fldChar w:fldCharType="begin"/>
      </w:r>
      <w:r w:rsidR="00C16DA9">
        <w:instrText xml:space="preserve"> ADDIN ZOTERO_ITEM CSL_CITATION {"citationID":"n8dQr1yr","properties":{"formattedCitation":"(Grogan et al. 2019)","plainCitation":"(Grogan et al. 2019)","noteIndex":0},"citationItems":[{"id":2891,"uris":["http://zotero.org/users/2170232/items/Y4LY68EV"],"uri":["http://zotero.org/users/2170232/items/Y4LY68EV"],"itemData":{"id":2891,"type":"article-journal","abstract":"Tropical forests continue to undergo a rapid transformation. The expansion of rubber tree (Hevea brasiliensis) plantations has been reported as a major driver of forest loss, linked to a boom in market demand. Distant commodity markets have spurred a surge of large-scale economic land concessions granted throughout tropical Southeast Asia. Using satellite imagery, we show the impact of rubber tree plantations on Cambodian forest cover and analyse how annual forest-to-rubber conversion rates relate to global rubber prices from 2001 to 2015. We found that 23.5 ± 1.8% of national forest cover was cleared in this period, with 23.2 ± 3.6% of cleared forest converted to rubber plantations. Annual forest-to-rubber conversion rates closely correlated with global rubber prices, with a time lag of 8–9 months (Pearson’s r = 0.93). Our results reveal a strong link between global commodity markets and tropical forest loss, particularly in countries with land policies geared towards rapid development.","container-title":"Nature Plants","DOI":"10.1038/s41477-018-0325-4","ISSN":"2055-0278","issue":"1","language":"en","note":"Bandiera_abtest: a\nCg_type: Nature Research Journals\nnumber: 1\nPrimary_atype: Research\npublisher: Nature Publishing Group\nSubject_term: Climate-change mitigation;Climate-change policy;Environmental economics;Forestry;Tropical ecology\nSubject_term_id: climate-change-mitigation;climate-change-policy;environmental-economics;forestry;tropical-ecology","page":"47-53","source":"www.nature.com","title":"Unravelling the link between global rubber price and tropical deforestation in Cambodia","volume":"5","author":[{"family":"Grogan","given":"Kenneth"},{"family":"Pflugmacher","given":"Dirk"},{"family":"Hostert","given":"Patrick"},{"family":"Mertz","given":"Ole"},{"family":"Fensholt","given":"Rasmus"}],"issued":{"date-parts":[["2019",1]]}}}],"schema":"https://github.com/citation-style-language/schema/raw/master/csl-citation.json"} </w:instrText>
      </w:r>
      <w:r w:rsidR="00C16DA9">
        <w:fldChar w:fldCharType="separate"/>
      </w:r>
      <w:r w:rsidR="00C16DA9" w:rsidRPr="00C16DA9">
        <w:rPr>
          <w:rFonts w:ascii="Calibri" w:hAnsi="Calibri" w:cs="Calibri"/>
        </w:rPr>
        <w:t>(Grogan et al. 2019)</w:t>
      </w:r>
      <w:r w:rsidR="00C16DA9">
        <w:fldChar w:fldCharType="end"/>
      </w:r>
      <w:r w:rsidR="006F2311">
        <w:t xml:space="preserve">, and globally, land conversion for commodity production is the single largest driver of deforestation </w:t>
      </w:r>
      <w:r w:rsidR="006F2311">
        <w:fldChar w:fldCharType="begin"/>
      </w:r>
      <w:r w:rsidR="007739D7">
        <w:instrText xml:space="preserve"> ADDIN ZOTERO_ITEM CSL_CITATION {"citationID":"MSxMEiBc","properties":{"formattedCitation":"(Curtis et al. 2018)","plainCitation":"(Curtis et al. 2018)","noteIndex":0},"citationItems":[{"id":2375,"uris":["http://zotero.org/users/2170232/items/MGBJXYEN"],"uri":["http://zotero.org/users/2170232/items/MGBJXYEN"],"itemData":{"id":2375,"type":"article-journal","abstract":"Mapping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C."}],"issued":{"date-parts":[["2018"]]}}}],"schema":"https://github.com/citation-style-language/schema/raw/master/csl-citation.json"} </w:instrText>
      </w:r>
      <w:r w:rsidR="006F2311">
        <w:fldChar w:fldCharType="separate"/>
      </w:r>
      <w:r w:rsidR="007739D7" w:rsidRPr="007739D7">
        <w:rPr>
          <w:rFonts w:ascii="Calibri" w:hAnsi="Calibri" w:cs="Calibri"/>
        </w:rPr>
        <w:t>(Curtis et al. 2018)</w:t>
      </w:r>
      <w:r w:rsidR="006F2311">
        <w:fldChar w:fldCharType="end"/>
      </w:r>
      <w:r w:rsidR="006F2311">
        <w:t xml:space="preserve">. </w:t>
      </w:r>
      <w:r w:rsidR="006F2311">
        <w:fldChar w:fldCharType="begin"/>
      </w:r>
      <w:r w:rsidR="006F2311">
        <w:instrText xml:space="preserve"> ADDIN ZOTERO_ITEM CSL_CITATION {"citationID":"CwlwQmVP","properties":{"formattedCitation":"(Grogan et al., 2015)","plainCitation":"(Grogan et al., 2015)","dontUpdate":true,"noteIndex":0},"citationItems":[{"id":2760,"uris":["http://zotero.org/users/2170232/items/RPYSN4I3"],"uri":["http://zotero.org/users/2170232/items/RPYSN4I3"],"itemData":{"id":2760,"type":"article-journal","abstract":"The recent rise in global demand for natural rubber (Hevea brasiliensis) has led to expansive areas of natural forest being transformed into monoculture plantations. This paper explores the utility of annual Landsat time series for monitoring forest disturbance and the role of natural rubber in mainland Southeast Asia from 2000 to 2012. A region on the Cambodian–Vietnamese border was chosen for this study considering four primary questions: 1) how accurately can annual Landsat time series map the location and timing of forest disturbances in evergreen and seasonal tropical forests, 2) are there cross-border differences in frontier and non-frontier forest disturbance rates between Cambodia and Vietnam, 3) what proportion of disturbances in frontier and non-frontier forests can be accounted for by the impact of rubber plantations, and 4) is there a relationship between global market prices for natural rubber and the annual rate of frontier forest clearing for rubber plantations on both sides of the border. We used LandTrendr (Landsat-based detection of trends in disturbance and recovery) for temporal segmentation of the Landsat time series and disturbance mapping. Our results show that this approach can provide accurate forest disturbance maps but that accuracy is affected by forest type. Highest accuracies were found in evergreen forest (91%), with lower accuracies in mixed (82%) and dry-deciduous forest types (86%). Our final map considering all forest types yielded an overall accuracy of 86%. Forest disturbance rates were generally higher on the Cambodian side of the border. Frontier forest disturbance rates averaged 3.8%/year in Cambodia compared to 2.5%/year in Vietnam. Conversion to rubber was the dominant form of frontier forest change in both countries (42% in Cambodia and 84% in Vietnam). Non-frontier forest disturbances averaged 4.0% and 2.5% in Cambodia and Vietnam, respectively, with most disturbances likewise linked with rubber plantations. Although rates of frontier forest disturbance differed in both countries, they each displayed similar correlations between disturbance rates related to rubber plantation expansion and price fluctuations of natural rubber. This suggests links between localized land cover/use change and international market forces, irrespective of differing political and socioeconomic backgrounds. Our study underlines the value of using dense Landsat time series when exploring the dynamics of human-induced land cover change.","container-title":"Remote Sensing of Environment","DOI":"10.1016/j.rse.2015.03.001","ISSN":"0034-4257","journalAbbreviation":"Remote Sensing of Environment","language":"en","page":"438-453","source":"ScienceDirect","title":"Cross-border forest disturbance and the role of natural rubber in mainland Southeast Asia using annual Landsat time series","volume":"169","author":[{"family":"Grogan","given":"Kenneth"},{"family":"Pflugmacher","given":"Dirk"},{"family":"Hostert","given":"Patrick"},{"family":"Kennedy","given":"Robert"},{"family":"Fensholt","given":"Rasmus"}],"issued":{"date-parts":[["2015",11,1]]}}}],"schema":"https://github.com/citation-style-language/schema/raw/master/csl-citation.json"} </w:instrText>
      </w:r>
      <w:r w:rsidR="006F2311">
        <w:fldChar w:fldCharType="separate"/>
      </w:r>
      <w:r w:rsidR="006F2311" w:rsidRPr="00C00A42">
        <w:rPr>
          <w:rFonts w:ascii="Calibri" w:hAnsi="Calibri" w:cs="Calibri"/>
        </w:rPr>
        <w:t xml:space="preserve">Grogan et al </w:t>
      </w:r>
      <w:r w:rsidR="006F2311">
        <w:rPr>
          <w:rFonts w:ascii="Calibri" w:hAnsi="Calibri" w:cs="Calibri"/>
        </w:rPr>
        <w:t>(</w:t>
      </w:r>
      <w:r w:rsidR="006F2311" w:rsidRPr="00C00A42">
        <w:rPr>
          <w:rFonts w:ascii="Calibri" w:hAnsi="Calibri" w:cs="Calibri"/>
        </w:rPr>
        <w:t>2015)</w:t>
      </w:r>
      <w:r w:rsidR="006F2311">
        <w:fldChar w:fldCharType="end"/>
      </w:r>
      <w:r w:rsidR="006F2311">
        <w:t xml:space="preserve"> provide an empirical example of how the international market price of rubber can drive deforestation in frontier areas of Cambodia and Vietnam.</w:t>
      </w:r>
      <w:r w:rsidR="000E32E5">
        <w:t xml:space="preserve"> </w:t>
      </w:r>
      <w:r w:rsidR="00376731">
        <w:t>My</w:t>
      </w:r>
      <w:r w:rsidR="000E32E5">
        <w:t xml:space="preserve"> study reinforces this link between commodity and producer prices of key agricultural products and development activities </w:t>
      </w:r>
      <w:r w:rsidR="00AC7048">
        <w:t>that</w:t>
      </w:r>
      <w:r w:rsidR="000E32E5">
        <w:t xml:space="preserve"> reduce forest cover.</w:t>
      </w:r>
      <w:r w:rsidR="006F2311">
        <w:t xml:space="preserve"> </w:t>
      </w:r>
    </w:p>
    <w:p w14:paraId="32B2AE69" w14:textId="23A635B9" w:rsidR="00965D4A" w:rsidRPr="00965D4A" w:rsidRDefault="00965D4A" w:rsidP="00965D4A">
      <w:pPr>
        <w:rPr>
          <w:b/>
          <w:bCs/>
        </w:rPr>
      </w:pPr>
      <w:r w:rsidRPr="00965D4A">
        <w:rPr>
          <w:b/>
          <w:bCs/>
          <w:i/>
          <w:iCs/>
        </w:rPr>
        <w:t xml:space="preserve">2.4.2 </w:t>
      </w:r>
      <w:r w:rsidRPr="00965D4A">
        <w:rPr>
          <w:b/>
          <w:bCs/>
          <w:i/>
          <w:iCs/>
        </w:rPr>
        <w:t>Direct forest loss</w:t>
      </w:r>
    </w:p>
    <w:p w14:paraId="1D93305A" w14:textId="14BF5ABF" w:rsidR="00965D4A" w:rsidRDefault="00965D4A" w:rsidP="00965D4A">
      <w:r>
        <w:lastRenderedPageBreak/>
        <w:t>Apart from population density and agricultural proportion of GD</w:t>
      </w:r>
      <w:r w:rsidR="002657C7">
        <w:t>P</w:t>
      </w:r>
      <w:r>
        <w:t xml:space="preserve">, there were no significant effects from the models with forest loss as the response variable. Some of the predictor variables that were non-significant have been shown to correlate with LUC in other studies, such as GDP </w:t>
      </w:r>
      <w:r>
        <w:fldChar w:fldCharType="begin"/>
      </w:r>
      <w:r>
        <w:instrText xml:space="preserve"> ADDIN ZOTERO_ITEM CSL_CITATION {"citationID":"OCVMnIfZ","properties":{"formattedCitation":"(Ewers 2006; Gong et al. 2013; Kuang et al. 2016; Fan &amp; Ding 2016)","plainCitation":"(Ewers 2006; Gong et al. 2013; Kuang et al. 2016; Fan &amp; Ding 2016)","noteIndex":0},"citationItems":[{"id":2120,"uris":["http://zotero.org/users/2170232/items/SQR23FC7"],"uri":["http://zotero.org/users/2170232/items/SQR23FC7"],"itemData":{"id":2120,"type":"article-journal","abstract":"Recent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schema":"https://github.com/citation-style-language/schema/raw/master/csl-citation.json"} </w:instrText>
      </w:r>
      <w:r>
        <w:fldChar w:fldCharType="separate"/>
      </w:r>
      <w:r w:rsidRPr="007739D7">
        <w:rPr>
          <w:rFonts w:ascii="Calibri" w:hAnsi="Calibri" w:cs="Calibri"/>
        </w:rPr>
        <w:t>(Ewers 2006; Gong et al. 2013; Kuang et al. 2016; Fan &amp; Ding 2016)</w:t>
      </w:r>
      <w:r>
        <w:fldChar w:fldCharType="end"/>
      </w:r>
      <w:r>
        <w:t xml:space="preserve">, the contribution of economic sectors to national GDP </w:t>
      </w:r>
      <w:r>
        <w:fldChar w:fldCharType="begin"/>
      </w:r>
      <w:r>
        <w:instrText xml:space="preserve"> ADDIN ZOTERO_ITEM CSL_CITATION {"citationID":"hP2XH5Gb","properties":{"formattedCitation":"(Gong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Pr="007739D7">
        <w:rPr>
          <w:rFonts w:ascii="Calibri" w:hAnsi="Calibri" w:cs="Calibri"/>
        </w:rPr>
        <w:t>(Gong et al. 2013)</w:t>
      </w:r>
      <w:r>
        <w:fldChar w:fldCharType="end"/>
      </w:r>
      <w:r>
        <w:t xml:space="preserve">, human population growth and density </w:t>
      </w:r>
      <w:r>
        <w:fldChar w:fldCharType="begin"/>
      </w:r>
      <w:r>
        <w:instrText xml:space="preserve"> ADDIN ZOTERO_ITEM CSL_CITATION {"citationID":"FgOAx51a","properties":{"formattedCitation":"(Fan &amp; Ding 2016; Bonilla-Bedoya et al. 2018)","plainCitation":"(Fan &amp; Ding 2016; 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Pr="007739D7">
        <w:rPr>
          <w:rFonts w:ascii="Calibri" w:hAnsi="Calibri" w:cs="Calibri"/>
        </w:rPr>
        <w:t>(Fan &amp; Ding 2016; Bonilla-Bedoya et al. 2018)</w:t>
      </w:r>
      <w:r>
        <w:fldChar w:fldCharType="end"/>
      </w:r>
      <w:r>
        <w:t xml:space="preserve">, and agricultural output </w:t>
      </w:r>
      <w:r>
        <w:fldChar w:fldCharType="begin"/>
      </w:r>
      <w:r>
        <w:instrText xml:space="preserve"> ADDIN ZOTERO_ITEM CSL_CITATION {"citationID":"gGsXQX2h","properties":{"formattedCitation":"(Fan &amp; Ding 2016)","plainCitation":"(Fan &amp; Ding 2016)","noteIndex":0},"citationItems":[{"id":2638,"uris":["http://zotero.org/users/2170232/items/AXZEYZ6Z"],"uri":["http://zotero.org/users/2170232/items/AXZEYZ6Z"],"itemData":{"id":2638,"type":"article-journal","abstract":"Human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Pr="007739D7">
        <w:rPr>
          <w:rFonts w:ascii="Calibri" w:hAnsi="Calibri" w:cs="Calibri"/>
        </w:rPr>
        <w:t>(Fan &amp; Ding 2016)</w:t>
      </w:r>
      <w:r>
        <w:fldChar w:fldCharType="end"/>
      </w:r>
      <w:r>
        <w:t xml:space="preserve">. There are several possible explanations for the lack of effects in this study. First, previous studies have been at different scales to this study, such as global </w:t>
      </w:r>
      <w:r>
        <w:fldChar w:fldCharType="begin"/>
      </w:r>
      <w:r>
        <w:instrText xml:space="preserve"> ADDIN ZOTERO_ITEM CSL_CITATION {"citationID":"eXCVVRX8","properties":{"formattedCitation":"(Ewers, 2006)","plainCitation":"(Ewers, 2006)","dontUpdate":true,"noteIndex":0},"citationItems":[{"id":2120,"uris":["http://zotero.org/users/2170232/items/SQR23FC7"],"uri":["http://zotero.org/users/2170232/items/SQR23FC7"],"itemData":{"id":2120,"type":"article-journal","abstract":"Recent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fldChar w:fldCharType="separate"/>
      </w:r>
      <w:r w:rsidRPr="000467D9">
        <w:rPr>
          <w:rFonts w:ascii="Calibri" w:hAnsi="Calibri" w:cs="Calibri"/>
        </w:rPr>
        <w:t>(</w:t>
      </w:r>
      <w:r>
        <w:rPr>
          <w:rFonts w:ascii="Calibri" w:hAnsi="Calibri" w:cs="Calibri"/>
        </w:rPr>
        <w:t xml:space="preserve">e.g., </w:t>
      </w:r>
      <w:r w:rsidRPr="000467D9">
        <w:rPr>
          <w:rFonts w:ascii="Calibri" w:hAnsi="Calibri" w:cs="Calibri"/>
        </w:rPr>
        <w:t>Ewers, 2006)</w:t>
      </w:r>
      <w:r>
        <w:fldChar w:fldCharType="end"/>
      </w:r>
      <w:r>
        <w:t xml:space="preserve">, or sub-national </w:t>
      </w:r>
      <w:r>
        <w:fldChar w:fldCharType="begin"/>
      </w:r>
      <w:r>
        <w:instrText xml:space="preserve"> ADDIN ZOTERO_ITEM CSL_CITATION {"citationID":"Of4G75wQ","properties":{"formattedCitation":"(Gong et al., 2013)","plainCitation":"(Gong et al., 2013)","dontUpdate":true,"noteIndex":0},"citationItems":[{"id":1526,"uris":["http://zotero.org/users/2170232/items/2LSJZH7A"],"uri":["http://zotero.org/users/2170232/items/2LSJZH7A"],"itemData":{"id":1526,"type":"article-journal","abstract":"Urban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Pr="000C6D7F">
        <w:rPr>
          <w:rFonts w:ascii="Calibri" w:hAnsi="Calibri" w:cs="Calibri"/>
        </w:rPr>
        <w:t>(</w:t>
      </w:r>
      <w:r>
        <w:rPr>
          <w:rFonts w:ascii="Calibri" w:hAnsi="Calibri" w:cs="Calibri"/>
        </w:rPr>
        <w:t xml:space="preserve">e.g., </w:t>
      </w:r>
      <w:r w:rsidRPr="000C6D7F">
        <w:rPr>
          <w:rFonts w:ascii="Calibri" w:hAnsi="Calibri" w:cs="Calibri"/>
        </w:rPr>
        <w:t>Gong et al., 2013)</w:t>
      </w:r>
      <w:r>
        <w:fldChar w:fldCharType="end"/>
      </w:r>
      <w:r>
        <w:t xml:space="preserve">, and therefore the drivers which are operating at those scales may be different to the drivers operating at the national scale in Cambodia. Second, Cambodia’s economy is a rare example of civil unrest and war resulting in economic collapse, followed by subsequent rapid economic revival </w:t>
      </w:r>
      <w:r>
        <w:fldChar w:fldCharType="begin"/>
      </w:r>
      <w:r>
        <w:instrText xml:space="preserve"> ADDIN ZOTERO_ITEM CSL_CITATION {"citationID":"jip8FHXz","properties":{"formattedCitation":"(Hamada &amp; Kasuya 1992; Riedel &amp; Turley 1999)","plainCitation":"(Hamada &amp; Kasuya 1992; Riedel &amp; Turley 1999)","dontUpdate":true,"noteIndex":0},"citationItems":[{"id":2884,"uris":["http://zotero.org/users/2170232/items/QTF3RFFE"],"uri":["http://zotero.org/users/2170232/items/QTF3RFFE"],"itemData":{"id":2884,"type":"report","event-place":"New Haven, CT","genre":"Center Discussion Paper","number":"672","publisher":"Yale University Economic Growth Center","publisher-place":"New Haven, CT","title":"The reconstruction and stbilization of the postwar Japanese economy: Possible lessons for Eastern Europe?","author":[{"family":"Hamada","given":"Koichi"},{"family":"Kasuya","given":"Munehisa"}],"issued":{"date-parts":[["1992"]]}}},{"id":2883,"uris":["http://zotero.org/users/2170232/items/98D7PRSN"],"uri":["http://zotero.org/users/2170232/items/98D7PRSN"],"itemData":{"id":2883,"type":"report","abstract":"Reform in Viet Nam is a protracted process. Beginning in 1979, it experienced both advances and reversals until 1986, a sudden acceleration in 1989-91, then gradualism hampered by a deepening entrenchment of interests in positions both for and against further liberalisation. A stop-go cycle has developed in which the new incentives and opportunities resulting from reform are sufficient to block broad reversion to earlier phases, but comprehensive advances would seem to depend on the occurrence of deeply unfavourable shocks. When crisis has seriously undermined performance, leaders have embraced reform to shore up legitimacy, while in good times they have tended to disagree over the long-term risks of reform and how to deal with those risks ...","event-place":"Paris","language":"en","note":"DOI: 10.1787/634117557525","publisher":"OECD","publisher-place":"Paris","source":"OECD iLibrary","title":"The Politics and Economics of Transition to an Open Market Economy in Viet Nam","URL":"https://www.oecd-ilibrary.org/content/paper/634117557525","author":[{"family":"Riedel","given":"James"},{"family":"Turley","given":"William S."}],"accessed":{"date-parts":[["2021",10,16]]},"issued":{"date-parts":[["1999",9,1]]}}}],"schema":"https://github.com/citation-style-language/schema/raw/master/csl-citation.json"} </w:instrText>
      </w:r>
      <w:r>
        <w:fldChar w:fldCharType="separate"/>
      </w:r>
      <w:r w:rsidRPr="00046338">
        <w:rPr>
          <w:rFonts w:ascii="Calibri" w:hAnsi="Calibri" w:cs="Calibri"/>
        </w:rPr>
        <w:t>(</w:t>
      </w:r>
      <w:r>
        <w:rPr>
          <w:rFonts w:ascii="Calibri" w:hAnsi="Calibri" w:cs="Calibri"/>
        </w:rPr>
        <w:t xml:space="preserve">other Asian examples include Japan and Vietnam, see </w:t>
      </w:r>
      <w:r w:rsidRPr="00046338">
        <w:rPr>
          <w:rFonts w:ascii="Calibri" w:hAnsi="Calibri" w:cs="Calibri"/>
        </w:rPr>
        <w:t>Hamada &amp; Kasuya 1992</w:t>
      </w:r>
      <w:r>
        <w:rPr>
          <w:rFonts w:ascii="Calibri" w:hAnsi="Calibri" w:cs="Calibri"/>
        </w:rPr>
        <w:t xml:space="preserve"> and</w:t>
      </w:r>
      <w:r w:rsidRPr="00046338">
        <w:rPr>
          <w:rFonts w:ascii="Calibri" w:hAnsi="Calibri" w:cs="Calibri"/>
        </w:rPr>
        <w:t xml:space="preserve"> Riedel &amp; Turley 1999)</w:t>
      </w:r>
      <w:r>
        <w:fldChar w:fldCharType="end"/>
      </w:r>
      <w:r>
        <w:t xml:space="preserve">. This may render comparison of economic </w:t>
      </w:r>
      <w:r w:rsidR="0014476F">
        <w:t xml:space="preserve">or agricultural </w:t>
      </w:r>
      <w:r>
        <w:t xml:space="preserve">drivers of forest loss and LUC with other Asian countries </w:t>
      </w:r>
      <w:r w:rsidR="00AD1588">
        <w:t>uninformative</w:t>
      </w:r>
      <w:r>
        <w:t xml:space="preserve">. For example, Cambodia’s economy is in its infancy relative to many other countries in the region, and therefore forest loss during the study period may have been driven more by local drivers such as poverty, insecure land tenure, and land speculation by migrants, rather than national-level economics. Third, </w:t>
      </w:r>
      <w:r w:rsidR="00D55D54">
        <w:t>I</w:t>
      </w:r>
      <w:r>
        <w:t xml:space="preserve"> did not include predictor variables covering institutional factors, land rights or tenure, or environmental policies, which have been shown to be important </w:t>
      </w:r>
      <w:r>
        <w:fldChar w:fldCharType="begin"/>
      </w:r>
      <w:r>
        <w:instrText xml:space="preserve"> ADDIN ZOTERO_ITEM CSL_CITATION {"citationID":"W2OIhhpT","properties":{"formattedCitation":"(Culas 2007)","plainCitation":"(Culas 2007)","noteIndex":0},"citationItems":[{"id":2123,"uris":["http://zotero.org/users/2170232/items/GFXZ4GUN"],"uri":["http://zotero.org/users/2170232/items/GFXZ4GUN"],"itemData":{"id":2123,"type":"article-journal","abstract":"Institutions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J."}],"issued":{"date-parts":[["2007",3,1]]}}}],"schema":"https://github.com/citation-style-language/schema/raw/master/csl-citation.json"} </w:instrText>
      </w:r>
      <w:r>
        <w:fldChar w:fldCharType="separate"/>
      </w:r>
      <w:r w:rsidRPr="007739D7">
        <w:rPr>
          <w:rFonts w:ascii="Calibri" w:hAnsi="Calibri" w:cs="Calibri"/>
        </w:rPr>
        <w:t>(Culas 2007)</w:t>
      </w:r>
      <w:r>
        <w:fldChar w:fldCharType="end"/>
      </w:r>
      <w:r>
        <w:t xml:space="preserve">. Finally, </w:t>
      </w:r>
      <w:r w:rsidR="00D55D54">
        <w:t>I</w:t>
      </w:r>
      <w:r>
        <w:t xml:space="preserve"> only investigated up to two years of time lag between changes in predictor variables and changes in forest cover. It is possible that changes in certain </w:t>
      </w:r>
      <w:r w:rsidR="00A81C7F">
        <w:t>economic factors</w:t>
      </w:r>
      <w:r>
        <w:t xml:space="preserve"> take longer than two years to have a significant effect on forest cover. For example, the “trickle down” effect of foreign investment, whereby the local economies of the host nation see increased productivity and profitability which in turn may drive land use change and forest loss at the local scale, is smaller and more fragile than usually assumed </w:t>
      </w:r>
      <w:r>
        <w:fldChar w:fldCharType="begin"/>
      </w:r>
      <w:r>
        <w:instrText xml:space="preserve"> ADDIN ZOTERO_ITEM CSL_CITATION {"citationID":"O4QciKqb","properties":{"formattedCitation":"(Jensen 2006)","plainCitation":"(Jensen 2006)","noteIndex":0},"citationItems":[{"id":2885,"uris":["http://zotero.org/users/2170232/items/2MW4TFCV"],"uri":["http://zotero.org/users/2170232/items/2MW4TFCV"],"itemData":{"id":2885,"type":"article-journal","abstract":"This article sets out to make an assessment of the relationship between Foreign Direct Investment (FDI) and economic growth in transition countries through a review of the empirical record to date. The first part reviews the phases of transition in combination with policy efforts to attract FDI. In the second part, different growth studies across levels of analysis are juxtaposed to better understand the overall growth impact of FDI in transition countries. Since foreign firms have a large direct effect on performance at the level of the firm it is often assumed that they automatically contribute to the economic growth of host countries. The missing link in this discussion is the concept of ‘trickle down’. Superior direct effects in terms of productivity and profitability are hypothesised to trickle down to the host country both as spillovers, or catalysing effects on local firms, and through the expected increase in income that such direct and indirect effects in combination will generate through labour income and taxes. The review shows that such trickle down effects are quite fragile in terms of being demonstrated to exist in transition countries. Combined with widespread usage of tax holidays, subsidies and acquisition discounts, it is not certain that positive direct effects equate with economic growth in these countries.","container-title":"Europe-Asia Studies","DOI":"10.1080/09668130600831084","ISSN":"0966-8136","issue":"6","note":"publisher: Routledge\n_eprint: https://doi.org/10.1080/09668130600831084","page":"881-902","source":"Taylor and Francis+NEJM","title":"Foreign Direct Investment and economic transition: Panacea or pain killer?","title-short":"Foreign Direct Investment and economic transition","volume":"58","author":[{"family":"Jensen","given":"Camilla"}],"issued":{"date-parts":[["2006",9,1]]}}}],"schema":"https://github.com/citation-style-language/schema/raw/master/csl-citation.json"} </w:instrText>
      </w:r>
      <w:r>
        <w:fldChar w:fldCharType="separate"/>
      </w:r>
      <w:r w:rsidRPr="008B3DA9">
        <w:rPr>
          <w:rFonts w:ascii="Calibri" w:hAnsi="Calibri" w:cs="Calibri"/>
        </w:rPr>
        <w:t>(Jensen 2006)</w:t>
      </w:r>
      <w:r>
        <w:fldChar w:fldCharType="end"/>
      </w:r>
      <w:r>
        <w:t xml:space="preserve">. Therefore, if there is an indirect effect of foreign investment on forest loss, it may take several years for this effect to trickle down to forests at local levels.  </w:t>
      </w:r>
    </w:p>
    <w:p w14:paraId="41414D33" w14:textId="17886FD9" w:rsidR="00050B93" w:rsidRPr="00965D4A" w:rsidRDefault="00965D4A" w:rsidP="006F2311">
      <w:pPr>
        <w:rPr>
          <w:b/>
          <w:bCs/>
          <w:i/>
          <w:iCs/>
        </w:rPr>
      </w:pPr>
      <w:r w:rsidRPr="00965D4A">
        <w:rPr>
          <w:b/>
          <w:bCs/>
          <w:i/>
          <w:iCs/>
        </w:rPr>
        <w:t>2.4.3 Conclusions</w:t>
      </w:r>
    </w:p>
    <w:p w14:paraId="6486437E" w14:textId="433AA420" w:rsidR="008E0F3D" w:rsidRDefault="00316ABA" w:rsidP="006F2311">
      <w:r>
        <w:t>Cambodia’s post-war economic recovery has been remarkably swi</w:t>
      </w:r>
      <w:r w:rsidR="00822264">
        <w:t>ft, boasting</w:t>
      </w:r>
      <w:r w:rsidR="00AC7048">
        <w:t xml:space="preserve"> GDP</w:t>
      </w:r>
      <w:r w:rsidR="00822264">
        <w:t xml:space="preserve"> growth rates greater than any other Asian country excluding China </w:t>
      </w:r>
      <w:r w:rsidR="00822264">
        <w:fldChar w:fldCharType="begin"/>
      </w:r>
      <w:r w:rsidR="00822264">
        <w:instrText xml:space="preserve"> ADDIN ZOTERO_ITEM CSL_CITATION {"citationID":"gFvHPy2T","properties":{"formattedCitation":"(Solcomb 2010)","plainCitation":"(Solcomb 2010)","noteIndex":0},"citationItems":[{"id":2762,"uris":["http://zotero.org/users/2170232/items/JRA2X9H8"],"uri":["http://zotero.org/users/2170232/items/JRA2X9H8"],"itemData":{"id":2762,"type":"book","event-place":"National University of Singapore","ISBN":"978-9971-69-499-9","publisher":"NUS Press","publisher-place":"National University of Singapore","title":"An economic histroy of Cambodia in the twentieth century","URL":"https://library.oapen.org/handle/20.500.12657/26109","author":[{"family":"Solcomb","given":"Margaret"}],"issued":{"date-parts":[["2010"]]}}}],"schema":"https://github.com/citation-style-language/schema/raw/master/csl-citation.json"} </w:instrText>
      </w:r>
      <w:r w:rsidR="00822264">
        <w:fldChar w:fldCharType="separate"/>
      </w:r>
      <w:r w:rsidR="00822264" w:rsidRPr="00822264">
        <w:rPr>
          <w:rFonts w:ascii="Calibri" w:hAnsi="Calibri" w:cs="Calibri"/>
        </w:rPr>
        <w:t>(Solcomb 2010)</w:t>
      </w:r>
      <w:r w:rsidR="00822264">
        <w:fldChar w:fldCharType="end"/>
      </w:r>
      <w:r w:rsidR="00822264">
        <w:t xml:space="preserve">. On one hand this has benefited the Cambodian people through poverty reduction and improved access to services </w:t>
      </w:r>
      <w:r w:rsidR="00822264">
        <w:fldChar w:fldCharType="begin"/>
      </w:r>
      <w:r w:rsidR="00822264">
        <w:instrText xml:space="preserve"> ADDIN ZOTERO_ITEM CSL_CITATION {"citationID":"xEpxrEoO","properties":{"formattedCitation":"(World Bank 2014)","plainCitation":"(World Bank 2014)","noteIndex":0},"citationItems":[{"id":2763,"uris":["http://zotero.org/users/2170232/items/DHPTZUDX"],"uri":["http://zotero.org/users/2170232/items/DHPTZUDX"],"itemData":{"id":2763,"type":"report","event-place":"Washington DC, USA","publisher":"World Bank Group","publisher-place":"Washington DC, USA","title":"Where have all the poor gone? Cambodia poverty assessment 2013","author":[{"family":"World Bank","given":""}],"issued":{"date-parts":[["2014"]]}}}],"schema":"https://github.com/citation-style-language/schema/raw/master/csl-citation.json"} </w:instrText>
      </w:r>
      <w:r w:rsidR="00822264">
        <w:fldChar w:fldCharType="separate"/>
      </w:r>
      <w:r w:rsidR="00822264" w:rsidRPr="00822264">
        <w:rPr>
          <w:rFonts w:ascii="Calibri" w:hAnsi="Calibri" w:cs="Calibri"/>
        </w:rPr>
        <w:t>(World Bank 2014)</w:t>
      </w:r>
      <w:r w:rsidR="00822264">
        <w:fldChar w:fldCharType="end"/>
      </w:r>
      <w:r w:rsidR="00822264">
        <w:t xml:space="preserve">, yet on the other hand much of this economic growth has been built upon natural resource exploitation </w:t>
      </w:r>
      <w:r w:rsidR="00822264">
        <w:fldChar w:fldCharType="begin"/>
      </w:r>
      <w:r w:rsidR="006E1ED5">
        <w:instrText xml:space="preserve"> ADDIN ZOTERO_ITEM CSL_CITATION {"citationID":"soau9CXL","properties":{"formattedCitation":"(Davis et al. 2015; Eliste &amp; Zorya 2015)","plainCitation":"(Davis et al. 2015; Eliste &amp; Zorya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822264">
        <w:fldChar w:fldCharType="separate"/>
      </w:r>
      <w:r w:rsidR="006E1ED5" w:rsidRPr="006E1ED5">
        <w:rPr>
          <w:rFonts w:ascii="Calibri" w:hAnsi="Calibri" w:cs="Calibri"/>
        </w:rPr>
        <w:t>(Davis et al. 2015; Eliste &amp; Zorya 2015)</w:t>
      </w:r>
      <w:r w:rsidR="00822264">
        <w:fldChar w:fldCharType="end"/>
      </w:r>
      <w:r w:rsidR="00AC7048">
        <w:t>,</w:t>
      </w:r>
      <w:r w:rsidR="006E1ED5">
        <w:t xml:space="preserve"> which has had negative effects on protected areas, forests, and local people </w:t>
      </w:r>
      <w:r w:rsidR="006E1ED5">
        <w:fldChar w:fldCharType="begin"/>
      </w:r>
      <w:r w:rsidR="007D3440">
        <w:instrText xml:space="preserve"> ADDIN ZOTERO_ITEM CSL_CITATION {"citationID":"wvgPLRT9","properties":{"formattedCitation":"(Vrieze &amp; Kuch 2012; Oldenburg &amp; Neef 2014; Watson et al. 2014; Beauchamp et al. 2018; Magliocca et al. 2019)","plainCitation":"(Vrieze &amp; Kuch 2012; Oldenburg &amp; Neef 2014; Watson et al. 2014; Beauchamp et al. 2018; Magliocca et al. 2019)","noteIndex":0},"citationItems":[{"id":2053,"uris":["http://zotero.org/users/2170232/items/C9AXILM9"],"uri":["http://zotero.org/users/2170232/items/C9AXILM9"],"itemData":{"id":2053,"type":"article-newspaper","container-title":"The Cambodia Daily","page":"4-11","title":"Carving up Cambodia: One concession at a time","author":[{"family":"Vrieze","given":"Paul"},{"family":"Kuch","given":"Naren"}],"issued":{"date-parts":[["2012"]]}}},{"id":2482,"uris":["http://zotero.org/users/2170232/items/RTUUGXI9"],"uri":["http://zotero.org/users/2170232/items/RTUUGXI9"],"itemData":{"id":2482,"type":"article-journal","container-title":"Law and Development Review","issue":"1","journalAbbreviation":"Law &amp; Dev. Rev.","language":"eng","page":"49-78","source":"HeinOnline","title":"Reversing Land Grabs or Aggravating Tenure Insecurity: Competing Perspectives on Economic Land Concessions and Land Titling in Cambodia","title-short":"Reversing Land Grabs or Aggravating Tenure Insecurity","volume":"7","author":[{"family":"Oldenburg","given":"Christoph"},{"family":"Neef","given":"Andreas"}],"issued":{"date-parts":[["2014"]]}}},{"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B."},{"family":"Hockings","given":"Marc"}],"issued":{"date-parts":[["2014",11]]}}},{"id":3123,"uris":["http://zotero.org/users/2170232/items/JE75AC84"],"uri":["http://zotero.org/users/2170232/items/JE75AC84"],"itemData":{"id":3123,"type":"article-journal","abstract":"Trade-offs between different land use outcomes are inevitable to meet both development and conservation agendas, especially in developing countries where aspirations for development take place within the world's most biodiversity-rich areas. Reports at the national or subnational levels about how trade-offs between conservation and development outcomes materialise once implemented are limited and regionalized analyses are required to understand how they materialise spatially once policies are executed. We take the case study of northern Cambodia, where both protected areas (PAs), as a conservation policy, and Economic Land Concessions (ELCs), as a developmental agricultural intensification strategy, have been implemented. We explore the influences on placement of ELCs and the extent to which they overlap with protected areas, using mixed effect models. We then determine the predictors of deforestation in the study area between 2008 and 2013, including presence of ELCs and PAs. ELC placement does not respond to expected socio-environmental factors related to implementation criteria in policy documents, and is not influenced by the presence of PAs. ELCs represent the most significant driver of deforestation of the factors considered. PAs limit deforestation but only if well-managed. This failure to achieve the balanced trade-off between conservation and development outcomes which policies intend points to development impacts compromising environmental sustainability in the long-run.","container-title":"Land Use Policy","DOI":"10.1016/j.landusepol.2017.11.021","ISSN":"0264-8377","journalAbbreviation":"Land Use Policy","language":"en","page":"431-444","source":"ScienceDirect","title":"Exploring trade-offs between development and conservation outcomes in Northern Cambodia","volume":"71","author":[{"family":"Beauchamp","given":"Emilie"},{"family":"Clements","given":"Tom"},{"family":"Milner-Gulland","given":"E. J."}],"issued":{"date-parts":[["2018",2,1]]}}},{"id":3067,"uris":["http://zotero.org/users/2170232/items/GQ9JDGW8"],"uri":["http://zotero.org/users/2170232/items/GQ9JDGW8"],"itemData":{"id":3067,"type":"article-journal","abstract":"In the global South, a rush of large-scale land acquisitions (LSLAs) is occurring by governments and transnational and domestic investors seeking to secure access to land in developing countries to produce food, biofuels, and other agricultural commodities. Complex interactions between regional and global market dynamics and local institutional, socioeconomic, and agro-ecological conditions can lead to widely varying causal processes, land-use change (LUC), and socioeconomic and environmental outcomes. Systematic understanding of how characteristics of LSLAs across multiple social and environmental contexts produce spillover effects on local communities, ranging from employment opportunities to displacement and indirect land-use change (iLUC), is lacking. We conceptualize agricultural commodity production and land-acquisition processes associated with LSLAs as catalyzing causal pathways of direct and indirect land-use changes. Using the case of economic land concessions (ELCs) in Cambodia, we employed a novel synthesis research approach combining remote sensing, spatio-temporal statistics, and case study meta-analysis to construct archetypical pathways of the causes, timing, and consequences of ELC-driven land change. Archetypical pathways generally diverged based on specialized or flex commodity crops and rates of direct LUC, and rapid rates of direct LUC tended to cause displacement and iLUC. In contrast, ELCs producing commodity crops associated with more gradual land-use change and/or organized local resistance lead to less iLUC. Systematic knowledge generated through synthesis of local causes and consequences of LSLA-driven land change is now possible and needed to better address the direct and indirect consequences of LSLAs for commodity crop production.","container-title":"Ecology and Society","ISSN":"1708-3087","issue":"2","note":"publisher: Resilience Alliance Inc.","source":"JSTOR","title":"Archetypical pathways of direct and indirect land-use change caused by Cambodia’s economic land concessions","URL":"https://www.jstor.org/stable/26796950","volume":"24","author":[{"family":"Magliocca","given":"Nicholas R."},{"family":"Van Khuc","given":"Quy"},{"family":"Ellicott","given":"Evan A."},{"family":"Bremond","given":"Ariane","non-dropping-particle":"de"}],"accessed":{"date-parts":[["2021",12,6]]},"issued":{"date-parts":[["2019"]]}}}],"schema":"https://github.com/citation-style-language/schema/raw/master/csl-citation.json"} </w:instrText>
      </w:r>
      <w:r w:rsidR="006E1ED5">
        <w:fldChar w:fldCharType="separate"/>
      </w:r>
      <w:r w:rsidR="007D3440" w:rsidRPr="007D3440">
        <w:rPr>
          <w:rFonts w:ascii="Calibri" w:hAnsi="Calibri" w:cs="Calibri"/>
        </w:rPr>
        <w:t>(Vrieze &amp; Kuch 2012; Oldenburg &amp; Neef 2014; Watson et al. 2014; Beauchamp et al. 2018; Magliocca et al. 2019)</w:t>
      </w:r>
      <w:r w:rsidR="006E1ED5">
        <w:fldChar w:fldCharType="end"/>
      </w:r>
      <w:r w:rsidR="006E1ED5">
        <w:t xml:space="preserve">. Economic land concessions have </w:t>
      </w:r>
      <w:r w:rsidR="007D3440">
        <w:t>been used by the Cambodian government as a</w:t>
      </w:r>
      <w:r w:rsidR="006E1ED5">
        <w:t xml:space="preserve"> mechanism with which to direct foreign investment, expand industrial-scale commercial agriculture, and boost economic activity, yet have also been a key driver in deforestation</w:t>
      </w:r>
      <w:r w:rsidR="0056505C">
        <w:t xml:space="preserve"> </w:t>
      </w:r>
      <w:r w:rsidR="0056505C">
        <w:fldChar w:fldCharType="begin"/>
      </w:r>
      <w:r w:rsidR="0056505C">
        <w:instrText xml:space="preserve"> ADDIN ZOTERO_ITEM CSL_CITATION {"citationID":"zrGyWWt0","properties":{"formattedCitation":"(Tsujino et al. 2019)","plainCitation":"(Tsujino et al. 2019)","noteIndex":0},"citationItems":[{"id":3167,"uris":["http://zotero.org/users/2170232/items/9H8JV8RN"],"uri":["http://zotero.org/users/2170232/items/9H8JV8RN"],"itemData":{"id":3167,"type":"article-journal","abstract":"To reconstruct the history of forest loss in Cambodia, the literature and national/provincial statistics of landuse patterns and the socio-economic situation were investigated. Forest cover in the 1960s was 73.3 % (13.3 Mha). However, this drastically decreased to 47.3% (8.6 Mha) in\n2016. In the 1960s, the forest was less-disturbed. From 1970 to 1993, the forest was lost gradually owing to the political instability caused by the Cambodian Civil War. In the post-war reconstruction period from 1993 to around 2002, the need for reconstruction, international demand for timber,\nand forest logging concessions led to a significant increase in timber production. In the rapid economic growth period from 2002 until present, while several political actions were taken to combat rapid deforestation, economic land concessions, which promoted agroindustrial plantations, as\nwell as small-scale agriculture has been leading to the rapid expansion of arable land and deforestation since 2009.","container-title":"International Forestry Review","DOI":"10.1505/146554819827293178","issue":"3","journalAbbreviation":"International Forestry Review","page":"372-384","source":"IngentaConnect","title":"Causes and history of forest loss in Cambodia","volume":"21","author":[{"family":"Tsujino","given":"R."},{"family":"Kajisa","given":"T."},{"family":"Yumoto","given":"T."}],"issued":{"date-parts":[["2019",9,1]]}}}],"schema":"https://github.com/citation-style-language/schema/raw/master/csl-citation.json"} </w:instrText>
      </w:r>
      <w:r w:rsidR="0056505C">
        <w:fldChar w:fldCharType="separate"/>
      </w:r>
      <w:r w:rsidR="0056505C" w:rsidRPr="0056505C">
        <w:rPr>
          <w:rFonts w:ascii="Calibri" w:hAnsi="Calibri" w:cs="Calibri"/>
        </w:rPr>
        <w:t>(Tsujino et al. 2019)</w:t>
      </w:r>
      <w:r w:rsidR="0056505C">
        <w:fldChar w:fldCharType="end"/>
      </w:r>
      <w:r w:rsidR="006E1ED5">
        <w:t>. H</w:t>
      </w:r>
      <w:r w:rsidR="006E1ED5" w:rsidRPr="006E1ED5">
        <w:t xml:space="preserve">igh rates of deforestation, in the context of Cambodia’s economic status and the rural population’s reliance on natural resources </w:t>
      </w:r>
      <w:r w:rsidR="006E1ED5" w:rsidRPr="006E1ED5">
        <w:fldChar w:fldCharType="begin"/>
      </w:r>
      <w:r w:rsidR="00FE1CFD">
        <w:instrText xml:space="preserve"> ADDIN ZOTERO_ITEM CSL_CITATION {"citationID":"KJycbkPj","properties":{"formattedCitation":"(Nguyen et al. 2015)","plainCitation":"(Nguyen et al. 2015)","noteIndex":0},"citationItems":[{"id":1658,"uris":["http://zotero.org/users/2170232/items/UKV6TVYW"],"uri":["http://zotero.org/users/2170232/items/UKV6TVYW"],"itemData":{"id":1658,"type":"article-journal","abstract":"Understanding rural livelihood strategies and environmental resource dependence can help to reduce and prevent livelihood stresses induced by environmental resource degradation. This study identifies livelihood strategies of farm households in rural Cambodia and explores their determinants with a focus on environmental resource dependence. The data are derived from a survey of 580 households in 30 villages of Stung Treng province in Cambodia undertaken in 2013. An activity-based two-step cluster analysis is conducted to identify different livelihood clusters and regression models are performed to determine the major factors affecting the choice of livelihood strategies and the extraction of environmental resources. The results demonstrate how different levels of environmental and household capital influence livelihood strategies. Environmental resources contribute a significant portion of household income (27%) and act as a means to reduce income inequality (7%) among households. The absolute environmental income is positively correlated with the total income but the relative environmental income decreases with an increase in total income. Thus, it appears that low income households are not to be blamed for environmental degradation, because they are unable to undertake activities with high return. The findings of this study suggest that promoting off-farm employment, education and social networking reduces the extraction of environmental resources.","container-title":"Ecological Economics","DOI":"10.1016/j.ecolecon.2015.11.001","ISSN":"0921-8009","journalAbbreviation":"Ecological Economics","page":"282-295","source":"ScienceDirect","title":"Rural livelihoods and environmental resource dependence in Cambodia","volume":"120","author":[{"family":"Nguyen","given":"Trung Thanh"},{"family":"Do","given":"Truong Lam"},{"family":"Bühler","given":"Dorothee"},{"family":"Hartje","given":"Rebecca"},{"family":"Grote","given":"Ulrike"}],"issued":{"date-parts":[["2015",12,1]]}}}],"schema":"https://github.com/citation-style-language/schema/raw/master/csl-citation.json"} </w:instrText>
      </w:r>
      <w:r w:rsidR="006E1ED5" w:rsidRPr="006E1ED5">
        <w:fldChar w:fldCharType="separate"/>
      </w:r>
      <w:r w:rsidR="00FE1CFD" w:rsidRPr="00FE1CFD">
        <w:rPr>
          <w:rFonts w:ascii="Calibri" w:hAnsi="Calibri" w:cs="Calibri"/>
        </w:rPr>
        <w:t>(Nguyen et al. 2015)</w:t>
      </w:r>
      <w:r w:rsidR="006E1ED5" w:rsidRPr="006E1ED5">
        <w:fldChar w:fldCharType="end"/>
      </w:r>
      <w:r w:rsidR="006E1ED5" w:rsidRPr="006E1ED5">
        <w:t>, suggests that the country is on the increasing</w:t>
      </w:r>
      <w:r w:rsidR="00FE1CFD">
        <w:t xml:space="preserve"> deforestation</w:t>
      </w:r>
      <w:r w:rsidR="006E1ED5" w:rsidRPr="006E1ED5">
        <w:t xml:space="preserve"> trajectory of the </w:t>
      </w:r>
      <w:r w:rsidR="0042633E">
        <w:t>EKC</w:t>
      </w:r>
      <w:r w:rsidR="008064C8">
        <w:t>d</w:t>
      </w:r>
      <w:r w:rsidR="0042633E">
        <w:t xml:space="preserve"> </w:t>
      </w:r>
      <w:r w:rsidR="00FE1CFD">
        <w:t>(</w:t>
      </w:r>
      <w:r w:rsidR="00FE1CFD">
        <w:fldChar w:fldCharType="begin"/>
      </w:r>
      <w:r w:rsidR="0036712C">
        <w:instrText xml:space="preserve"> ADDIN ZOTERO_ITEM CSL_CITATION {"citationID":"bgRulRm2","properties":{"formattedCitation":"(Bhattarai &amp; Hammig 2004)","plainCitation":"(Bhattarai &amp; Hammig 2004)","dontUpdate":true,"noteIndex":0},"citationItems":[{"id":2122,"uris":["http://zotero.org/users/2170232/items/NINHSHM7"],"uri":["http://zotero.org/users/2170232/items/NINHSHM7"],"itemData":{"id":2122,"type":"article-journal","abstract":"This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forests","volume":"9","author":[{"family":"Bhattarai","given":"Madhusudan"},{"family":"Hammig","given":"Michael"}],"issued":{"date-parts":[["2004",7]]}}}],"schema":"https://github.com/citation-style-language/schema/raw/master/csl-citation.json"} </w:instrText>
      </w:r>
      <w:r w:rsidR="00FE1CFD">
        <w:fldChar w:fldCharType="separate"/>
      </w:r>
      <w:r w:rsidR="00FE1CFD" w:rsidRPr="00FE1CFD">
        <w:rPr>
          <w:rFonts w:ascii="Calibri" w:hAnsi="Calibri" w:cs="Calibri"/>
        </w:rPr>
        <w:t>Bhattarai &amp; Hammig 2004)</w:t>
      </w:r>
      <w:r w:rsidR="00FE1CFD">
        <w:fldChar w:fldCharType="end"/>
      </w:r>
      <w:r w:rsidR="006E1ED5" w:rsidRPr="006E1ED5">
        <w:t>, whereby national economic development is improved at the expense of</w:t>
      </w:r>
      <w:r w:rsidR="00AC7048">
        <w:t xml:space="preserve"> natural</w:t>
      </w:r>
      <w:r w:rsidR="006E1ED5" w:rsidRPr="006E1ED5">
        <w:t xml:space="preserve"> forest cover </w:t>
      </w:r>
      <w:r w:rsidR="006E1ED5" w:rsidRPr="006E1ED5">
        <w:fldChar w:fldCharType="begin"/>
      </w:r>
      <w:r w:rsidR="00FE1CFD">
        <w:instrText xml:space="preserve"> ADDIN ZOTERO_ITEM CSL_CITATION {"citationID":"5w1othVf","properties":{"formattedCitation":"(Stern 2004)","plainCitation":"(Stern 2004)","noteIndex":0},"citationItems":[{"id":2756,"uris":["http://zotero.org/users/2170232/items/Y74YDBYE"],"uri":["http://zotero.org/users/2170232/items/Y74YDBYE"],"itemData":{"id":2756,"type":"article-journal","abstract":"This paper presents a critical history of the environmental Kuznets curve (EKC). The EKC proposes that indicators of environmental degradation first rise, and then fall with increasing income per capita. Recent evidence shows however, that developing countries are addressing environmental issues, sometimes adopting developed country standards with a short time lag and sometimes performing better than some wealthy countries, and that the EKC results have a very flimsy statistical foundation. A new generation of decomposition and efficient frontier models can help disentangle the true relations between development and the environment and may lead to the demise of the classic EKC.","container-title":"World Development","DOI":"10.1016/j.worlddev.2004.03.004","ISSN":"0305-750X","issue":"8","journalAbbreviation":"World Development","language":"en","page":"1419-1439","source":"ScienceDirect","title":"The Rise and Fall of the Environmental Kuznets Curve","volume":"32","author":[{"family":"Stern","given":"David I"}],"issued":{"date-parts":[["2004",8,1]]}}}],"schema":"https://github.com/citation-style-language/schema/raw/master/csl-citation.json"} </w:instrText>
      </w:r>
      <w:r w:rsidR="006E1ED5" w:rsidRPr="006E1ED5">
        <w:fldChar w:fldCharType="separate"/>
      </w:r>
      <w:r w:rsidR="00FE1CFD" w:rsidRPr="00FE1CFD">
        <w:rPr>
          <w:rFonts w:ascii="Calibri" w:hAnsi="Calibri" w:cs="Calibri"/>
        </w:rPr>
        <w:t>(Stern 2004)</w:t>
      </w:r>
      <w:r w:rsidR="006E1ED5" w:rsidRPr="006E1ED5">
        <w:fldChar w:fldCharType="end"/>
      </w:r>
      <w:r w:rsidR="006E1ED5" w:rsidRPr="006E1ED5">
        <w:t>.</w:t>
      </w:r>
      <w:r w:rsidR="001F4E9E">
        <w:t xml:space="preserve"> </w:t>
      </w:r>
    </w:p>
    <w:p w14:paraId="793DAE13" w14:textId="23C58A35" w:rsidR="00050B93" w:rsidRDefault="001F4E9E" w:rsidP="00BF6BF7">
      <w:r>
        <w:t>Th</w:t>
      </w:r>
      <w:r w:rsidR="008E0F3D">
        <w:t xml:space="preserve">e most relevant case study to compare with Cambodia is that of its neighbour Vietnam, which underwent a forest transition in the 1990s, and over the </w:t>
      </w:r>
      <w:r w:rsidR="00CD4BBD">
        <w:t>next</w:t>
      </w:r>
      <w:r w:rsidR="008E0F3D">
        <w:t xml:space="preserve"> two decades national forest cover</w:t>
      </w:r>
      <w:r w:rsidR="00CD4BBD">
        <w:t xml:space="preserve"> increased</w:t>
      </w:r>
      <w:r w:rsidR="008E0F3D">
        <w:t xml:space="preserve"> </w:t>
      </w:r>
      <w:r w:rsidR="008E0F3D">
        <w:fldChar w:fldCharType="begin"/>
      </w:r>
      <w:r w:rsidR="008E0F3D">
        <w:instrText xml:space="preserve"> ADDIN ZOTERO_ITEM CSL_CITATION {"citationID":"LqBGD9Ms","properties":{"formattedCitation":"(Meyfroidt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rsidR="008E0F3D">
        <w:fldChar w:fldCharType="separate"/>
      </w:r>
      <w:r w:rsidR="008E0F3D" w:rsidRPr="008E0F3D">
        <w:rPr>
          <w:rFonts w:ascii="Calibri" w:hAnsi="Calibri" w:cs="Calibri"/>
        </w:rPr>
        <w:t>(Meyfroidt &amp; Lambin 2008)</w:t>
      </w:r>
      <w:r w:rsidR="008E0F3D">
        <w:fldChar w:fldCharType="end"/>
      </w:r>
      <w:r w:rsidR="008E0F3D">
        <w:t xml:space="preserve">. </w:t>
      </w:r>
      <w:r w:rsidR="00E64AFA">
        <w:t xml:space="preserve">Vietnam’s forest transition was driven by a combination of factors including land scarcity due to increasing human populations, reductions in hillside cultivation owing to land degradation and land use policies, increased productivity in existing agricultural lands, </w:t>
      </w:r>
      <w:r w:rsidR="00E64AFA">
        <w:lastRenderedPageBreak/>
        <w:t xml:space="preserve">government policies that promoted smallholder forestry, increased demand for timber, and a scarcity of forest products that provided incentives for reforestation </w:t>
      </w:r>
      <w:r w:rsidR="00E64AFA">
        <w:fldChar w:fldCharType="begin"/>
      </w:r>
      <w:r w:rsidR="00C16DA9">
        <w:instrText xml:space="preserve"> ADDIN ZOTERO_ITEM CSL_CITATION {"citationID":"RGxpSC1u","properties":{"formattedCitation":"(Meyfroidt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rsidR="00E64AFA">
        <w:fldChar w:fldCharType="separate"/>
      </w:r>
      <w:r w:rsidR="00E64AFA" w:rsidRPr="008E0F3D">
        <w:rPr>
          <w:rFonts w:ascii="Calibri" w:hAnsi="Calibri" w:cs="Calibri"/>
        </w:rPr>
        <w:t>(Meyfroidt &amp; Lambin 2008)</w:t>
      </w:r>
      <w:r w:rsidR="00E64AFA">
        <w:fldChar w:fldCharType="end"/>
      </w:r>
      <w:r w:rsidR="00E64AFA">
        <w:t xml:space="preserve">. </w:t>
      </w:r>
      <w:r w:rsidR="00E23AF3">
        <w:t xml:space="preserve">Recent studies have highlighted Cambodia’s readiness for a forest transition; all of the necessary econometric milestones have been reached including </w:t>
      </w:r>
      <w:r w:rsidR="00894AFB">
        <w:t>robust</w:t>
      </w:r>
      <w:r w:rsidR="00E23AF3">
        <w:t xml:space="preserve"> government policies and</w:t>
      </w:r>
      <w:r w:rsidR="00894AFB">
        <w:t xml:space="preserve"> legal</w:t>
      </w:r>
      <w:r w:rsidR="00E23AF3">
        <w:t xml:space="preserve"> </w:t>
      </w:r>
      <w:r w:rsidR="00894AFB">
        <w:t>frameworks</w:t>
      </w:r>
      <w:r w:rsidR="00E23AF3">
        <w:t xml:space="preserve">, the promotion and expansion of tourism, integration into global markets for capital, commodities, and labour, and prevalent international conservation ideologies, yet deforestation rates </w:t>
      </w:r>
      <w:r w:rsidR="0056505C">
        <w:t>between 1990 and 2015 remained above 1%</w:t>
      </w:r>
      <w:r w:rsidR="00E23AF3">
        <w:t xml:space="preserve"> </w:t>
      </w:r>
      <w:r w:rsidR="00E23AF3">
        <w:fldChar w:fldCharType="begin"/>
      </w:r>
      <w:r w:rsidR="0056505C">
        <w:instrText xml:space="preserve"> ADDIN ZOTERO_ITEM CSL_CITATION {"citationID":"47HpV1HW","properties":{"formattedCitation":"(Ota et al. 2020)","plainCitation":"(Ota et al. 2020)","noteIndex":0},"citationItems":[{"id":3168,"uris":["http://zotero.org/users/2170232/items/44PMWYDG"],"uri":["http://zotero.org/users/2170232/items/44PMWYDG"],"itemData":{"id":3168,"type":"article-journal","abstract":"Considerable proportions of the remaining global forest areas are currently harboured in tropical countries. Reducing deforestation in this region is important to help mitigate climate change. Effective forest conservation approach is needed to reduce deforestation and degradation in these countries. Here, we investigated the forest conservation effect of community forests and protected areas using country scale data in Cambodia. In addition to these two forest conservation approaches, we also evaluated the effectiveness of protected forests, which are similar to protected areas but managed by different authorities. We compared deforestation between 2006 and 2016 in areas under the three forest conservation approaches and a non-conserved area by applying the inverse probability of treatment weighting with the propensity score minimizing confounding effects. The results showed that community forest, protected areas, and protected forest significantly decreased deforestation compared with non-conserved forests. Out of the three forest conservation approaches, protected forest was the most effective and community forest was the least effective. We conclude that all of the policies we evaluated are effective for forest conservation but the effectiveness varies depending on the approach. Our findings also suggest that the authority managing the given approach plays an important part in its effectiveness.","container-title":"Land Use Policy","DOI":"10.1016/j.landusepol.2020.104597","ISSN":"0264-8377","journalAbbreviation":"Land Use Policy","language":"en","page":"104597","source":"ScienceDirect","title":"A country scale analysis revealed effective forest policy affecting forest cover changes in Cambodia","volume":"95","author":[{"family":"Ota","given":"Tetsuji"},{"family":"Lonn","given":"Pichdara"},{"family":"Mizoue","given":"Nobuya"}],"issued":{"date-parts":[["2020",6,1]]}}}],"schema":"https://github.com/citation-style-language/schema/raw/master/csl-citation.json"} </w:instrText>
      </w:r>
      <w:r w:rsidR="00E23AF3">
        <w:fldChar w:fldCharType="separate"/>
      </w:r>
      <w:r w:rsidR="0056505C" w:rsidRPr="0056505C">
        <w:rPr>
          <w:rFonts w:ascii="Calibri" w:hAnsi="Calibri" w:cs="Calibri"/>
        </w:rPr>
        <w:t>(Ota et al. 2020)</w:t>
      </w:r>
      <w:r w:rsidR="00E23AF3">
        <w:fldChar w:fldCharType="end"/>
      </w:r>
      <w:r w:rsidR="00E23AF3">
        <w:t xml:space="preserve">. </w:t>
      </w:r>
      <w:r w:rsidR="00CD4BBD">
        <w:t>C</w:t>
      </w:r>
      <w:r w:rsidR="00BF6BF7">
        <w:t>ase studies of</w:t>
      </w:r>
      <w:r w:rsidR="00CD4BBD">
        <w:t xml:space="preserve"> other</w:t>
      </w:r>
      <w:r w:rsidR="00BF6BF7">
        <w:t xml:space="preserve"> Asian countries that have gone through forest transitions</w:t>
      </w:r>
      <w:r w:rsidR="007760EE">
        <w:t>, including Vietnam,</w:t>
      </w:r>
      <w:r w:rsidR="00BF6BF7">
        <w:t xml:space="preserve"> have highlighted the need for at least one element of effective governance</w:t>
      </w:r>
      <w:r w:rsidR="00C3282B">
        <w:t xml:space="preserve"> </w:t>
      </w:r>
      <w:r w:rsidR="00C3282B">
        <w:fldChar w:fldCharType="begin"/>
      </w:r>
      <w:r w:rsidR="00C95BE8">
        <w:instrText xml:space="preserve"> ADDIN ZOTERO_ITEM CSL_CITATION {"citationID":"EJiphXO8","properties":{"formattedCitation":"(Clement et al. 2009; Bhattacharya et al. 2010; He et al. 2014)","plainCitation":"(Clement et al. 2009; Bhattacharya et al. 2010; He et al. 2014)","noteIndex":0},"citationItems":[{"id":2906,"uris":["http://zotero.org/users/2170232/items/2IP7689X"],"uri":["http://zotero.org/users/2170232/items/2IP7689X"],"itemData":{"id":2906,"type":"article-journal","abstract":"This article identifies drivers of forest transition in a province of Northern Vietnam between 1993 and 2000 by applying geographically weighted regression (GWR) analysis to remotely sensed and statistical data. The regression model highlighted the spatial variation of the relationship between the percentage of land afforested and its proximate causes. Factors identified as having a major impact on afforestation are: the presence or proximity of a wood-processing industry, the distance to highways, and land allocation to households. Whereas the two former variables are in most areas of the province positively correlated with afforestation, an unexpected negative correlation was observed for the latter. The analysis of these results, supported by an in-depth knowledge of the area and of the political context, leads to the conclusion that, during the time period considered, afforestation was largely driven by state organisations on protected state-owned land, and forestry was not a significant component of household economic activities.","container-title":"Applied Geography","DOI":"10.1016/j.apgeog.2009.01.003","ISSN":"0143-6228","issue":"4","journalAbbreviation":"Applied Geography","language":"en","page":"561-576","source":"ScienceDirect","title":"Drivers of afforestation in Northern Vietnam: Assessing local variations using geographically weighted regression","title-short":"Drivers of afforestation in Northern Vietnam","volume":"29","author":[{"family":"Clement","given":"Floriane"},{"family":"Orange","given":"Didier"},{"family":"Williams","given":"Meredith"},{"family":"Mulley","given":"Corinne"},{"family":"Epprecht","given":"Michael"}],"issued":{"date-parts":[["2009",12,1]]}}},{"id":2904,"uris":["http://zotero.org/users/2170232/items/8UIGWD3F"],"uri":["http://zotero.org/users/2170232/items/8UIGWD3F"],"itemData":{"id":2904,"type":"article-journal","abstract":"Joint Forest Management (JFM), embracing the philosophy of forest conservation and livelihood improvement through cooperation between state and civil society, has emerged over the past decades both as a specific paradigm of forest governance in India and as India's largest community forestry program. The JFM program, evolved during early 1970s covering a few forest villages as a model for reversing the trend of degraded forest ecosystem through the active protection by local villagers. The JFM program is implemented currently by 106,482 Joint Forest Management Committees (JFMC) and it covers 22 million ha of forests spread across 28 constituent states of India and union territories. JFM emerged against a backdrop of two centuries of centralised bureaucratic control over forest management in India. Centralized control during the 19th and 20th centuries failed either to conserve resources or to contribute substantially to the well-being of local populations. However, inconsistent persuasions from decentralization policies in India under present forest policy (1988) have prompted people to analyse the theoretical basis for accepting that decentralization would bring improvements in forest ecosystem management. Still others have contested the de facto rationale for decentralization (i.e., improved forest management) and have suggested that decentralization may be a manipulation by elites to serve their own interests or to shift power, for example from national to international agencies that have funded decentralization. Thirty years from its inception, there are now concerns for the recent effectiveness of JFM (over the past 20 years) because it is a group action that is getting old and is perhaps losing some of its pioneering drive and innovativeness. Although JFM has been administered nationally, decisions on implementation detail have been left to the individual states, resulting in different strategies. The long history of JFM has also provided scope for experiences with it to change over time as well as between places. Given the range of experiences with and perceptions of JFM, as well as the importance of the objectives JFM ostensibly serves, the time is ripe therefore for a retrospective evaluation to take stock of its actual achievements, its status and ways forward. The current paper seeks to provide such a review and analysis. The paper highlights design and implementation issues related to government resolutions, benefits-sharing and forest offences. It also assesses the critical design factors and key drivers responsible for institutional reforms. The paper evaluates impacts of protection on forest productivity and on the livelihoods of local communities. It highlights that the JFM program, by virtue of the diversity of its implementation, provides an ideal laboratory for exploring why similar reforms can lead to different outcomes. The paper argued that though there are supporting government policy and guideline and massive fund support, why there has been a low down of enthusiasm for JFM in the last two decades. From experiences, it suggests strategies for its revival and JFM can further contribute effective toward forest conservation and enhanced livelihood opportunities in the future.","container-title":"Resources, Conservation and Recycling","DOI":"10.1016/j.resconrec.2009.10.003","ISSN":"0921-3449","issue":"8","journalAbbreviation":"Resources, Conservation and Recycling","language":"en","page":"469-480","source":"ScienceDirect","title":"Joint forest management in India: Experiences of two decades","title-short":"Joint forest management in India","volume":"54","author":[{"family":"Bhattacharya","given":"Prodyut"},{"family":"Pradhan","given":"Lolita"},{"family":"Yadav","given":"Ganesh"}],"issued":{"date-parts":[["2010",6,1]]}}},{"id":2908,"uris":["http://zotero.org/users/2170232/items/GI3GI4ET"],"uri":["http://zotero.org/users/2170232/items/GI3GI4ET"],"itemData":{"id":2908,"type":"article-journal","abstract":"China has experienced extensive forest transition, from net deforestation to net forestation. Existing theories have highlighted economic growth, the intensification of agriculture and forest scarcity as the pathways of this transition, and studies, in particular from China, have also highlighted the contribution of a huge state afforestation program and the improved implementation and enforcement of forest protection policy and law. However, few studies have paid attention to local dynamics to provide a contextualized understanding of how forest transition has taken place at the local level and the significance of local factors in this change. This paper examines forest transition pathways in two villages in China. We consider the historical perspective and compare their local dynamics and variations to reach an understanding of the process of forest recovery at the local level. The results show that state forestry policies, including afforestation policy and tenure reform, arguably contribute to forest increase, while local processes including livelihood change and institutional factors play a key role in driving and shaping forest transition. We argue that there is a need for local-level studies and recommend including local institutions in forest transition analysis, contextualizing the socio-ecological interactions within the broader concept of political economy.","container-title":"Forests","DOI":"10.3390/f5020214","issue":"2","language":"en","note":"number: 2\npublisher: Multidisciplinary Digital Publishing Institute","page":"214-233","source":"www.mdpi.com","title":"Local Dynamics Driving Forest Transition: Insights from Upland Villages in Southwest China","title-short":"Local Dynamics Driving Forest Transition","volume":"5","author":[{"family":"He","given":"Jun"},{"family":"Lang","given":"Rong"},{"family":"Xu","given":"Jianchu"}],"issued":{"date-parts":[["2014",2]]}}}],"schema":"https://github.com/citation-style-language/schema/raw/master/csl-citation.json"} </w:instrText>
      </w:r>
      <w:r w:rsidR="00C3282B">
        <w:fldChar w:fldCharType="separate"/>
      </w:r>
      <w:r w:rsidR="00C95BE8" w:rsidRPr="00C95BE8">
        <w:rPr>
          <w:rFonts w:ascii="Calibri" w:hAnsi="Calibri" w:cs="Calibri"/>
        </w:rPr>
        <w:t>(Clement et al. 2009; Bhattacharya et al. 2010; He et al. 2014)</w:t>
      </w:r>
      <w:r w:rsidR="00C3282B">
        <w:fldChar w:fldCharType="end"/>
      </w:r>
      <w:r w:rsidR="00BF6BF7" w:rsidRPr="00BF6BF7">
        <w:t>.</w:t>
      </w:r>
      <w:r w:rsidR="00BF6BF7">
        <w:t xml:space="preserve"> </w:t>
      </w:r>
      <w:r w:rsidR="007760EE">
        <w:t xml:space="preserve">Governance failures in Cambodia </w:t>
      </w:r>
      <w:r w:rsidR="00C3282B">
        <w:t>are</w:t>
      </w:r>
      <w:r w:rsidR="007760EE">
        <w:t xml:space="preserve"> likely hindering progress towards more sustainable forest management and ultimately a forest transition </w:t>
      </w:r>
      <w:r w:rsidR="007760EE">
        <w:fldChar w:fldCharType="begin"/>
      </w:r>
      <w:r w:rsidR="007760EE">
        <w:instrText xml:space="preserve"> ADDIN ZOTERO_ITEM CSL_CITATION {"citationID":"eSkdnFdw","properties":{"formattedCitation":"(Milne &amp; Mahanty 2015; Riggs et al. 2018)","plainCitation":"(Milne &amp; Mahanty 2015; Riggs et al. 2018)","noteIndex":0},"citationItems":[{"id":2899,"uris":["http://zotero.org/users/2170232/items/HVLX9C67"],"uri":["http://zotero.org/users/2170232/items/HVLX9C67"],"itemData":{"id":2899,"type":"book","abstract":"Written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7760EE">
        <w:fldChar w:fldCharType="separate"/>
      </w:r>
      <w:r w:rsidR="007760EE" w:rsidRPr="007760EE">
        <w:rPr>
          <w:rFonts w:ascii="Calibri" w:hAnsi="Calibri" w:cs="Calibri"/>
        </w:rPr>
        <w:t>(Milne &amp; Mahanty 2015; Riggs et al. 2018)</w:t>
      </w:r>
      <w:r w:rsidR="007760EE">
        <w:fldChar w:fldCharType="end"/>
      </w:r>
      <w:r w:rsidR="007760EE">
        <w:t xml:space="preserve">. </w:t>
      </w:r>
    </w:p>
    <w:p w14:paraId="728E4EED" w14:textId="710D7960" w:rsidR="006F2311" w:rsidRDefault="006F2311" w:rsidP="006F2311">
      <w:r>
        <w:t xml:space="preserve">Understanding which </w:t>
      </w:r>
      <w:r w:rsidR="00CD4BBD">
        <w:t>economic factors and agricultural commodities</w:t>
      </w:r>
      <w:r>
        <w:t xml:space="preserve"> are driving land conversion</w:t>
      </w:r>
      <w:r w:rsidR="00CD4BBD">
        <w:t xml:space="preserve"> via ELCs</w:t>
      </w:r>
      <w:r>
        <w:t xml:space="preserve">, the strength of the effects, the time lags, and the legal and institutional mechanisms that facilitate the link between prices and forest loss, is critical for </w:t>
      </w:r>
      <w:r w:rsidR="00AC7048">
        <w:t>both</w:t>
      </w:r>
      <w:r w:rsidR="00AC7048">
        <w:t xml:space="preserve"> </w:t>
      </w:r>
      <w:r>
        <w:t>predicting future forest loss</w:t>
      </w:r>
      <w:r w:rsidR="00CD4BBD">
        <w:t xml:space="preserve"> and identifying the appropriate institutional levels to target policy interventions</w:t>
      </w:r>
      <w:r>
        <w:t>. The opaque legal mechanisms and weak institutional frameworks that govern ELCs</w:t>
      </w:r>
      <w:r w:rsidR="00CD4BBD">
        <w:t>, natural resource management, and forest governance</w:t>
      </w:r>
      <w:r w:rsidR="0036712C">
        <w:t xml:space="preserve"> in Cambodia</w:t>
      </w:r>
      <w:r>
        <w:t xml:space="preserve"> are likely to continue to hinder the development of sustainable</w:t>
      </w:r>
      <w:r w:rsidR="0036712C">
        <w:t xml:space="preserve"> forest and</w:t>
      </w:r>
      <w:r>
        <w:t xml:space="preserve"> agricultural policies</w:t>
      </w:r>
      <w:r w:rsidR="00CD4BBD">
        <w:t xml:space="preserve"> </w:t>
      </w:r>
      <w:r w:rsidR="0036712C">
        <w:t>in the short term</w:t>
      </w:r>
      <w:r w:rsidR="00AF2607">
        <w:t xml:space="preserve"> </w:t>
      </w:r>
      <w:r w:rsidR="00AF2607">
        <w:fldChar w:fldCharType="begin"/>
      </w:r>
      <w:r w:rsidR="00AF2607">
        <w:instrText xml:space="preserve"> ADDIN ZOTERO_ITEM CSL_CITATION {"citationID":"jxSwETss","properties":{"formattedCitation":"(Milne &amp; Mahanty 2015)","plainCitation":"(Milne &amp; Mahanty 2015)","noteIndex":0},"citationItems":[{"id":2899,"uris":["http://zotero.org/users/2170232/items/HVLX9C67"],"uri":["http://zotero.org/users/2170232/items/HVLX9C67"],"itemData":{"id":2899,"type":"book","abstract":"Written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Cambodia","author":[{"family":"Milne","given":"Sarah"},{"family":"Mahanty","given":"Sango"}],"issued":{"date-parts":[["2015",2,11]]}}}],"schema":"https://github.com/citation-style-language/schema/raw/master/csl-citation.json"} </w:instrText>
      </w:r>
      <w:r w:rsidR="00AF2607">
        <w:fldChar w:fldCharType="separate"/>
      </w:r>
      <w:r w:rsidR="00AF2607" w:rsidRPr="0036712C">
        <w:rPr>
          <w:rFonts w:ascii="Calibri" w:hAnsi="Calibri" w:cs="Calibri"/>
        </w:rPr>
        <w:t>(Milne &amp; Mahanty 2015)</w:t>
      </w:r>
      <w:r w:rsidR="00AF2607">
        <w:fldChar w:fldCharType="end"/>
      </w:r>
      <w:r>
        <w:t xml:space="preserve">. </w:t>
      </w:r>
      <w:r w:rsidR="00AF2607">
        <w:t xml:space="preserve">Industrial-scale agriculture in low income countries such as Cambodia are often criticised for failing to alleviate poverty or contribute to rural development, and often come with huge opportunity costs for local people, who would likely benefit more if they were given access to the land </w:t>
      </w:r>
      <w:r w:rsidR="00AF2607">
        <w:fldChar w:fldCharType="begin"/>
      </w:r>
      <w:r w:rsidR="00AF2607">
        <w:instrText xml:space="preserve"> ADDIN ZOTERO_ITEM CSL_CITATION {"citationID":"U0CT8V0U","properties":{"formattedCitation":"(De Schutter 2011)","plainCitation":"(De Schutter 2011)","noteIndex":0},"citationItems":[{"id":2758,"uris":["http://zotero.org/users/2170232/items/W4WVMKX6"],"uri":["http://zotero.org/users/2170232/items/W4WVMKX6"],"itemData":{"id":2758,"type":"article-journal","abstract":"Large-scale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Schutter","given":"Olivier"}],"issued":{"date-parts":[["2011",3,1]]}}}],"schema":"https://github.com/citation-style-language/schema/raw/master/csl-citation.json"} </w:instrText>
      </w:r>
      <w:r w:rsidR="00AF2607">
        <w:fldChar w:fldCharType="separate"/>
      </w:r>
      <w:r w:rsidR="00AF2607" w:rsidRPr="00AF2607">
        <w:rPr>
          <w:rFonts w:ascii="Calibri" w:hAnsi="Calibri" w:cs="Calibri"/>
        </w:rPr>
        <w:t>(De Schutter 2011)</w:t>
      </w:r>
      <w:r w:rsidR="00AF2607">
        <w:fldChar w:fldCharType="end"/>
      </w:r>
      <w:r w:rsidR="00AF2607">
        <w:t>.</w:t>
      </w:r>
      <w:r w:rsidR="007D5AEB">
        <w:t xml:space="preserve"> </w:t>
      </w:r>
      <w:r w:rsidR="00AF2607">
        <w:t xml:space="preserve">Furthermore, agro-industrial production of cash crops for international markets leaves the country open to price shocks and other suboptimal market fluctuations. </w:t>
      </w:r>
      <w:r w:rsidR="007D5AEB">
        <w:t xml:space="preserve">Nevertheless, the agricultural sector is still a fundamental part of the national economy and labour force, and further agricultural development </w:t>
      </w:r>
      <w:r w:rsidR="00FC0B89">
        <w:t>that embodies sustainability, increased productivity through improved technology, and value-addition via further processing</w:t>
      </w:r>
      <w:r w:rsidR="007D5AEB">
        <w:t xml:space="preserve"> </w:t>
      </w:r>
      <w:r w:rsidR="00FC0B89">
        <w:t xml:space="preserve">rather than land expansion, can continue to contribute to national development and poverty alleviation without the need for further deforestation </w:t>
      </w:r>
      <w:r w:rsidR="00FC0B89">
        <w:fldChar w:fldCharType="begin"/>
      </w:r>
      <w:r w:rsidR="00FC0B89">
        <w:instrText xml:space="preserve"> ADDIN ZOTERO_ITEM CSL_CITATION {"citationID":"YKMBcCcP","properties":{"formattedCitation":"(Eliste &amp; Zorya 2015)","plainCitation":"(Eliste &amp;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FC0B89">
        <w:fldChar w:fldCharType="separate"/>
      </w:r>
      <w:r w:rsidR="00FC0B89" w:rsidRPr="00FC0B89">
        <w:rPr>
          <w:rFonts w:ascii="Calibri" w:hAnsi="Calibri" w:cs="Calibri"/>
        </w:rPr>
        <w:t>(Eliste &amp; Zorya 2015)</w:t>
      </w:r>
      <w:r w:rsidR="00FC0B89">
        <w:fldChar w:fldCharType="end"/>
      </w:r>
      <w:r w:rsidR="00FC0B89">
        <w:t xml:space="preserve">. </w:t>
      </w:r>
    </w:p>
    <w:p w14:paraId="07114DAF" w14:textId="77777777" w:rsidR="00526FE6" w:rsidRDefault="00526FE6" w:rsidP="000A46B5"/>
    <w:p w14:paraId="06DFD7BB" w14:textId="79B4C20A" w:rsidR="00347783" w:rsidRPr="00526FE6" w:rsidRDefault="00526FE6" w:rsidP="000A46B5">
      <w:pPr>
        <w:rPr>
          <w:b/>
          <w:bCs/>
        </w:rPr>
      </w:pPr>
      <w:r w:rsidRPr="00526FE6">
        <w:rPr>
          <w:b/>
          <w:bCs/>
        </w:rPr>
        <w:t xml:space="preserve"> </w:t>
      </w:r>
    </w:p>
    <w:sectPr w:rsidR="00347783" w:rsidRPr="00526FE6" w:rsidSect="009F4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B5"/>
    <w:rsid w:val="0000260F"/>
    <w:rsid w:val="00010974"/>
    <w:rsid w:val="00017C9B"/>
    <w:rsid w:val="00030438"/>
    <w:rsid w:val="00046338"/>
    <w:rsid w:val="00050B93"/>
    <w:rsid w:val="00083CBD"/>
    <w:rsid w:val="000A0B92"/>
    <w:rsid w:val="000A29B4"/>
    <w:rsid w:val="000A46B5"/>
    <w:rsid w:val="000B1FE5"/>
    <w:rsid w:val="000C4401"/>
    <w:rsid w:val="000D74DE"/>
    <w:rsid w:val="000E2087"/>
    <w:rsid w:val="000E32E5"/>
    <w:rsid w:val="001272BE"/>
    <w:rsid w:val="00131C5D"/>
    <w:rsid w:val="00141381"/>
    <w:rsid w:val="0014476F"/>
    <w:rsid w:val="001564FE"/>
    <w:rsid w:val="00165B35"/>
    <w:rsid w:val="00172844"/>
    <w:rsid w:val="001A6A5A"/>
    <w:rsid w:val="001A6F37"/>
    <w:rsid w:val="001B2E6F"/>
    <w:rsid w:val="001D4CBF"/>
    <w:rsid w:val="001D687D"/>
    <w:rsid w:val="001E2F1B"/>
    <w:rsid w:val="001E6D1D"/>
    <w:rsid w:val="001F2B94"/>
    <w:rsid w:val="001F4E9E"/>
    <w:rsid w:val="00201C8C"/>
    <w:rsid w:val="00207D8C"/>
    <w:rsid w:val="00207E3B"/>
    <w:rsid w:val="002238D4"/>
    <w:rsid w:val="00261C3D"/>
    <w:rsid w:val="002657C7"/>
    <w:rsid w:val="00287C4F"/>
    <w:rsid w:val="00296541"/>
    <w:rsid w:val="002A3321"/>
    <w:rsid w:val="002C15A5"/>
    <w:rsid w:val="002D02E5"/>
    <w:rsid w:val="002D6A26"/>
    <w:rsid w:val="002E4677"/>
    <w:rsid w:val="002F1503"/>
    <w:rsid w:val="002F296A"/>
    <w:rsid w:val="00316ABA"/>
    <w:rsid w:val="003205E2"/>
    <w:rsid w:val="00327EA7"/>
    <w:rsid w:val="003425B9"/>
    <w:rsid w:val="0034404B"/>
    <w:rsid w:val="00347783"/>
    <w:rsid w:val="00351418"/>
    <w:rsid w:val="0036712C"/>
    <w:rsid w:val="00376731"/>
    <w:rsid w:val="00381FF1"/>
    <w:rsid w:val="0038235D"/>
    <w:rsid w:val="003B7206"/>
    <w:rsid w:val="003C0A4E"/>
    <w:rsid w:val="003D3198"/>
    <w:rsid w:val="003D5F3C"/>
    <w:rsid w:val="00406839"/>
    <w:rsid w:val="00415058"/>
    <w:rsid w:val="0042188D"/>
    <w:rsid w:val="00425E0A"/>
    <w:rsid w:val="0042633E"/>
    <w:rsid w:val="004373BC"/>
    <w:rsid w:val="004663FA"/>
    <w:rsid w:val="004705A9"/>
    <w:rsid w:val="004740E7"/>
    <w:rsid w:val="00487F6E"/>
    <w:rsid w:val="004C2131"/>
    <w:rsid w:val="004C216D"/>
    <w:rsid w:val="004C71CC"/>
    <w:rsid w:val="004D1C55"/>
    <w:rsid w:val="004D465D"/>
    <w:rsid w:val="004D5194"/>
    <w:rsid w:val="005052EC"/>
    <w:rsid w:val="0050787F"/>
    <w:rsid w:val="005252BE"/>
    <w:rsid w:val="00526FE6"/>
    <w:rsid w:val="00537AE8"/>
    <w:rsid w:val="00537B90"/>
    <w:rsid w:val="005620D2"/>
    <w:rsid w:val="00562B5B"/>
    <w:rsid w:val="0056505C"/>
    <w:rsid w:val="00570B55"/>
    <w:rsid w:val="005760C1"/>
    <w:rsid w:val="0059266A"/>
    <w:rsid w:val="005A24EE"/>
    <w:rsid w:val="005A29DF"/>
    <w:rsid w:val="005B16ED"/>
    <w:rsid w:val="005C1D76"/>
    <w:rsid w:val="005C460B"/>
    <w:rsid w:val="005D4048"/>
    <w:rsid w:val="005D7F49"/>
    <w:rsid w:val="005F7FE3"/>
    <w:rsid w:val="00626B93"/>
    <w:rsid w:val="0064115C"/>
    <w:rsid w:val="00643D5E"/>
    <w:rsid w:val="006539F0"/>
    <w:rsid w:val="00667CED"/>
    <w:rsid w:val="006A1042"/>
    <w:rsid w:val="006A5CDB"/>
    <w:rsid w:val="006C7758"/>
    <w:rsid w:val="006E1ED5"/>
    <w:rsid w:val="006F2311"/>
    <w:rsid w:val="006F2802"/>
    <w:rsid w:val="00700967"/>
    <w:rsid w:val="00721329"/>
    <w:rsid w:val="0072569A"/>
    <w:rsid w:val="007577ED"/>
    <w:rsid w:val="00771BC1"/>
    <w:rsid w:val="007739D7"/>
    <w:rsid w:val="007760EE"/>
    <w:rsid w:val="0079611B"/>
    <w:rsid w:val="007A0630"/>
    <w:rsid w:val="007A0D24"/>
    <w:rsid w:val="007A4E6E"/>
    <w:rsid w:val="007B1551"/>
    <w:rsid w:val="007B5516"/>
    <w:rsid w:val="007C4C91"/>
    <w:rsid w:val="007C7AA3"/>
    <w:rsid w:val="007D0A39"/>
    <w:rsid w:val="007D3440"/>
    <w:rsid w:val="007D5AEB"/>
    <w:rsid w:val="007D6A50"/>
    <w:rsid w:val="007E4D4B"/>
    <w:rsid w:val="007F1C9B"/>
    <w:rsid w:val="00801E63"/>
    <w:rsid w:val="008064C8"/>
    <w:rsid w:val="00811B11"/>
    <w:rsid w:val="00811E4E"/>
    <w:rsid w:val="00813994"/>
    <w:rsid w:val="00822264"/>
    <w:rsid w:val="008250D4"/>
    <w:rsid w:val="00883BDF"/>
    <w:rsid w:val="00892E24"/>
    <w:rsid w:val="00894AFB"/>
    <w:rsid w:val="0089542A"/>
    <w:rsid w:val="008B3DA9"/>
    <w:rsid w:val="008B6ED5"/>
    <w:rsid w:val="008C58A9"/>
    <w:rsid w:val="008E0F3D"/>
    <w:rsid w:val="008E5F84"/>
    <w:rsid w:val="009252A0"/>
    <w:rsid w:val="00932AF6"/>
    <w:rsid w:val="0093383C"/>
    <w:rsid w:val="009436B4"/>
    <w:rsid w:val="00947237"/>
    <w:rsid w:val="00965D4A"/>
    <w:rsid w:val="00966433"/>
    <w:rsid w:val="009B402C"/>
    <w:rsid w:val="009F455B"/>
    <w:rsid w:val="009F48E1"/>
    <w:rsid w:val="00A11214"/>
    <w:rsid w:val="00A34816"/>
    <w:rsid w:val="00A471B3"/>
    <w:rsid w:val="00A54C9C"/>
    <w:rsid w:val="00A81029"/>
    <w:rsid w:val="00A8102F"/>
    <w:rsid w:val="00A818EB"/>
    <w:rsid w:val="00A81C7F"/>
    <w:rsid w:val="00AA479C"/>
    <w:rsid w:val="00AC7048"/>
    <w:rsid w:val="00AD1588"/>
    <w:rsid w:val="00AD3F12"/>
    <w:rsid w:val="00AD70AA"/>
    <w:rsid w:val="00AF2607"/>
    <w:rsid w:val="00AF6A54"/>
    <w:rsid w:val="00B00DDB"/>
    <w:rsid w:val="00B206A3"/>
    <w:rsid w:val="00B25CEC"/>
    <w:rsid w:val="00B55697"/>
    <w:rsid w:val="00B5750E"/>
    <w:rsid w:val="00B66116"/>
    <w:rsid w:val="00B77FE6"/>
    <w:rsid w:val="00B82439"/>
    <w:rsid w:val="00B849E3"/>
    <w:rsid w:val="00BA5DD9"/>
    <w:rsid w:val="00BA731E"/>
    <w:rsid w:val="00BB787D"/>
    <w:rsid w:val="00BD08B7"/>
    <w:rsid w:val="00BE28F1"/>
    <w:rsid w:val="00BF30EA"/>
    <w:rsid w:val="00BF6BF7"/>
    <w:rsid w:val="00C039EE"/>
    <w:rsid w:val="00C16DA9"/>
    <w:rsid w:val="00C20340"/>
    <w:rsid w:val="00C21A41"/>
    <w:rsid w:val="00C23335"/>
    <w:rsid w:val="00C3282B"/>
    <w:rsid w:val="00C37341"/>
    <w:rsid w:val="00C549C5"/>
    <w:rsid w:val="00C65931"/>
    <w:rsid w:val="00C65E6A"/>
    <w:rsid w:val="00C831FB"/>
    <w:rsid w:val="00C84941"/>
    <w:rsid w:val="00C95BE8"/>
    <w:rsid w:val="00CB0FA6"/>
    <w:rsid w:val="00CC4F5A"/>
    <w:rsid w:val="00CD4BBD"/>
    <w:rsid w:val="00D225BC"/>
    <w:rsid w:val="00D27EC5"/>
    <w:rsid w:val="00D55D54"/>
    <w:rsid w:val="00D621FA"/>
    <w:rsid w:val="00D807A0"/>
    <w:rsid w:val="00D90A79"/>
    <w:rsid w:val="00D955C9"/>
    <w:rsid w:val="00DA5B11"/>
    <w:rsid w:val="00DB2B52"/>
    <w:rsid w:val="00DC13AB"/>
    <w:rsid w:val="00DD0C5C"/>
    <w:rsid w:val="00DD2646"/>
    <w:rsid w:val="00DE2591"/>
    <w:rsid w:val="00E12225"/>
    <w:rsid w:val="00E23AF3"/>
    <w:rsid w:val="00E30129"/>
    <w:rsid w:val="00E3329F"/>
    <w:rsid w:val="00E33FCE"/>
    <w:rsid w:val="00E64809"/>
    <w:rsid w:val="00E64AFA"/>
    <w:rsid w:val="00E82045"/>
    <w:rsid w:val="00E86A5E"/>
    <w:rsid w:val="00EB3FD0"/>
    <w:rsid w:val="00EC7AAF"/>
    <w:rsid w:val="00EE4B81"/>
    <w:rsid w:val="00EE4CB3"/>
    <w:rsid w:val="00EF0EDF"/>
    <w:rsid w:val="00EF1213"/>
    <w:rsid w:val="00F0501A"/>
    <w:rsid w:val="00F05DBA"/>
    <w:rsid w:val="00F114D0"/>
    <w:rsid w:val="00F12033"/>
    <w:rsid w:val="00F1302E"/>
    <w:rsid w:val="00F2363D"/>
    <w:rsid w:val="00F40B07"/>
    <w:rsid w:val="00F4635E"/>
    <w:rsid w:val="00F513EE"/>
    <w:rsid w:val="00F55680"/>
    <w:rsid w:val="00F60630"/>
    <w:rsid w:val="00F63159"/>
    <w:rsid w:val="00F823D9"/>
    <w:rsid w:val="00F8550F"/>
    <w:rsid w:val="00FB65AB"/>
    <w:rsid w:val="00FC0B89"/>
    <w:rsid w:val="00FC2F47"/>
    <w:rsid w:val="00FD012C"/>
    <w:rsid w:val="00FE0683"/>
    <w:rsid w:val="00FE1C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3DF3"/>
  <w15:chartTrackingRefBased/>
  <w15:docId w15:val="{E7C38D08-914B-4609-B9B5-4F4D11E7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46B5"/>
    <w:rPr>
      <w:sz w:val="16"/>
      <w:szCs w:val="16"/>
    </w:rPr>
  </w:style>
  <w:style w:type="paragraph" w:styleId="CommentText">
    <w:name w:val="annotation text"/>
    <w:basedOn w:val="Normal"/>
    <w:link w:val="CommentTextChar"/>
    <w:uiPriority w:val="99"/>
    <w:unhideWhenUsed/>
    <w:rsid w:val="000A46B5"/>
    <w:pPr>
      <w:spacing w:line="240" w:lineRule="auto"/>
    </w:pPr>
    <w:rPr>
      <w:sz w:val="20"/>
      <w:szCs w:val="20"/>
    </w:rPr>
  </w:style>
  <w:style w:type="character" w:customStyle="1" w:styleId="CommentTextChar">
    <w:name w:val="Comment Text Char"/>
    <w:basedOn w:val="DefaultParagraphFont"/>
    <w:link w:val="CommentText"/>
    <w:uiPriority w:val="99"/>
    <w:rsid w:val="000A46B5"/>
    <w:rPr>
      <w:sz w:val="20"/>
      <w:szCs w:val="20"/>
    </w:rPr>
  </w:style>
  <w:style w:type="paragraph" w:styleId="CommentSubject">
    <w:name w:val="annotation subject"/>
    <w:basedOn w:val="CommentText"/>
    <w:next w:val="CommentText"/>
    <w:link w:val="CommentSubjectChar"/>
    <w:uiPriority w:val="99"/>
    <w:semiHidden/>
    <w:unhideWhenUsed/>
    <w:rsid w:val="00667CED"/>
    <w:rPr>
      <w:b/>
      <w:bCs/>
    </w:rPr>
  </w:style>
  <w:style w:type="character" w:customStyle="1" w:styleId="CommentSubjectChar">
    <w:name w:val="Comment Subject Char"/>
    <w:basedOn w:val="CommentTextChar"/>
    <w:link w:val="CommentSubject"/>
    <w:uiPriority w:val="99"/>
    <w:semiHidden/>
    <w:rsid w:val="00667CED"/>
    <w:rPr>
      <w:b/>
      <w:bCs/>
      <w:sz w:val="20"/>
      <w:szCs w:val="20"/>
    </w:rPr>
  </w:style>
  <w:style w:type="paragraph" w:styleId="Bibliography">
    <w:name w:val="Bibliography"/>
    <w:basedOn w:val="Normal"/>
    <w:next w:val="Normal"/>
    <w:uiPriority w:val="37"/>
    <w:unhideWhenUsed/>
    <w:rsid w:val="00943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26931">
      <w:bodyDiv w:val="1"/>
      <w:marLeft w:val="0"/>
      <w:marRight w:val="0"/>
      <w:marTop w:val="0"/>
      <w:marBottom w:val="0"/>
      <w:divBdr>
        <w:top w:val="none" w:sz="0" w:space="0" w:color="auto"/>
        <w:left w:val="none" w:sz="0" w:space="0" w:color="auto"/>
        <w:bottom w:val="none" w:sz="0" w:space="0" w:color="auto"/>
        <w:right w:val="none" w:sz="0" w:space="0" w:color="auto"/>
      </w:divBdr>
    </w:div>
    <w:div w:id="194225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1492E-464E-4C20-9140-DF2573425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1499</TotalTime>
  <Pages>18</Pages>
  <Words>56300</Words>
  <Characters>320912</Characters>
  <Application>Microsoft Office Word</Application>
  <DocSecurity>0</DocSecurity>
  <Lines>2674</Lines>
  <Paragraphs>752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Bunnefeld</dc:creator>
  <cp:keywords/>
  <dc:description/>
  <cp:lastModifiedBy>Matthew Nuttall</cp:lastModifiedBy>
  <cp:revision>10</cp:revision>
  <dcterms:created xsi:type="dcterms:W3CDTF">2022-01-23T20:27:00Z</dcterms:created>
  <dcterms:modified xsi:type="dcterms:W3CDTF">2022-01-30T09:17:00Z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id="ipzdYNRF"/&gt;&lt;style id="http://www.zotero.org/styles/conservation-biology"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