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420F" w14:textId="443C5563" w:rsidR="00E33FCE" w:rsidRPr="00E33FCE" w:rsidRDefault="00E33FCE">
      <w:pPr>
        <w:rPr>
          <w:b/>
          <w:bCs/>
          <w:sz w:val="24"/>
          <w:szCs w:val="24"/>
        </w:rPr>
      </w:pPr>
      <w:r w:rsidRPr="00E33FCE">
        <w:rPr>
          <w:b/>
          <w:bCs/>
          <w:sz w:val="24"/>
          <w:szCs w:val="24"/>
        </w:rPr>
        <w:t xml:space="preserve">Chapter </w:t>
      </w:r>
      <w:r w:rsidR="0038235D">
        <w:rPr>
          <w:b/>
          <w:bCs/>
          <w:sz w:val="24"/>
          <w:szCs w:val="24"/>
        </w:rPr>
        <w:t>2</w:t>
      </w:r>
    </w:p>
    <w:p w14:paraId="65DDFC89" w14:textId="733BB280" w:rsidR="00612128" w:rsidRDefault="000A0B92">
      <w:pPr>
        <w:rPr>
          <w:b/>
          <w:bCs/>
        </w:rPr>
      </w:pPr>
      <w:r>
        <w:rPr>
          <w:b/>
          <w:bCs/>
        </w:rPr>
        <w:t xml:space="preserve">2.1 </w:t>
      </w:r>
      <w:r w:rsidR="000A46B5">
        <w:rPr>
          <w:b/>
          <w:bCs/>
        </w:rPr>
        <w:t>I</w:t>
      </w:r>
      <w:r>
        <w:rPr>
          <w:b/>
          <w:bCs/>
        </w:rPr>
        <w:t>NTRODUCTION</w:t>
      </w:r>
    </w:p>
    <w:p w14:paraId="16FEF78C" w14:textId="68299755" w:rsidR="0042633E" w:rsidRDefault="00DB2B52">
      <w:r>
        <w:t xml:space="preserve">Deforestation from human activities is one of the </w:t>
      </w:r>
      <w:r w:rsidR="000B1FE5">
        <w:t>greatest</w:t>
      </w:r>
      <w:r>
        <w:t xml:space="preserve">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and the scale of land use change is such that the global climate is being affected</w:t>
      </w:r>
      <w:r w:rsidR="00327EA7">
        <w:t xml:space="preserve"> through changes to the radiative forcing caused by land cover and land use</w:t>
      </w:r>
      <w:r w:rsidR="00811E4E">
        <w:t xml:space="preserve">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526FE6">
        <w:fldChar w:fldCharType="begin"/>
      </w:r>
      <w:r w:rsidR="00526FE6">
        <w:instrText xml:space="preserve"> ADDIN ZOTERO_ITEM CSL_CITATION {"citationID":"Puz15C7I","properties":{"formattedCitation":"(Eliste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526FE6">
        <w:fldChar w:fldCharType="separate"/>
      </w:r>
      <w:r w:rsidR="00526FE6" w:rsidRPr="00526FE6">
        <w:rPr>
          <w:rFonts w:ascii="Calibri" w:hAnsi="Calibri" w:cs="Calibri"/>
        </w:rPr>
        <w:t>(Eliste &amp; Zorya 2015)</w:t>
      </w:r>
      <w:r w:rsidR="00526FE6">
        <w:fldChar w:fldCharType="end"/>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r w:rsidR="001272BE">
        <w:t xml:space="preserve">been </w:t>
      </w:r>
      <w:r w:rsidR="008E5F84">
        <w:t>used to sustain</w:t>
      </w:r>
      <w:r w:rsidR="00643D5E">
        <w:t xml:space="preserve">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w:t>
      </w:r>
      <w:r w:rsidR="008E5F84">
        <w:t xml:space="preserve">this trend </w:t>
      </w:r>
      <w:r w:rsidR="001E6D1D">
        <w:t>continues today</w:t>
      </w:r>
      <w:r w:rsidR="00643D5E">
        <w:t xml:space="preserve">;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0B1FE5">
        <w:t>As</w:t>
      </w:r>
      <w:r w:rsidR="0042633E">
        <w:t xml:space="preserve">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w:t>
      </w:r>
      <w:r w:rsidR="00526FE6">
        <w:fldChar w:fldCharType="begin"/>
      </w:r>
      <w:r w:rsidR="00526FE6">
        <w:instrText xml:space="preserve"> ADDIN ZOTERO_ITEM CSL_CITATION {"citationID":"pqOUbu4o","properties":{"formattedCitation":"(Caravaggio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526FE6">
        <w:fldChar w:fldCharType="separate"/>
      </w:r>
      <w:r w:rsidR="00526FE6" w:rsidRPr="00526FE6">
        <w:rPr>
          <w:rFonts w:ascii="Calibri" w:hAnsi="Calibri" w:cs="Calibri"/>
        </w:rPr>
        <w:t>(Caravaggio 2020a)</w:t>
      </w:r>
      <w:r w:rsidR="00526FE6">
        <w:fldChar w:fldCharType="end"/>
      </w:r>
      <w:r w:rsidR="0042633E">
        <w:t xml:space="preserve">. </w:t>
      </w:r>
    </w:p>
    <w:p w14:paraId="2301DF28" w14:textId="126E8F29" w:rsidR="0079611B" w:rsidRPr="000A0B92" w:rsidRDefault="000A0B92">
      <w:pPr>
        <w:rPr>
          <w:b/>
          <w:bCs/>
          <w:i/>
          <w:iCs/>
        </w:rPr>
      </w:pPr>
      <w:r w:rsidRPr="000A0B92">
        <w:rPr>
          <w:b/>
          <w:bCs/>
          <w:i/>
          <w:iCs/>
        </w:rPr>
        <w:t xml:space="preserve">2.1.1 </w:t>
      </w:r>
      <w:r w:rsidR="0079611B" w:rsidRPr="000A0B92">
        <w:rPr>
          <w:b/>
          <w:bCs/>
          <w:i/>
          <w:iCs/>
        </w:rPr>
        <w:t>Economic development and deforestation</w:t>
      </w:r>
    </w:p>
    <w:p w14:paraId="6E51D916" w14:textId="76734F6D" w:rsidR="006C7758" w:rsidRPr="00327EA7"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w:t>
      </w:r>
      <w:r w:rsidR="000B1FE5">
        <w:t>s</w:t>
      </w:r>
      <w:r w:rsidR="008064C8">
        <w:t xml:space="preserve"> are correlated </w:t>
      </w:r>
      <w:r w:rsidR="000B1FE5">
        <w:t>but</w:t>
      </w:r>
      <w:r w:rsidR="008064C8">
        <w:t xml:space="preserve"> inverse. Despite rampant deforestation in much of the tropics </w:t>
      </w:r>
      <w:r w:rsidR="00526FE6">
        <w:fldChar w:fldCharType="begin"/>
      </w:r>
      <w:r w:rsidR="00526FE6">
        <w:instrText xml:space="preserve"> ADDIN ZOTERO_ITEM CSL_CITATION {"citationID":"JDvO8a0z","properties":{"formattedCitation":"(Sodhi et al. 2010; Estoque et al. 2019)","plainCitation":"(Sodhi et al. 2010; Estoque et al. 2019)","noteIndex":0},"citationItems":[{"id":2297,"uris":["http://zotero.org/users/2170232/items/S5R8A7NT"],"uri":["http://zotero.org/users/2170232/items/S5R8A7NT"],"itemData":{"id":2297,"type":"article-journal","container-title":"Biodiversity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526FE6">
        <w:fldChar w:fldCharType="separate"/>
      </w:r>
      <w:r w:rsidR="00526FE6" w:rsidRPr="00526FE6">
        <w:rPr>
          <w:rFonts w:ascii="Calibri" w:hAnsi="Calibri" w:cs="Calibri"/>
        </w:rPr>
        <w:t>(Sodhi et al. 2010; Estoque et al. 2019)</w:t>
      </w:r>
      <w:r w:rsidR="00526FE6">
        <w:fldChar w:fldCharType="end"/>
      </w:r>
      <w:r w:rsidR="008064C8">
        <w:t>, global</w:t>
      </w:r>
      <w:r w:rsidR="00F05DBA">
        <w:t xml:space="preserve"> deforestation rates</w:t>
      </w:r>
      <w:r w:rsidR="007A0D24">
        <w:t xml:space="preserve"> (of natural forests)</w:t>
      </w:r>
      <w:r w:rsidR="00F05DBA">
        <w:t xml:space="preserve">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7A0D24">
        <w:t>, although it is worth noting that these increases can include planted forests</w:t>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 xml:space="preserve">In addition to meeting the required </w:t>
      </w:r>
      <w:r w:rsidR="006A5CDB" w:rsidRPr="007A0D24">
        <w:t>economic conditions</w:t>
      </w:r>
      <w:r w:rsidR="007A0D24" w:rsidRPr="007A0D24">
        <w:t xml:space="preserve"> </w:t>
      </w:r>
      <w:r w:rsidR="007A0D24">
        <w:t>that precede forest transitions, for example integration into global markets for capital, commodities, and labour</w:t>
      </w:r>
      <w:r w:rsidR="006A5CDB">
        <w:t>,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327EA7">
        <w:t>Therefore, u</w:t>
      </w:r>
      <w:r w:rsidR="006A5CDB" w:rsidRPr="006A5CDB">
        <w:t>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leverage </w:t>
      </w:r>
      <w:r w:rsidR="006A5CDB" w:rsidRPr="006A5CDB">
        <w:lastRenderedPageBreak/>
        <w:t>points</w:t>
      </w:r>
      <w:r w:rsidR="006A5CDB">
        <w:t>, and support effective governance</w:t>
      </w:r>
      <w:r w:rsidR="006A5CDB" w:rsidRPr="006C7758">
        <w:rPr>
          <w:i/>
          <w:iCs/>
        </w:rPr>
        <w:t>.</w:t>
      </w:r>
      <w:r w:rsidR="00327EA7">
        <w:t xml:space="preserve"> </w:t>
      </w:r>
      <w:r w:rsidR="009B402C">
        <w:t>No previous studies have modelled the relationships between economic factors, agriculture, and forest loss in Cambodia, and this chapter aims to fill this knowledge gap.</w:t>
      </w:r>
    </w:p>
    <w:p w14:paraId="5029C368" w14:textId="2D208BEE" w:rsidR="006C7758" w:rsidRPr="000A0B92" w:rsidRDefault="000A0B92">
      <w:pPr>
        <w:rPr>
          <w:b/>
          <w:bCs/>
          <w:i/>
          <w:iCs/>
        </w:rPr>
      </w:pPr>
      <w:r w:rsidRPr="000A0B92">
        <w:rPr>
          <w:b/>
          <w:bCs/>
          <w:i/>
          <w:iCs/>
        </w:rPr>
        <w:t xml:space="preserve">2.1.2 </w:t>
      </w:r>
      <w:r w:rsidR="00351418" w:rsidRPr="000A0B92">
        <w:rPr>
          <w:b/>
          <w:bCs/>
          <w:i/>
          <w:iCs/>
        </w:rPr>
        <w:t xml:space="preserve">Deforestation in </w:t>
      </w:r>
      <w:r w:rsidR="006C7758" w:rsidRPr="000A0B92">
        <w:rPr>
          <w:b/>
          <w:bCs/>
          <w:i/>
          <w:iCs/>
        </w:rPr>
        <w:t>S</w:t>
      </w:r>
      <w:r w:rsidR="00C37341" w:rsidRPr="000A0B92">
        <w:rPr>
          <w:b/>
          <w:bCs/>
          <w:i/>
          <w:iCs/>
        </w:rPr>
        <w:t>outh</w:t>
      </w:r>
      <w:r w:rsidR="009B402C" w:rsidRPr="000A0B92">
        <w:rPr>
          <w:b/>
          <w:bCs/>
          <w:i/>
          <w:iCs/>
        </w:rPr>
        <w:t>e</w:t>
      </w:r>
      <w:r w:rsidR="00351418" w:rsidRPr="000A0B92">
        <w:rPr>
          <w:b/>
          <w:bCs/>
          <w:i/>
          <w:iCs/>
        </w:rPr>
        <w:t xml:space="preserve">ast </w:t>
      </w:r>
      <w:r w:rsidR="006C7758" w:rsidRPr="000A0B92">
        <w:rPr>
          <w:b/>
          <w:bCs/>
          <w:i/>
          <w:iCs/>
        </w:rPr>
        <w:t>A</w:t>
      </w:r>
      <w:r w:rsidR="00351418" w:rsidRPr="000A0B92">
        <w:rPr>
          <w:b/>
          <w:bCs/>
          <w:i/>
          <w:iCs/>
        </w:rPr>
        <w:t>sia</w:t>
      </w:r>
      <w:r w:rsidR="006C7758" w:rsidRPr="000A0B92">
        <w:rPr>
          <w:b/>
          <w:bCs/>
          <w:i/>
          <w:iCs/>
        </w:rPr>
        <w:t xml:space="preserve"> </w:t>
      </w:r>
    </w:p>
    <w:p w14:paraId="75DB6808" w14:textId="63342AA5" w:rsidR="006C7758" w:rsidRDefault="006A5CDB" w:rsidP="006C7758">
      <w:r w:rsidRPr="006A5CDB">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9B402C">
        <w:t>As with deforestation around the world, t</w:t>
      </w:r>
      <w:r w:rsidR="006C7758" w:rsidRPr="006C7758">
        <w:t xml:space="preserve">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Despite the pressure on SEA’s forests, some countries</w:t>
      </w:r>
      <w:r w:rsidR="000B1FE5">
        <w:t xml:space="preserve"> within the region</w:t>
      </w:r>
      <w:r w:rsidR="00261C3D">
        <w:t xml:space="preserve">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w:t>
      </w:r>
    </w:p>
    <w:p w14:paraId="2ED34F5D" w14:textId="4DCF2A0A" w:rsidR="006A1042" w:rsidRDefault="00894AFB" w:rsidP="006C7758">
      <w:r>
        <w:t>In all Asian case studies of successful forest transition, state intervention has played a role</w:t>
      </w:r>
      <w:r w:rsidR="001E6D1D">
        <w:t>;</w:t>
      </w:r>
      <w:r>
        <w:t xml:space="preserve"> </w:t>
      </w:r>
      <w:r w:rsidR="001E6D1D">
        <w:t>g</w:t>
      </w:r>
      <w:r>
        <w:t>overnment policies and legal frameworks that disincentivise forest clearance and promote sustainable land use are critical factors in facilitating behaviour change at all levels</w:t>
      </w:r>
      <w:r w:rsidR="001E6D1D">
        <w:t xml:space="preserve"> </w:t>
      </w:r>
      <w:r w:rsidR="001E6D1D">
        <w:fldChar w:fldCharType="begin"/>
      </w:r>
      <w:r w:rsidR="001E6D1D">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1E6D1D">
        <w:fldChar w:fldCharType="separate"/>
      </w:r>
      <w:r w:rsidR="001E6D1D" w:rsidRPr="00894AFB">
        <w:rPr>
          <w:rFonts w:ascii="Calibri" w:hAnsi="Calibri" w:cs="Calibri"/>
        </w:rPr>
        <w:t>(Youn et al. 2017)</w:t>
      </w:r>
      <w:r w:rsidR="001E6D1D">
        <w:fldChar w:fldCharType="end"/>
      </w:r>
      <w:r w:rsidR="00010974">
        <w:t>.</w:t>
      </w:r>
      <w:r w:rsidR="006A1042">
        <w:t xml:space="preserve"> Understanding the direct and indirect drivers of forest loss can be challenging as the processes are complex, operate at a variety of scales, and consist of multiple feedback loops and dependencies</w:t>
      </w:r>
      <w:r w:rsidR="00BE28F1">
        <w:t xml:space="preserve"> </w:t>
      </w:r>
      <w:r w:rsidR="00BE28F1">
        <w:fldChar w:fldCharType="begin"/>
      </w:r>
      <w:r w:rsidR="00BE28F1">
        <w:instrText xml:space="preserve"> ADDIN ZOTERO_ITEM CSL_CITATION {"citationID":"jSeNAs5y","properties":{"formattedCitation":"(Geist &amp; Lambin 2002; Xu et al. 2019)","plainCitation":"(Geist &amp; Lambin 2002; Xu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00BE28F1">
        <w:fldChar w:fldCharType="separate"/>
      </w:r>
      <w:r w:rsidR="00BE28F1" w:rsidRPr="00BE28F1">
        <w:rPr>
          <w:rFonts w:ascii="Calibri" w:hAnsi="Calibri" w:cs="Calibri"/>
        </w:rPr>
        <w:t>(Geist &amp; Lambin 2002; Xu et al. 2019)</w:t>
      </w:r>
      <w:r w:rsidR="00BE28F1">
        <w:fldChar w:fldCharType="end"/>
      </w:r>
      <w:r w:rsidR="006A1042">
        <w:t xml:space="preserve">. Nevertheless, </w:t>
      </w:r>
      <w:r w:rsidR="009252A0">
        <w:t>for</w:t>
      </w:r>
      <w:r w:rsidR="006A1042">
        <w:t xml:space="preserve"> effective government policies to be developed, researchers must strive to disentangle some of the</w:t>
      </w:r>
      <w:r w:rsidR="000B1FE5">
        <w:t>se</w:t>
      </w:r>
      <w:r w:rsidR="006A1042">
        <w:t xml:space="preserve"> relationships</w:t>
      </w:r>
      <w:r w:rsidR="00A34816">
        <w:t xml:space="preserve"> </w:t>
      </w:r>
      <w:r w:rsidR="00A34816">
        <w:fldChar w:fldCharType="begin"/>
      </w:r>
      <w:r w:rsidR="00A34816">
        <w:instrText xml:space="preserve"> ADDIN ZOTERO_ITEM CSL_CITATION {"citationID":"FniuEmF7","properties":{"formattedCitation":"(Redo et al. 2012)","plainCitation":"(Redo et al. 2012)","noteIndex":0},"citationItems":[{"id":2946,"uris":["http://zotero.org/users/2170232/items/IVIAVP7Y"],"uri":["http://zotero.org/users/2170232/items/IVIAVP7Y"],"itemData":{"id":2946,"type":"article-journal","abstract":"Forest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L."}],"issued":{"date-parts":[["2012",6,5]]}}}],"schema":"https://github.com/citation-style-language/schema/raw/master/csl-citation.json"} </w:instrText>
      </w:r>
      <w:r w:rsidR="00A34816">
        <w:fldChar w:fldCharType="separate"/>
      </w:r>
      <w:r w:rsidR="00A34816" w:rsidRPr="00A34816">
        <w:rPr>
          <w:rFonts w:ascii="Calibri" w:hAnsi="Calibri" w:cs="Calibri"/>
        </w:rPr>
        <w:t>(Redo et al. 2012)</w:t>
      </w:r>
      <w:r w:rsidR="00A34816">
        <w:fldChar w:fldCharType="end"/>
      </w:r>
      <w:r w:rsidR="006A1042">
        <w:t>. As commercial agriculture is one of the most important drivers of forest loss around the world</w:t>
      </w:r>
      <w:r w:rsidR="00A34816">
        <w:t xml:space="preserve"> </w:t>
      </w:r>
      <w:r w:rsidR="00A34816">
        <w:fldChar w:fldCharType="begin"/>
      </w:r>
      <w:r w:rsidR="00A34816">
        <w:instrText xml:space="preserve"> ADDIN ZOTERO_ITEM CSL_CITATION {"citationID":"NWArJh3y","properties":{"formattedCitation":"(Curtis et al. 2018; Pendrill et al. 2019)","plainCitation":"(Curtis et al. 2018; Pendrill et al. 2019)","noteIndex":0},"citationItems":[{"id":2375,"uris":["http://zotero.org/users/2170232/items/MGBJXYEN"],"uri":["http://zotero.org/users/2170232/items/MGBJXYEN"],"itemData":{"id":2375,"type":"article-journal","abstract":"Mapping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A34816">
        <w:fldChar w:fldCharType="separate"/>
      </w:r>
      <w:r w:rsidR="00A34816" w:rsidRPr="00A34816">
        <w:rPr>
          <w:rFonts w:ascii="Calibri" w:hAnsi="Calibri" w:cs="Calibri"/>
        </w:rPr>
        <w:t>(Curtis et al. 2018; Pendrill et al. 2019)</w:t>
      </w:r>
      <w:r w:rsidR="00A34816">
        <w:fldChar w:fldCharType="end"/>
      </w:r>
      <w:r w:rsidR="006A1042">
        <w:t>, and because it is a fundamental part of developing economies</w:t>
      </w:r>
      <w:r w:rsidR="00A34816">
        <w:t xml:space="preserve"> </w:t>
      </w:r>
      <w:r w:rsidR="00A34816">
        <w:fldChar w:fldCharType="begin"/>
      </w:r>
      <w:r w:rsidR="00BF30EA">
        <w:instrText xml:space="preserve"> ADDIN ZOTERO_ITEM CSL_CITATION {"citationID":"cZ6fKeid","properties":{"formattedCitation":"(Hoang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A34816">
        <w:fldChar w:fldCharType="separate"/>
      </w:r>
      <w:r w:rsidR="00BF30EA" w:rsidRPr="00BF30EA">
        <w:rPr>
          <w:rFonts w:ascii="Calibri" w:hAnsi="Calibri" w:cs="Calibri"/>
        </w:rPr>
        <w:t>(Hoang &amp; Kanemoto 2021)</w:t>
      </w:r>
      <w:r w:rsidR="00A34816">
        <w:fldChar w:fldCharType="end"/>
      </w:r>
      <w:r w:rsidR="006A1042">
        <w:t>, it is critical to understand the links between economic development and commodity production</w:t>
      </w:r>
      <w:r w:rsidR="0072569A">
        <w:t xml:space="preserve">, as this will reveal important implications for forest loss in developing countries. </w:t>
      </w:r>
    </w:p>
    <w:p w14:paraId="1E542B68" w14:textId="16536C37" w:rsidR="0079611B" w:rsidRPr="000A0B92" w:rsidRDefault="000A0B92" w:rsidP="006C7758">
      <w:pPr>
        <w:rPr>
          <w:b/>
          <w:bCs/>
          <w:i/>
          <w:iCs/>
        </w:rPr>
      </w:pPr>
      <w:r w:rsidRPr="000A0B92">
        <w:rPr>
          <w:b/>
          <w:bCs/>
          <w:i/>
          <w:iCs/>
        </w:rPr>
        <w:t xml:space="preserve">2.1.3 </w:t>
      </w:r>
      <w:r w:rsidR="0079611B" w:rsidRPr="000A0B92">
        <w:rPr>
          <w:b/>
          <w:bCs/>
          <w:i/>
          <w:iCs/>
        </w:rPr>
        <w:t>Economic land concessions</w:t>
      </w:r>
    </w:p>
    <w:p w14:paraId="36D030A3" w14:textId="1E8D1E5C" w:rsidR="009252A0" w:rsidRDefault="009252A0" w:rsidP="006C7758">
      <w:r>
        <w:t xml:space="preserve">Land acquisitions for commercial agriculture have become </w:t>
      </w:r>
      <w:r w:rsidR="006F2802">
        <w:t>widespread in recent years, particularly in developing countries that have large areas of undeveloped land and that are striving for private investment to boost economic develop</w:t>
      </w:r>
      <w:r w:rsidR="005C1D76">
        <w:t>ment</w:t>
      </w:r>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Economic land concessions in Cambodia have faced criticism</w:t>
      </w:r>
      <w:r w:rsidR="00892E24">
        <w:t xml:space="preserve"> due to widespread accusations of land rights abuses, corruption in the awarding of contracts, and </w:t>
      </w:r>
      <w:r w:rsidR="008C58A9">
        <w:t>extensive</w:t>
      </w:r>
      <w:r w:rsidR="00892E24">
        <w:t xml:space="preserve"> deforestation, even within </w:t>
      </w:r>
      <w:r w:rsidR="00892E24">
        <w:lastRenderedPageBreak/>
        <w:t xml:space="preserve">protected areas </w:t>
      </w:r>
      <w:r w:rsidR="00892E24">
        <w:fldChar w:fldCharType="begin"/>
      </w:r>
      <w:r w:rsidR="003425B9">
        <w:instrText xml:space="preserve"> ADDIN ZOTERO_ITEM CSL_CITATION {"citationID":"RBHgeGj9","properties":{"formattedCitation":"(Vrieze &amp; Kuch 2012; Global Witness 2013; Neef et al. 2013; Oldenburg &amp; Neef 2014; Davis et al. 2015; Beauchamp et al. 2018; Magliocca et al. 2019; Tsujino et al. 2019)","plainCitation":"(Vrieze &amp; Kuch 2012; Global Witness 2013; Neef et al. 2013; Oldenburg &amp; Neef 2014; Davis et al. 2015; Beauchamp et al. 2018; Magliocca et al. 2019; Tsujino et al. 2019)","noteIndex":0},"citationItems":[{"id":2053,"uris":["http://zotero.org/users/2170232/items/C9AXILM9"],"uri":["http://zotero.org/users/2170232/items/C9AXILM9"],"itemData":{"id":2053,"type":"article-newspaper","container-title":"The Cambodia Daily","page":"4-11","title":"Carving up Cambodia: One concession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id":3167,"uris":["http://zotero.org/users/2170232/items/9H8JV8RN"],"uri":["http://zotero.org/users/2170232/items/9H8JV8RN"],"itemData":{"id":3167,"type":"article-journal","abstract":"To reconstruct the history of forest loss in Cambodia, the literature and national/provincial statistics of landuse patterns and the socio-economic situation were investigated. Forest cover in the 1960s was 73.3 % (13.3 Mha). However, this drastically decreased to 47.3% (8.6 Mha) in\n2016. In the 1960s, the forest was less-disturbed. From 1970 to 1993, the forest was lost gradually owing to the political instability caused by the Cambodian Civil War. In the post-war reconstruction period from 1993 to around 2002, the need for reconstruction, international demand for timber,\nand forest logging concessions led to a significant increase in timber production. In the rapid economic growth period from 2002 until present, while several political actions were taken to combat rapid deforestation, economic land concessions, which promoted agroindustrial plantations, as\nwell as small-scale agriculture has been leading to the rapid expansion of arable land and deforestation since 2009.","container-title":"International Forestry Review","DOI":"10.1505/146554819827293178","issue":"3","journalAbbreviation":"International Forestry Review","page":"372-384","source":"IngentaConnect","title":"Causes and history of forest loss in Cambodia","volume":"21","author":[{"family":"Tsujino","given":"R."},{"family":"Kajisa","given":"T."},{"family":"Yumoto","given":"T."}],"issued":{"date-parts":[["2019",9,1]]}}}],"schema":"https://github.com/citation-style-language/schema/raw/master/csl-citation.json"} </w:instrText>
      </w:r>
      <w:r w:rsidR="00892E24">
        <w:fldChar w:fldCharType="separate"/>
      </w:r>
      <w:r w:rsidR="003425B9" w:rsidRPr="003425B9">
        <w:rPr>
          <w:rFonts w:ascii="Calibri" w:hAnsi="Calibri" w:cs="Calibri"/>
        </w:rPr>
        <w:t>(Vrieze &amp; Kuch 2012; Global Witness 2013; Neef et al. 2013; Oldenburg &amp; Neef 2014; Davis et al. 2015; Beauchamp et al. 2018; Magliocca et al. 2019; Tsujino et al. 2019)</w:t>
      </w:r>
      <w:r w:rsidR="00892E24">
        <w:fldChar w:fldCharType="end"/>
      </w:r>
      <w:r w:rsidR="00892E24">
        <w:t xml:space="preserve">.  </w:t>
      </w:r>
      <w:r w:rsidR="00F40B07">
        <w:t xml:space="preserve">  </w:t>
      </w:r>
      <w:r w:rsidR="00B00DDB">
        <w:t xml:space="preserve"> </w:t>
      </w:r>
      <w:r w:rsidR="005F7FE3">
        <w:t xml:space="preserve">   </w:t>
      </w:r>
    </w:p>
    <w:p w14:paraId="7C95C6AD" w14:textId="649A4189" w:rsidR="006C7758" w:rsidRPr="000A0B92" w:rsidRDefault="000A0B92">
      <w:pPr>
        <w:rPr>
          <w:b/>
          <w:bCs/>
          <w:i/>
          <w:iCs/>
        </w:rPr>
      </w:pPr>
      <w:r w:rsidRPr="000A0B92">
        <w:rPr>
          <w:b/>
          <w:bCs/>
          <w:i/>
          <w:iCs/>
        </w:rPr>
        <w:t xml:space="preserve">2.1.4 </w:t>
      </w:r>
      <w:r w:rsidR="0079611B" w:rsidRPr="000A0B92">
        <w:rPr>
          <w:b/>
          <w:bCs/>
          <w:i/>
          <w:iCs/>
        </w:rPr>
        <w:t xml:space="preserve">Cambodia </w:t>
      </w:r>
    </w:p>
    <w:p w14:paraId="436E8083" w14:textId="3F2FBFD7" w:rsidR="0079611B" w:rsidRDefault="00C20340">
      <w:r>
        <w:t xml:space="preserve">Compared to most other countries in the world, </w:t>
      </w:r>
      <w:r w:rsidR="008C58A9">
        <w:t xml:space="preserve">Cambodia has seen swift 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(Solcomb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(Eliste &amp; Zorya 2015; Kong et al. 2019)</w:t>
      </w:r>
      <w:r w:rsidR="00BA731E">
        <w:fldChar w:fldCharType="end"/>
      </w:r>
      <w:r w:rsidR="00BA731E">
        <w:t xml:space="preserve">. This economic development has brought many benefits, 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yet the expansion of the agricultural sector</w:t>
      </w:r>
      <w:r>
        <w:t xml:space="preserve"> has caused deforestation </w:t>
      </w:r>
      <w:r>
        <w:fldChar w:fldCharType="begin"/>
      </w:r>
      <w:r>
        <w:instrText xml:space="preserve"> ADDIN ZOTERO_ITEM CSL_CITATION {"citationID":"Bppgw4Bd","properties":{"formattedCitation":"(Beauchamp et al. 2018)","plainCitation":"(Beauchamp et al. 2018)","noteIndex":0},"citationItems":[{"id":3123,"uris":["http://zotero.org/users/2170232/items/JE75AC84"],"uri":["http://zotero.org/users/2170232/items/JE75AC84"],"itemData":{"id":3123,"type":"article-journal","abstract":"Trade-offs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J."}],"issued":{"date-parts":[["2018",2,1]]}}}],"schema":"https://github.com/citation-style-language/schema/raw/master/csl-citation.json"} </w:instrText>
      </w:r>
      <w:r>
        <w:fldChar w:fldCharType="separate"/>
      </w:r>
      <w:r w:rsidRPr="00C20340">
        <w:rPr>
          <w:rFonts w:ascii="Calibri" w:hAnsi="Calibri" w:cs="Calibri"/>
        </w:rPr>
        <w:t>(Beauchamp et al. 2018)</w:t>
      </w:r>
      <w:r>
        <w:fldChar w:fldCharType="end"/>
      </w:r>
      <w:r w:rsidR="00BA731E">
        <w:t xml:space="preserve">. </w:t>
      </w:r>
      <w:r w:rsidR="00207E3B">
        <w:t>Forest loss, even within 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w:t>
      </w:r>
      <w:r w:rsidR="000B1FE5">
        <w:t xml:space="preserve"> </w:t>
      </w:r>
      <w:r w:rsidR="000B1FE5">
        <w:fldChar w:fldCharType="begin"/>
      </w:r>
      <w:r w:rsidR="000B1FE5">
        <w:instrText xml:space="preserve"> ADDIN ZOTERO_ITEM CSL_CITATION {"citationID":"ZizuY2uH","properties":{"formattedCitation":"(Riggs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0B1FE5">
        <w:fldChar w:fldCharType="separate"/>
      </w:r>
      <w:r w:rsidR="000B1FE5" w:rsidRPr="000B1FE5">
        <w:rPr>
          <w:rFonts w:ascii="Calibri" w:hAnsi="Calibri" w:cs="Calibri"/>
        </w:rPr>
        <w:t>(Riggs et al. 2018)</w:t>
      </w:r>
      <w:r w:rsidR="000B1FE5">
        <w:fldChar w:fldCharType="end"/>
      </w:r>
      <w:r w:rsidR="00207E3B">
        <w:t xml:space="preserve">.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w:t>
      </w:r>
      <w:r w:rsidR="000B1FE5">
        <w:t xml:space="preserve"> on forest cover</w:t>
      </w:r>
      <w:r w:rsidR="00EF0EDF">
        <w:t xml:space="preserve">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0B1FE5">
        <w:t>.</w:t>
      </w:r>
      <w:r w:rsidR="00EF0EDF">
        <w:t xml:space="preserve"> </w:t>
      </w:r>
      <w:r w:rsidR="000B1FE5">
        <w:t>Y</w:t>
      </w:r>
      <w:r w:rsidR="00EF0EDF">
        <w:t>et there have been no studies that investigate the relationships between economic</w:t>
      </w:r>
      <w:r w:rsidR="007C4C91">
        <w:t xml:space="preserve"> development</w:t>
      </w:r>
      <w:r w:rsidR="00EF0EDF">
        <w:t>, agriculture, and forest loss</w:t>
      </w:r>
      <w:r w:rsidR="00DC13AB">
        <w:t xml:space="preserve"> at the country scale.</w:t>
      </w:r>
      <w:r w:rsidR="007577ED">
        <w:t xml:space="preserve"> These are the relationships I aim to investigate in this chapter.</w:t>
      </w:r>
    </w:p>
    <w:p w14:paraId="0EAC9FDD" w14:textId="35629C38" w:rsidR="000A46B5" w:rsidRPr="001F2B94" w:rsidRDefault="00141381">
      <w:r>
        <w:t>In this stud</w:t>
      </w:r>
      <w:r w:rsidR="00207E3B">
        <w:t xml:space="preserve">y, </w:t>
      </w:r>
      <w:r w:rsidR="003425B9">
        <w:t>I</w:t>
      </w:r>
      <w:r w:rsidR="00207E3B">
        <w:t xml:space="preserve"> 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t>
      </w:r>
      <w:r w:rsidR="003425B9">
        <w:t>I</w:t>
      </w:r>
      <w:r w:rsidR="001F2B94">
        <w:t xml:space="preserve"> use generalised linear models to 1) model the relationships between the rate of forest loss and</w:t>
      </w:r>
      <w:r w:rsidR="0034404B">
        <w:t xml:space="preserve"> variables that describe, or are proxies for,</w:t>
      </w:r>
      <w:r w:rsidR="001F2B94">
        <w:t xml:space="preserve"> </w:t>
      </w:r>
      <w:r w:rsidR="0034404B">
        <w:t>economic development and</w:t>
      </w:r>
      <w:r w:rsidR="001F2B94">
        <w:t xml:space="preserve"> </w:t>
      </w:r>
      <w:r w:rsidR="0034404B">
        <w:t xml:space="preserve">agricultural </w:t>
      </w:r>
      <w:r w:rsidR="001F2B94">
        <w:t>commodity price</w:t>
      </w:r>
      <w:r w:rsidR="0034404B">
        <w:t xml:space="preserve">s </w:t>
      </w:r>
      <w:r w:rsidR="001F2B94">
        <w:t xml:space="preserve">and 2) model the relationships between the allocation of new ELCs and </w:t>
      </w:r>
      <w:r w:rsidR="0034404B">
        <w:t>variables that describe, or are proxies for, economic development and agricultural commodity prices</w:t>
      </w:r>
      <w:r w:rsidR="001F2B94">
        <w:t xml:space="preserve">. </w:t>
      </w:r>
      <w:r w:rsidR="00376731">
        <w:t>My</w:t>
      </w:r>
      <w:r w:rsidR="001F2B94">
        <w:t xml:space="preserve"> results will provide important data to identify direct and indirect drivers of forest loss in Cambodia, aiding in the identification of leverage points, supporting the development of agricultural and forest policies, and contributing more widely to the forest transition literature</w:t>
      </w:r>
      <w:r w:rsidR="007577ED">
        <w:t>.</w:t>
      </w:r>
      <w:r w:rsidR="001F2B94">
        <w:t xml:space="preserve"> </w:t>
      </w:r>
    </w:p>
    <w:p w14:paraId="61F71508" w14:textId="107DE591" w:rsidR="000A46B5" w:rsidRDefault="000A0B92">
      <w:pPr>
        <w:rPr>
          <w:b/>
          <w:bCs/>
        </w:rPr>
      </w:pPr>
      <w:r>
        <w:rPr>
          <w:b/>
          <w:bCs/>
        </w:rPr>
        <w:t xml:space="preserve">2.2 </w:t>
      </w:r>
      <w:r w:rsidR="000A46B5">
        <w:rPr>
          <w:b/>
          <w:bCs/>
        </w:rPr>
        <w:t>M</w:t>
      </w:r>
      <w:r>
        <w:rPr>
          <w:b/>
          <w:bCs/>
        </w:rPr>
        <w:t>ETHODS</w:t>
      </w:r>
    </w:p>
    <w:p w14:paraId="1059DA8F" w14:textId="6CA89800" w:rsidR="000A46B5" w:rsidRPr="000A0B92" w:rsidRDefault="000A0B92" w:rsidP="000A46B5">
      <w:pPr>
        <w:rPr>
          <w:b/>
          <w:bCs/>
          <w:i/>
          <w:iCs/>
        </w:rPr>
      </w:pPr>
      <w:r w:rsidRPr="000A0B92">
        <w:rPr>
          <w:b/>
          <w:bCs/>
          <w:i/>
          <w:iCs/>
        </w:rPr>
        <w:t xml:space="preserve">2.2.1 </w:t>
      </w:r>
      <w:r w:rsidR="000A46B5" w:rsidRPr="000A0B92">
        <w:rPr>
          <w:b/>
          <w:bCs/>
          <w:i/>
          <w:iCs/>
        </w:rPr>
        <w:t>Study area</w:t>
      </w:r>
    </w:p>
    <w:p w14:paraId="62225273" w14:textId="09D0AEEF" w:rsidR="000A46B5" w:rsidRPr="000A46B5" w:rsidRDefault="00BA5DD9" w:rsidP="000A46B5">
      <w:bookmarkStart w:id="0" w:name="_Hlk89075249"/>
      <w:r>
        <w:t xml:space="preserve">This study area for this chapter is the whole of Cambodia. See chapter 1 section 1.2 for a detailed background to the country, and chapter 1 section 1.2.1 for detailed biophysical characteristics of the country.  </w:t>
      </w:r>
    </w:p>
    <w:bookmarkEnd w:id="0"/>
    <w:p w14:paraId="508AA3CA" w14:textId="7D205CFD" w:rsidR="000A46B5" w:rsidRPr="000A0B92" w:rsidRDefault="000A0B92" w:rsidP="000A46B5">
      <w:pPr>
        <w:rPr>
          <w:b/>
          <w:bCs/>
          <w:i/>
          <w:iCs/>
        </w:rPr>
      </w:pPr>
      <w:r w:rsidRPr="000A0B92">
        <w:rPr>
          <w:b/>
          <w:bCs/>
          <w:i/>
          <w:iCs/>
        </w:rPr>
        <w:t xml:space="preserve">2.2.2 </w:t>
      </w:r>
      <w:r w:rsidR="000A46B5" w:rsidRPr="000A0B92">
        <w:rPr>
          <w:b/>
          <w:bCs/>
          <w:i/>
          <w:iCs/>
        </w:rPr>
        <w:t>Data sources</w:t>
      </w:r>
    </w:p>
    <w:p w14:paraId="6EA63835" w14:textId="1BB62B5C" w:rsidR="000A46B5" w:rsidRPr="000A46B5" w:rsidRDefault="000A46B5" w:rsidP="000A46B5">
      <w:r w:rsidRPr="000A46B5">
        <w:t>National</w:t>
      </w:r>
      <w:r w:rsidR="007C4C91">
        <w:t xml:space="preserve"> </w:t>
      </w:r>
      <w:r w:rsidRPr="000A46B5">
        <w:t xml:space="preserve">economic variables were acquired from publicly available sources (Table </w:t>
      </w:r>
      <w:r w:rsidR="0038235D">
        <w:t>2.</w:t>
      </w:r>
      <w:r w:rsidRPr="000A46B5">
        <w:t>1) for the period 1993 – 2015.</w:t>
      </w:r>
      <w:r>
        <w:t xml:space="preserve"> </w:t>
      </w:r>
      <w:r w:rsidRPr="000A46B5">
        <w:t>Data on economic land concessions</w:t>
      </w:r>
      <w:r w:rsidR="00C65E6A">
        <w:t xml:space="preserve"> </w:t>
      </w:r>
      <w:r w:rsidRPr="000A46B5">
        <w:t>and shapefiles for the country</w:t>
      </w:r>
      <w:r w:rsidR="00C65E6A">
        <w:t xml:space="preserve"> </w:t>
      </w:r>
      <w:r w:rsidRPr="000A46B5">
        <w:t xml:space="preserve">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076D2BFC" w:rsidR="000A46B5" w:rsidRPr="000A0B92" w:rsidRDefault="000A0B92" w:rsidP="000A46B5">
      <w:pPr>
        <w:rPr>
          <w:b/>
          <w:bCs/>
          <w:i/>
          <w:iCs/>
        </w:rPr>
      </w:pPr>
      <w:r w:rsidRPr="000A0B92">
        <w:rPr>
          <w:b/>
          <w:bCs/>
          <w:i/>
          <w:iCs/>
        </w:rPr>
        <w:t xml:space="preserve">2.2.3 </w:t>
      </w:r>
      <w:r w:rsidR="000A46B5" w:rsidRPr="000A0B92">
        <w:rPr>
          <w:b/>
          <w:bCs/>
          <w:i/>
          <w:iCs/>
        </w:rPr>
        <w:t>Variable selection</w:t>
      </w:r>
    </w:p>
    <w:p w14:paraId="6D455FEB" w14:textId="45197583" w:rsidR="005A24EE" w:rsidRPr="00BF30EA" w:rsidRDefault="000A46B5" w:rsidP="000A46B5">
      <w:r w:rsidRPr="000A46B5">
        <w:lastRenderedPageBreak/>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ELC allocations in year </w:t>
      </w:r>
      <w:r w:rsidRPr="000A46B5">
        <w:rPr>
          <w:i/>
          <w:iCs/>
        </w:rPr>
        <w:t>t</w:t>
      </w:r>
      <w:r w:rsidRPr="000A46B5">
        <w:t>.</w:t>
      </w:r>
      <w:r>
        <w:t xml:space="preserve"> </w:t>
      </w:r>
      <w:r w:rsidR="007C4C91">
        <w:t>Predictor</w:t>
      </w:r>
      <w:r>
        <w:t xml:space="preserve"> </w:t>
      </w:r>
      <w:r w:rsidRPr="000A46B5">
        <w:t xml:space="preserve">and control variables were selected based on a combination of previous studies, data availability, and </w:t>
      </w:r>
      <w:r w:rsidR="007C4C91">
        <w:t xml:space="preserve">my </w:t>
      </w:r>
      <w:r w:rsidRPr="000A46B5">
        <w:t>knowledge of Cambodia.</w:t>
      </w:r>
      <w:r w:rsidR="007C4C91">
        <w:t xml:space="preserve"> </w:t>
      </w:r>
      <w:r w:rsidR="00A81C7F">
        <w:t>V</w:t>
      </w:r>
      <w:r w:rsidRPr="000A46B5">
        <w:t xml:space="preserve">ariables were selected to create three sets of predictors, each targeting a different driver: economic development (n=8), </w:t>
      </w:r>
      <w:r w:rsidR="00A81C7F">
        <w:t xml:space="preserve">agricultural </w:t>
      </w:r>
      <w:r w:rsidRPr="000A46B5">
        <w:t>commodity prices (external market forces, n=8), and producer</w:t>
      </w:r>
      <w:r w:rsidR="00A81C7F">
        <w:t xml:space="preserve"> (or farm gate)</w:t>
      </w:r>
      <w:r w:rsidRPr="000A46B5">
        <w:t xml:space="preserve">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4D1C55">
        <w:t>(Table S</w:t>
      </w:r>
      <w:r w:rsidR="004D1C55" w:rsidRPr="004D1C55">
        <w:t>2.1</w:t>
      </w:r>
      <w:r w:rsidRPr="000A46B5">
        <w:t>, Nelson et al. 2006; Ewers 2006; Gong et al. 2013; Kuang et al. 2016; Fan &amp; Ding 2016; Bonilla-Bedoya et al. 2018)</w:t>
      </w:r>
      <w:r w:rsidRPr="000A46B5">
        <w:fldChar w:fldCharType="end"/>
      </w:r>
      <w:r w:rsidRPr="000A46B5">
        <w:t>. Each predictor was hypothesised to be a driver of forest loss (</w:t>
      </w:r>
      <w:r w:rsidRPr="00A818EB">
        <w:t>Table S</w:t>
      </w:r>
      <w:r w:rsidR="00A818EB" w:rsidRPr="00A818EB">
        <w:t>2.</w:t>
      </w:r>
      <w:r w:rsidRPr="00A818EB">
        <w:t>2</w:t>
      </w:r>
      <w:r w:rsidRPr="000A46B5">
        <w:t xml:space="preserve">).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xml:space="preserve">. After pre-analysis checks for errors the resulting variable set contained 20 variables (Table </w:t>
      </w:r>
      <w:r w:rsidR="0038235D">
        <w:t>2.</w:t>
      </w:r>
      <w:r w:rsidRPr="000A46B5">
        <w:t>1).</w:t>
      </w:r>
    </w:p>
    <w:p w14:paraId="7B3CC724" w14:textId="7CBAA082" w:rsidR="000A46B5" w:rsidRPr="000A0B92" w:rsidRDefault="000A0B92" w:rsidP="000A46B5">
      <w:pPr>
        <w:rPr>
          <w:b/>
          <w:bCs/>
          <w:i/>
          <w:iCs/>
        </w:rPr>
      </w:pPr>
      <w:r w:rsidRPr="000A0B92">
        <w:rPr>
          <w:b/>
          <w:bCs/>
          <w:i/>
          <w:iCs/>
        </w:rPr>
        <w:t xml:space="preserve">2.2.4 </w:t>
      </w:r>
      <w:r w:rsidR="000A46B5" w:rsidRPr="000A0B92">
        <w:rPr>
          <w:b/>
          <w:bCs/>
          <w:i/>
          <w:iCs/>
        </w:rPr>
        <w:t>Data processing</w:t>
      </w:r>
    </w:p>
    <w:p w14:paraId="6A7C6D7B" w14:textId="4846BA77"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in each year classified as bands 50, 60, 61, 62, 70, 71, 72, 80, 81, 82, 90, and 100 (</w:t>
      </w:r>
      <w:r w:rsidRPr="00A818EB">
        <w:t>Table S</w:t>
      </w:r>
      <w:r w:rsidR="00A818EB">
        <w:t>2.3</w:t>
      </w:r>
      <w:r w:rsidRPr="001E05DC">
        <w:t xml:space="preserve">).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w:t>
      </w:r>
      <w:r w:rsidR="00A818EB">
        <w:t>Table S2.4</w:t>
      </w:r>
      <w:r w:rsidRPr="001E05DC">
        <w:t>).</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1A10A118" w:rsidR="009F455B" w:rsidRPr="004C216D" w:rsidRDefault="009F455B" w:rsidP="009F455B">
      <w:pPr>
        <w:rPr>
          <w:b/>
          <w:bCs/>
        </w:rPr>
      </w:pPr>
      <w:r w:rsidRPr="004C216D">
        <w:rPr>
          <w:b/>
          <w:bCs/>
        </w:rPr>
        <w:lastRenderedPageBreak/>
        <w:t xml:space="preserve">Table </w:t>
      </w:r>
      <w:r w:rsidR="0038235D">
        <w:rPr>
          <w:b/>
          <w:bCs/>
        </w:rPr>
        <w:t>2.</w:t>
      </w:r>
      <w:r w:rsidRPr="004C216D">
        <w:rPr>
          <w:b/>
          <w:bCs/>
        </w:rPr>
        <w:t>1. Variables</w:t>
      </w:r>
      <w:r w:rsidR="001D6826">
        <w:rPr>
          <w:b/>
          <w:bCs/>
        </w:rPr>
        <w:t xml:space="preserve"> representing economic development and agricultural commodities that were</w:t>
      </w:r>
      <w:r w:rsidRPr="004C216D">
        <w:rPr>
          <w:b/>
          <w:bCs/>
        </w:rPr>
        <w:t xml:space="preserve"> selected for the </w:t>
      </w:r>
      <w:r w:rsidR="007C4C91">
        <w:rPr>
          <w:b/>
          <w:bCs/>
        </w:rPr>
        <w:t>final</w:t>
      </w:r>
      <w:r w:rsidRPr="004C216D">
        <w:rPr>
          <w:b/>
          <w:bCs/>
        </w:rPr>
        <w:t xml:space="preserve"> analysis. Variables range from 1993 – 2015. </w:t>
      </w:r>
      <w:r w:rsidR="00BF30EA" w:rsidRPr="004C216D">
        <w:rPr>
          <w:b/>
          <w:bCs/>
        </w:rPr>
        <w:t>GDP = Gross Domestic Product, USD = US Dollars, UNCTAD = United Nations Conference on Trade and Development, CNIS = Cambodian National Institute of Statistics, FAO = Food and Agricultural Organisation, RASC</w:t>
      </w:r>
      <w:r w:rsidR="004C216D" w:rsidRPr="004C216D">
        <w:rPr>
          <w:b/>
          <w:bCs/>
        </w:rPr>
        <w:t>E = Rubber Association Singapore Commodity Exchange, ESACCI = European Space Agency Climate Change Initiative</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w:t>
            </w:r>
            <w:r w:rsidRPr="00BF30EA">
              <w:rPr>
                <w:vertAlign w:val="superscript"/>
              </w:rPr>
              <w:t>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w:t>
            </w:r>
            <w:r w:rsidRPr="004C216D">
              <w:rPr>
                <w:vertAlign w:val="superscript"/>
              </w:rPr>
              <w:t>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w:t>
            </w:r>
            <w:r w:rsidRPr="004C216D">
              <w:rPr>
                <w:vertAlign w:val="superscript"/>
              </w:rPr>
              <w:t>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355C7EC" w:rsidR="000A46B5" w:rsidRPr="000A0B92" w:rsidRDefault="000A0B92" w:rsidP="000A46B5">
      <w:pPr>
        <w:rPr>
          <w:b/>
          <w:bCs/>
          <w:i/>
          <w:iCs/>
        </w:rPr>
      </w:pPr>
      <w:r w:rsidRPr="000A0B92">
        <w:rPr>
          <w:b/>
          <w:bCs/>
          <w:i/>
          <w:iCs/>
        </w:rPr>
        <w:lastRenderedPageBreak/>
        <w:t xml:space="preserve">2.2.5 </w:t>
      </w:r>
      <w:r w:rsidR="000A46B5" w:rsidRPr="000A0B92">
        <w:rPr>
          <w:b/>
          <w:bCs/>
          <w:i/>
          <w:iCs/>
        </w:rPr>
        <w:t xml:space="preserve">Modelling </w:t>
      </w:r>
    </w:p>
    <w:p w14:paraId="731B3D43" w14:textId="36975BFD" w:rsidR="000A46B5" w:rsidRPr="001E05DC" w:rsidRDefault="000A46B5" w:rsidP="000A46B5">
      <w:r w:rsidRPr="001E05DC">
        <w:t>This analysis aimed to model the relationships between changes in predictors</w:t>
      </w:r>
      <w:r w:rsidR="007C4C91">
        <w:t xml:space="preserve"> that described economic development or agricultural commodity value</w:t>
      </w:r>
      <w:r w:rsidRPr="001E05DC">
        <w:t xml:space="preserve"> and 1) the change in forest cover at a national level and 2) the allocation of new ELCs</w:t>
      </w:r>
      <w:r w:rsidR="005252BE">
        <w:t xml:space="preserve">. </w:t>
      </w:r>
      <w:r w:rsidR="00D55D54">
        <w:t>I ran models</w:t>
      </w:r>
      <w:r w:rsidRPr="001E05DC">
        <w:t xml:space="preserve">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For the models with rate of forest loss as the response</w:t>
      </w:r>
      <w:r w:rsidR="00D55D54">
        <w:t xml:space="preserve"> I tested</w:t>
      </w:r>
      <w:r w:rsidRPr="001E05DC">
        <w:t xml:space="preserve"> both gaussian and gamma distributions, and for the models with ELC allocation</w:t>
      </w:r>
      <w:r w:rsidR="00D55D54">
        <w:t xml:space="preserve"> I used</w:t>
      </w:r>
      <w:r w:rsidRPr="001E05DC">
        <w:t xml:space="preserve"> a Poisson distribution. Resulting models were compared using Akaike’s Information Criterion (AIC). Final rate of forest loss models used gaussian distributions. All predictors in each model set had been selected because of a priori hypotheses (</w:t>
      </w:r>
      <w:r w:rsidRPr="00B77FE6">
        <w:t>Table S2</w:t>
      </w:r>
      <w:r w:rsidR="00B77FE6">
        <w:t>.2</w:t>
      </w:r>
      <w:r w:rsidRPr="001E05DC">
        <w:t xml:space="preserve">),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0EDA3F7F" w14:textId="0013538D" w:rsidR="00EE4B81" w:rsidRPr="001E05DC" w:rsidRDefault="000A46B5" w:rsidP="000A46B5">
      <w:r w:rsidRPr="001E05DC">
        <w:t>No time lag:</w:t>
      </w:r>
    </w:p>
    <w:p w14:paraId="5A183351" w14:textId="6B49D904" w:rsidR="000A46B5" w:rsidRPr="001E05DC" w:rsidRDefault="003802A9"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3CDD7D9C" w:rsidR="000A46B5" w:rsidRPr="001E05DC" w:rsidRDefault="003802A9"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6EDD8FE9" w:rsidR="000A46B5" w:rsidRPr="001E05DC" w:rsidRDefault="003802A9"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t+2</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5003153" w:rsidR="000A46B5" w:rsidRDefault="000A0B92" w:rsidP="000A46B5">
      <w:pPr>
        <w:rPr>
          <w:b/>
          <w:bCs/>
        </w:rPr>
      </w:pPr>
      <w:r>
        <w:rPr>
          <w:b/>
          <w:bCs/>
        </w:rPr>
        <w:t xml:space="preserve">2.3 </w:t>
      </w:r>
      <w:r w:rsidR="000A46B5">
        <w:rPr>
          <w:b/>
          <w:bCs/>
        </w:rPr>
        <w:t>R</w:t>
      </w:r>
      <w:r>
        <w:rPr>
          <w:b/>
          <w:bCs/>
        </w:rPr>
        <w:t>ESULTS</w:t>
      </w:r>
    </w:p>
    <w:p w14:paraId="142D67C1" w14:textId="5738655D" w:rsidR="000A46B5" w:rsidRPr="000A0B92" w:rsidRDefault="000A0B92" w:rsidP="000A46B5">
      <w:pPr>
        <w:rPr>
          <w:b/>
          <w:bCs/>
          <w:i/>
          <w:iCs/>
        </w:rPr>
      </w:pPr>
      <w:r w:rsidRPr="000A0B92">
        <w:rPr>
          <w:b/>
          <w:bCs/>
          <w:i/>
          <w:iCs/>
        </w:rPr>
        <w:t xml:space="preserve">2.3.1 </w:t>
      </w:r>
      <w:r w:rsidR="00E82045" w:rsidRPr="000A0B92">
        <w:rPr>
          <w:b/>
          <w:bCs/>
          <w:i/>
          <w:iCs/>
        </w:rPr>
        <w:t>F</w:t>
      </w:r>
      <w:r w:rsidR="00667CED" w:rsidRPr="000A0B92">
        <w:rPr>
          <w:b/>
          <w:bCs/>
          <w:i/>
          <w:iCs/>
        </w:rPr>
        <w:t>orest loss</w:t>
      </w:r>
    </w:p>
    <w:p w14:paraId="2CF22172" w14:textId="0125D983" w:rsidR="000A46B5" w:rsidRDefault="00E82045" w:rsidP="000A46B5">
      <w:r>
        <w:t>During the study period</w:t>
      </w:r>
      <w:r w:rsidR="007577ED">
        <w:t xml:space="preserve"> (1993-2015)</w:t>
      </w:r>
      <w:r>
        <w:t xml:space="preserve"> 167,477 km</w:t>
      </w:r>
      <w:r w:rsidRPr="00E82045">
        <w:rPr>
          <w:vertAlign w:val="superscript"/>
        </w:rPr>
        <w:t>2</w:t>
      </w:r>
      <w:r>
        <w:t xml:space="preserve"> of forest was lost which represented nearly 16% of the total forest cover. </w:t>
      </w:r>
      <w:r w:rsidR="00F4635E">
        <w:t>The models for changes in the rate of forest loss as a function of</w:t>
      </w:r>
      <w:r w:rsidR="00C65E6A">
        <w:t xml:space="preserve"> changes in</w:t>
      </w:r>
      <w:r w:rsidR="00F4635E">
        <w:t xml:space="preserve"> </w:t>
      </w:r>
      <w:r w:rsidR="0014476F">
        <w:t>economic and agricultural commodity</w:t>
      </w:r>
      <w:r w:rsidR="00F4635E">
        <w:t xml:space="preserve"> predictors produced n</w:t>
      </w:r>
      <w:r w:rsidR="000A46B5">
        <w:t>o s</w:t>
      </w:r>
      <w:r w:rsidR="00C65E6A">
        <w:t>trong</w:t>
      </w:r>
      <w:r w:rsidR="000A46B5">
        <w:t xml:space="preserve"> effects (</w:t>
      </w:r>
      <w:r w:rsidR="000A46B5" w:rsidRPr="00045ECA">
        <w:t xml:space="preserve">Figures </w:t>
      </w:r>
      <w:r w:rsidR="00C21A41" w:rsidRPr="00B77FE6">
        <w:t>S</w:t>
      </w:r>
      <w:r w:rsidR="00B77FE6" w:rsidRPr="00B77FE6">
        <w:t>2.1</w:t>
      </w:r>
      <w:r w:rsidR="000A46B5" w:rsidRPr="00B77FE6">
        <w:t xml:space="preserve"> </w:t>
      </w:r>
      <w:r w:rsidR="004740E7" w:rsidRPr="00B77FE6">
        <w:t>to</w:t>
      </w:r>
      <w:r w:rsidR="000A46B5" w:rsidRPr="00B77FE6">
        <w:t xml:space="preserve"> </w:t>
      </w:r>
      <w:r w:rsidR="00C21A41" w:rsidRPr="00B77FE6">
        <w:t>S</w:t>
      </w:r>
      <w:r w:rsidR="00B77FE6" w:rsidRPr="00B77FE6">
        <w:t>2.4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w:t>
      </w:r>
      <w:r w:rsidR="00B77FE6">
        <w:t>2.5</w:t>
      </w:r>
      <w:r w:rsidR="000A46B5" w:rsidRPr="00045ECA">
        <w:t xml:space="preserve"> – S</w:t>
      </w:r>
      <w:r w:rsidR="00B77FE6">
        <w:t>2.13</w:t>
      </w:r>
      <w:r w:rsidR="000A46B5" w:rsidRPr="00D913D7">
        <w:rPr>
          <w:rFonts w:ascii="Calibri" w:hAnsi="Calibri" w:cs="Calibri"/>
        </w:rPr>
        <w:t>)</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B77FE6">
        <w:t>Table S</w:t>
      </w:r>
      <w:r w:rsidR="00B77FE6">
        <w:t>2.6</w:t>
      </w:r>
      <w:r w:rsidR="000A46B5">
        <w:t xml:space="preserve">). The largest effect excluding control variables was for agricultural proportion of </w:t>
      </w:r>
      <w:r w:rsidR="000A46B5">
        <w:lastRenderedPageBreak/>
        <w:t>GDP with a one-year time lag (full averaged coefficient = -14.9, SE = 7.9) suggesting</w:t>
      </w:r>
      <w:r w:rsidR="00F4635E">
        <w:t>, counterintuitively,</w:t>
      </w:r>
      <w:r w:rsidR="000A46B5">
        <w:t xml:space="preserve"> that there is a small reduction in the rate of forest loss as the contribution of agriculture to national GDP increases, although this effect is weak (</w:t>
      </w:r>
      <w:r w:rsidR="000A46B5" w:rsidRPr="00045ECA">
        <w:t>Figure S2</w:t>
      </w:r>
      <w:r w:rsidR="005B16ED">
        <w:t>.3</w:t>
      </w:r>
      <w:r w:rsidR="000A46B5" w:rsidRPr="00045ECA">
        <w:t xml:space="preserve">, </w:t>
      </w:r>
      <w:r w:rsidR="000A46B5" w:rsidRPr="005B16ED">
        <w:t>Table S</w:t>
      </w:r>
      <w:r w:rsidR="005B16ED" w:rsidRPr="005B16ED">
        <w:t>2</w:t>
      </w:r>
      <w:r w:rsidR="005B16ED">
        <w:t>.9</w:t>
      </w:r>
      <w:r w:rsidR="000A46B5">
        <w:t xml:space="preserve">) and </w:t>
      </w:r>
      <w:r w:rsidR="00F4635E">
        <w:t>therefore inference is limited</w:t>
      </w:r>
      <w:r w:rsidR="000A46B5">
        <w:t>.</w:t>
      </w:r>
    </w:p>
    <w:p w14:paraId="5FF9CD15" w14:textId="2827FA33" w:rsidR="000A46B5" w:rsidRPr="000A0B92" w:rsidRDefault="000A0B92" w:rsidP="000A46B5">
      <w:pPr>
        <w:rPr>
          <w:b/>
          <w:bCs/>
          <w:i/>
          <w:iCs/>
        </w:rPr>
      </w:pPr>
      <w:r w:rsidRPr="000A0B92">
        <w:rPr>
          <w:b/>
          <w:bCs/>
          <w:i/>
          <w:iCs/>
        </w:rPr>
        <w:t xml:space="preserve">2.3.2 </w:t>
      </w:r>
      <w:r w:rsidR="000A46B5" w:rsidRPr="000A0B92">
        <w:rPr>
          <w:b/>
          <w:bCs/>
          <w:i/>
          <w:iCs/>
        </w:rPr>
        <w:t>New economic land concession</w:t>
      </w:r>
      <w:r w:rsidR="00E82045" w:rsidRPr="000A0B92">
        <w:rPr>
          <w:b/>
          <w:bCs/>
          <w:i/>
          <w:iCs/>
        </w:rPr>
        <w:t>s</w:t>
      </w:r>
    </w:p>
    <w:p w14:paraId="0D3D8117" w14:textId="122AC917" w:rsidR="000A46B5" w:rsidRDefault="000A46B5" w:rsidP="000A46B5">
      <w:r>
        <w:t>There were 287 new ELCs allocated within the study period, with the majority (51%) being designated for rubber production (</w:t>
      </w:r>
      <w:r w:rsidRPr="005B16ED">
        <w:t>Table S</w:t>
      </w:r>
      <w:r w:rsidR="005B16ED">
        <w:t>2.14</w:t>
      </w:r>
      <w:r>
        <w:t xml:space="preserve">). </w:t>
      </w:r>
      <w:bookmarkStart w:id="1"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rsidR="0038235D">
        <w:t>.2</w:t>
      </w:r>
      <w:r>
        <w:t xml:space="preserve">), indicating that new ELCs </w:t>
      </w:r>
      <w:r w:rsidR="002657C7">
        <w:t>are not</w:t>
      </w:r>
      <w:r>
        <w:t xml:space="preserve"> allocated in areas of high human population density</w:t>
      </w:r>
      <w:bookmarkEnd w:id="1"/>
      <w:r>
        <w:t xml:space="preserve">. </w:t>
      </w:r>
      <w:bookmarkStart w:id="2" w:name="_Hlk85436510"/>
      <w:r>
        <w:t xml:space="preserve">The largest overall effect excluding control variables was for changes in agricultural proportion of GDP with no time lag and a one-year time lag </w:t>
      </w:r>
      <w:bookmarkEnd w:id="2"/>
      <w:r>
        <w:t xml:space="preserve">(no time lag rate ratio = 1.310, and one-year time lag rate ratio = 1.284, </w:t>
      </w:r>
      <w:r w:rsidRPr="005E63DE">
        <w:t xml:space="preserve">Table </w:t>
      </w:r>
      <w:r w:rsidR="004740E7">
        <w:t>2</w:t>
      </w:r>
      <w:r w:rsidR="0038235D">
        <w:t>.2</w:t>
      </w:r>
      <w:r w:rsidRPr="005E63DE">
        <w:t xml:space="preserve">, Figure </w:t>
      </w:r>
      <w:r w:rsidR="0038235D">
        <w:t>2.</w:t>
      </w:r>
      <w:r w:rsidR="00700967">
        <w:t>1</w:t>
      </w:r>
      <w:r>
        <w:t xml:space="preserve">). </w:t>
      </w:r>
    </w:p>
    <w:p w14:paraId="60324C84" w14:textId="658965F6" w:rsidR="000A46B5" w:rsidRDefault="000A46B5" w:rsidP="000A46B5">
      <w:r>
        <w:t xml:space="preserve">From an economic perspective there were </w:t>
      </w:r>
      <w:bookmarkStart w:id="3" w:name="_Hlk85436539"/>
      <w:r>
        <w:t xml:space="preserve">positive relationships between the allocation of new ELCs and increases in the agricultural proportion of GDP and increases in foreign direct investment </w:t>
      </w:r>
      <w:bookmarkEnd w:id="3"/>
      <w:r>
        <w:t xml:space="preserve">(one-year time lag rate ratio = 1.004, </w:t>
      </w:r>
      <w:r w:rsidRPr="005E63DE">
        <w:t xml:space="preserve">Table </w:t>
      </w:r>
      <w:r w:rsidR="004740E7">
        <w:t>2</w:t>
      </w:r>
      <w:r w:rsidR="0038235D">
        <w:t>.2</w:t>
      </w:r>
      <w:r w:rsidRPr="005E63DE">
        <w:t xml:space="preserve">, Figure </w:t>
      </w:r>
      <w:r w:rsidR="0038235D">
        <w:t>2.</w:t>
      </w:r>
      <w:r w:rsidR="00700967">
        <w:t>1</w:t>
      </w:r>
      <w:r>
        <w:t xml:space="preserve">). There was also a </w:t>
      </w:r>
      <w:bookmarkStart w:id="4" w:name="_Hlk85436623"/>
      <w:r>
        <w:t xml:space="preserve">positive relationship between new ELC allocation and increases in development flows to the environment sector </w:t>
      </w:r>
      <w:bookmarkEnd w:id="4"/>
      <w:r>
        <w:t xml:space="preserve">(no time lag rate ratio = 1.031).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0038235D">
        <w:t>.2</w:t>
      </w:r>
      <w:r w:rsidRPr="005E63DE">
        <w:t xml:space="preserve">, Figure </w:t>
      </w:r>
      <w:r w:rsidR="0038235D">
        <w:t>2.</w:t>
      </w:r>
      <w:r w:rsidR="00700967">
        <w:t>1</w:t>
      </w:r>
      <w:r>
        <w:t xml:space="preserve">). </w:t>
      </w:r>
    </w:p>
    <w:p w14:paraId="303CB01A" w14:textId="34AB96EB" w:rsidR="000A46B5" w:rsidRDefault="000A46B5" w:rsidP="000A46B5">
      <w:bookmarkStart w:id="5" w:name="_Hlk85436768"/>
      <w:r>
        <w:t xml:space="preserve">The largest effect within the commodity set was for the change in market price of rice in the same year as the response </w:t>
      </w:r>
      <w:bookmarkEnd w:id="5"/>
      <w:r>
        <w:t>(no time lag) with a rate ratio of 1.009 (</w:t>
      </w:r>
      <w:r w:rsidRPr="005E63DE">
        <w:t xml:space="preserve">Table </w:t>
      </w:r>
      <w:r w:rsidR="0000260F">
        <w:t>2</w:t>
      </w:r>
      <w:r w:rsidR="0038235D">
        <w:t>.2</w:t>
      </w:r>
      <w:r>
        <w:t xml:space="preserve">). There were </w:t>
      </w:r>
      <w:bookmarkStart w:id="6" w:name="_Hlk85436780"/>
      <w:r>
        <w:t xml:space="preserve">further strong positive relationships between the changes in the market price of rubber </w:t>
      </w:r>
      <w:bookmarkEnd w:id="6"/>
      <w:r>
        <w:t>(no time lag rate ratio = 1.001</w:t>
      </w:r>
      <w:bookmarkStart w:id="7" w:name="_Hlk85436794"/>
      <w:r>
        <w:t xml:space="preserve">), the changes in the non-food production index </w:t>
      </w:r>
      <w:bookmarkEnd w:id="7"/>
      <w:r>
        <w:t xml:space="preserve">(one-year time lag rate ratio = 1.007), </w:t>
      </w:r>
      <w:bookmarkStart w:id="8" w:name="_Hlk85436805"/>
      <w:r>
        <w:t xml:space="preserve">and changes in the market price of sugar </w:t>
      </w:r>
      <w:bookmarkEnd w:id="8"/>
      <w:r>
        <w:t xml:space="preserve">(two-year time lag rate ratio = 1.009). There were three negative relationships between ELC allocation and commodity variables, all of which were in the same year as the response (no time lag, </w:t>
      </w:r>
      <w:r w:rsidRPr="005E63DE">
        <w:t xml:space="preserve">Figure </w:t>
      </w:r>
      <w:r w:rsidR="00700967">
        <w:t>2</w:t>
      </w:r>
      <w:r w:rsidR="0038235D">
        <w:t>.2</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9" w:name="_Hlk85437183"/>
      <w:r>
        <w:t xml:space="preserve">The non-food production index had a much stronger negative effect on ELC allocation when there was no time lag (rate ratio = 0.990). </w:t>
      </w:r>
      <w:bookmarkEnd w:id="9"/>
    </w:p>
    <w:p w14:paraId="233CAA57" w14:textId="0302EA77" w:rsidR="000A46B5" w:rsidRDefault="000A46B5" w:rsidP="000A46B5">
      <w:r>
        <w:t>The producer price variable set, which reflects the farmgate prices of the commodities, had both positive and negative relationships with ELC allocation (</w:t>
      </w:r>
      <w:r w:rsidRPr="005E63DE">
        <w:t xml:space="preserve">Figure </w:t>
      </w:r>
      <w:r w:rsidR="0038235D">
        <w:t>2.</w:t>
      </w:r>
      <w:r w:rsidR="00700967">
        <w:t>3</w:t>
      </w:r>
      <w:r w:rsidRPr="005E63DE">
        <w:t xml:space="preserve">, Table </w:t>
      </w:r>
      <w:r w:rsidR="002F1503">
        <w:t>2.2</w:t>
      </w:r>
      <w:r>
        <w:t xml:space="preserve">). </w:t>
      </w:r>
      <w:bookmarkStart w:id="10" w:name="_Hlk85437276"/>
      <w:r>
        <w:t xml:space="preserve">The strongest positive relationship was with changes in the producer price of rubber </w:t>
      </w:r>
      <w:bookmarkEnd w:id="10"/>
      <w:r>
        <w:t>(no time lag rate ratio = 1.035). The effect of positive changes (i.e., net increases) in the price a farmer will get for rubber production can be seen in the predictions of new ELCs (</w:t>
      </w:r>
      <w:r w:rsidRPr="00DF51FB">
        <w:t xml:space="preserve">Figure </w:t>
      </w:r>
      <w:r w:rsidR="0038235D">
        <w:t>2.</w:t>
      </w:r>
      <w:r w:rsidR="00700967">
        <w:t>3</w:t>
      </w:r>
      <w:r>
        <w:t xml:space="preserve">). </w:t>
      </w:r>
      <w:bookmarkStart w:id="11" w:name="_Hlk85437378"/>
      <w:r>
        <w:t xml:space="preserve">There were also positive relationships between ELC allocation and changes in the producer price of corn </w:t>
      </w:r>
      <w:bookmarkEnd w:id="11"/>
      <w:r>
        <w:t xml:space="preserve">(one-year time lag rate ratio = 1.011) </w:t>
      </w:r>
      <w:bookmarkStart w:id="12" w:name="_Hlk85437385"/>
      <w:r>
        <w:t xml:space="preserve">and the producer price of rice </w:t>
      </w:r>
      <w:bookmarkEnd w:id="12"/>
      <w:r>
        <w:t xml:space="preserve">(two-year time lag rate ratio = 1.013, </w:t>
      </w:r>
      <w:r w:rsidRPr="00DF51FB">
        <w:t xml:space="preserve">Figure </w:t>
      </w:r>
      <w:r w:rsidR="0038235D">
        <w:t>2.</w:t>
      </w:r>
      <w:r w:rsidR="00700967">
        <w:t>3</w:t>
      </w:r>
      <w:r w:rsidRPr="00DF51FB">
        <w:t xml:space="preserve">, Table </w:t>
      </w:r>
      <w:r w:rsidR="002F1503">
        <w:t>2.2</w:t>
      </w:r>
      <w:r>
        <w:t xml:space="preserve">). </w:t>
      </w:r>
    </w:p>
    <w:p w14:paraId="1E83030E" w14:textId="0F304AAA"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 xml:space="preserve">Figure </w:t>
      </w:r>
      <w:r w:rsidR="0038235D">
        <w:t>2.</w:t>
      </w:r>
      <w:r w:rsidR="00700967">
        <w:t>3</w:t>
      </w:r>
      <w:r>
        <w:t xml:space="preserve">). </w:t>
      </w:r>
      <w:bookmarkStart w:id="13" w:name="_Hlk85437578"/>
      <w:r>
        <w:t>Increases in the producer prices of rice and cassava resulted in fewer predicted ELCs in the same year (no time lag rate ratio = 0.976) and two years later (two-year time lag rate ratio = 0.982), respectively</w:t>
      </w:r>
      <w:bookmarkEnd w:id="13"/>
      <w:r>
        <w:t xml:space="preserve">. The difference in the direction of the effect of rice producer prices in year </w:t>
      </w:r>
      <w:r>
        <w:rPr>
          <w:i/>
          <w:iCs/>
        </w:rPr>
        <w:t>t</w:t>
      </w:r>
      <w:r>
        <w:t xml:space="preserve"> and year </w:t>
      </w:r>
      <w:r>
        <w:rPr>
          <w:i/>
          <w:iCs/>
        </w:rPr>
        <w:t>t+2</w:t>
      </w:r>
      <w:r>
        <w:t xml:space="preserve"> (</w:t>
      </w:r>
      <w:r w:rsidRPr="00DF51FB">
        <w:t xml:space="preserve">Figure </w:t>
      </w:r>
      <w:r w:rsidR="0038235D">
        <w:t>2.</w:t>
      </w:r>
      <w:r w:rsidR="00700967">
        <w:t>3</w:t>
      </w:r>
      <w:r>
        <w:t xml:space="preserve">) suggests that there is a complex relationship between rice production and new </w:t>
      </w:r>
      <w:r>
        <w:lastRenderedPageBreak/>
        <w:t xml:space="preserve">ELC allocation. The negative relationship between the producer price of cassava and new ELC allocation was strong (two-year time lag rate ratio = 0.982, </w:t>
      </w:r>
      <w:r w:rsidRPr="00DF51FB">
        <w:t xml:space="preserve">Figure </w:t>
      </w:r>
      <w:r w:rsidR="0038235D">
        <w:t>2.</w:t>
      </w:r>
      <w:r w:rsidR="00700967">
        <w:t>3</w:t>
      </w:r>
      <w:r>
        <w:t xml:space="preserve">). </w:t>
      </w:r>
    </w:p>
    <w:p w14:paraId="7B392F78" w14:textId="5E7687E3" w:rsidR="009F455B" w:rsidRPr="00700967" w:rsidRDefault="009F455B" w:rsidP="009F455B">
      <w:pPr>
        <w:rPr>
          <w:b/>
          <w:bCs/>
        </w:rPr>
      </w:pPr>
      <w:r w:rsidRPr="00700967">
        <w:rPr>
          <w:b/>
          <w:bCs/>
        </w:rPr>
        <w:lastRenderedPageBreak/>
        <w:t xml:space="preserve">Table </w:t>
      </w:r>
      <w:r w:rsidR="004740E7" w:rsidRPr="00700967">
        <w:rPr>
          <w:b/>
          <w:bCs/>
        </w:rPr>
        <w:t>2</w:t>
      </w:r>
      <w:r w:rsidR="0038235D">
        <w:rPr>
          <w:b/>
          <w:bCs/>
        </w:rPr>
        <w:t>.2</w:t>
      </w:r>
      <w:r w:rsidRPr="00700967">
        <w:rPr>
          <w:b/>
          <w:bCs/>
        </w:rPr>
        <w:t xml:space="preserve">. </w:t>
      </w:r>
      <w:bookmarkStart w:id="14" w:name="_Hlk94422165"/>
      <w:r w:rsidRPr="00700967">
        <w:rPr>
          <w:b/>
          <w:bCs/>
        </w:rPr>
        <w:t>Parameter coefficients, standard errors, and rate ratios from the top model(s) in the analysis with rate of economic land concession allocation response</w:t>
      </w:r>
      <w:bookmarkEnd w:id="14"/>
      <w:r w:rsidRPr="00700967">
        <w:rPr>
          <w:b/>
          <w:bCs/>
        </w:rPr>
        <w:t>. Missing values denote predictor variables that were not selected in the top model(s) for that lag period.</w:t>
      </w:r>
      <w:r w:rsidR="00CC4F5A" w:rsidRPr="00700967">
        <w:rPr>
          <w:b/>
          <w:bCs/>
        </w:rPr>
        <w:t xml:space="preserve"> Coefficients are on the log scale. </w:t>
      </w:r>
      <w:r w:rsidR="00700967">
        <w:rPr>
          <w:b/>
          <w:bCs/>
        </w:rPr>
        <w:t>SE = Standard Error</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40DBA1D3" w:rsidR="009F455B" w:rsidRPr="00EC6C01" w:rsidRDefault="0014476F" w:rsidP="00AB26EE">
            <w:pPr>
              <w:spacing w:after="0" w:line="240" w:lineRule="auto"/>
              <w:rPr>
                <w:rFonts w:ascii="Calibri" w:eastAsia="Times New Roman" w:hAnsi="Calibri" w:cs="Calibri"/>
                <w:b/>
                <w:bCs/>
                <w:i/>
                <w:iCs/>
                <w:color w:val="000000"/>
                <w:sz w:val="20"/>
                <w:szCs w:val="20"/>
                <w:lang w:eastAsia="en-GB"/>
              </w:rPr>
            </w:pPr>
            <w:r>
              <w:rPr>
                <w:rFonts w:ascii="Calibri" w:eastAsia="Times New Roman" w:hAnsi="Calibri" w:cs="Calibri"/>
                <w:b/>
                <w:bCs/>
                <w:i/>
                <w:iCs/>
                <w:color w:val="000000"/>
                <w:sz w:val="20"/>
                <w:szCs w:val="20"/>
                <w:lang w:eastAsia="en-GB"/>
              </w:rPr>
              <w:t>E</w:t>
            </w:r>
            <w:r w:rsidR="009F455B" w:rsidRPr="00EC6C01">
              <w:rPr>
                <w:rFonts w:ascii="Calibri" w:eastAsia="Times New Roman" w:hAnsi="Calibri" w:cs="Calibri"/>
                <w:b/>
                <w:bCs/>
                <w:i/>
                <w:iCs/>
                <w:color w:val="000000"/>
                <w:sz w:val="20"/>
                <w:szCs w:val="20"/>
                <w:lang w:eastAsia="en-GB"/>
              </w:rPr>
              <w:t>conom</w:t>
            </w:r>
            <w:r>
              <w:rPr>
                <w:rFonts w:ascii="Calibri" w:eastAsia="Times New Roman" w:hAnsi="Calibri" w:cs="Calibri"/>
                <w:b/>
                <w:bCs/>
                <w:i/>
                <w:iCs/>
                <w:color w:val="000000"/>
                <w:sz w:val="20"/>
                <w:szCs w:val="20"/>
                <w:lang w:eastAsia="en-GB"/>
              </w:rPr>
              <w:t>y</w:t>
            </w:r>
            <w:r w:rsidR="009F455B" w:rsidRPr="00EC6C01">
              <w:rPr>
                <w:rFonts w:ascii="Calibri" w:eastAsia="Times New Roman" w:hAnsi="Calibri" w:cs="Calibri"/>
                <w:b/>
                <w:bCs/>
                <w:i/>
                <w:iCs/>
                <w:color w:val="000000"/>
                <w:sz w:val="20"/>
                <w:szCs w:val="20"/>
                <w:lang w:eastAsia="en-GB"/>
              </w:rPr>
              <w:t xml:space="preserve">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663FD86" w14:textId="28C0F6F7" w:rsidR="009F455B" w:rsidRPr="00C21A41" w:rsidRDefault="009F455B" w:rsidP="00C21A41">
      <w:pPr>
        <w:spacing w:after="0" w:line="240" w:lineRule="auto"/>
        <w:rPr>
          <w:sz w:val="18"/>
          <w:szCs w:val="18"/>
        </w:rPr>
        <w:sectPr w:rsidR="009F455B" w:rsidRPr="00C21A41" w:rsidSect="009F455B">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00700967">
        <w:rPr>
          <w:sz w:val="18"/>
          <w:szCs w:val="18"/>
        </w:rPr>
        <w:t>)</w:t>
      </w:r>
    </w:p>
    <w:p w14:paraId="7F7D41BA" w14:textId="07406626" w:rsidR="004740E7" w:rsidRDefault="000D74DE" w:rsidP="009F455B">
      <w:pPr>
        <w:rPr>
          <w:b/>
          <w:bCs/>
          <w:sz w:val="20"/>
          <w:szCs w:val="20"/>
        </w:rPr>
      </w:pPr>
      <w:r>
        <w:rPr>
          <w:noProof/>
        </w:rPr>
        <w:lastRenderedPageBreak/>
        <w:drawing>
          <wp:anchor distT="0" distB="0" distL="114300" distR="114300" simplePos="0" relativeHeight="251665408" behindDoc="1" locked="0" layoutInCell="1" allowOverlap="1" wp14:anchorId="3F460F4C" wp14:editId="0BBF739F">
            <wp:simplePos x="0" y="0"/>
            <wp:positionH relativeFrom="column">
              <wp:posOffset>-99060</wp:posOffset>
            </wp:positionH>
            <wp:positionV relativeFrom="paragraph">
              <wp:posOffset>7620</wp:posOffset>
            </wp:positionV>
            <wp:extent cx="6164580" cy="6164580"/>
            <wp:effectExtent l="0" t="0" r="7620" b="762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4580" cy="616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EFCC3" w14:textId="11691467" w:rsidR="009F455B" w:rsidRDefault="009F455B" w:rsidP="009F455B">
      <w:pPr>
        <w:rPr>
          <w:b/>
          <w:bCs/>
          <w:sz w:val="20"/>
          <w:szCs w:val="20"/>
        </w:rPr>
      </w:pPr>
    </w:p>
    <w:p w14:paraId="31D7DDA7" w14:textId="77777777" w:rsidR="000D74DE" w:rsidRDefault="000D74DE" w:rsidP="009F455B">
      <w:pPr>
        <w:rPr>
          <w:b/>
          <w:bCs/>
        </w:rPr>
      </w:pPr>
    </w:p>
    <w:p w14:paraId="79B43E4F" w14:textId="77777777" w:rsidR="000D74DE" w:rsidRDefault="000D74DE" w:rsidP="009F455B">
      <w:pPr>
        <w:rPr>
          <w:b/>
          <w:bCs/>
        </w:rPr>
      </w:pPr>
    </w:p>
    <w:p w14:paraId="06FE87C1" w14:textId="77777777" w:rsidR="000D74DE" w:rsidRDefault="000D74DE" w:rsidP="009F455B">
      <w:pPr>
        <w:rPr>
          <w:b/>
          <w:bCs/>
        </w:rPr>
      </w:pPr>
    </w:p>
    <w:p w14:paraId="453A2D3B" w14:textId="77777777" w:rsidR="000D74DE" w:rsidRDefault="000D74DE" w:rsidP="009F455B">
      <w:pPr>
        <w:rPr>
          <w:b/>
          <w:bCs/>
        </w:rPr>
      </w:pPr>
    </w:p>
    <w:p w14:paraId="085091B2" w14:textId="77777777" w:rsidR="000D74DE" w:rsidRDefault="000D74DE" w:rsidP="009F455B">
      <w:pPr>
        <w:rPr>
          <w:b/>
          <w:bCs/>
        </w:rPr>
      </w:pPr>
    </w:p>
    <w:p w14:paraId="02452BE0" w14:textId="77777777" w:rsidR="000D74DE" w:rsidRDefault="000D74DE" w:rsidP="009F455B">
      <w:pPr>
        <w:rPr>
          <w:b/>
          <w:bCs/>
        </w:rPr>
      </w:pPr>
    </w:p>
    <w:p w14:paraId="45C90363" w14:textId="77777777" w:rsidR="000D74DE" w:rsidRDefault="000D74DE" w:rsidP="009F455B">
      <w:pPr>
        <w:rPr>
          <w:b/>
          <w:bCs/>
        </w:rPr>
      </w:pPr>
    </w:p>
    <w:p w14:paraId="01FEDED4" w14:textId="77777777" w:rsidR="000D74DE" w:rsidRDefault="000D74DE" w:rsidP="009F455B">
      <w:pPr>
        <w:rPr>
          <w:b/>
          <w:bCs/>
        </w:rPr>
      </w:pPr>
    </w:p>
    <w:p w14:paraId="6F33CF4D" w14:textId="77777777" w:rsidR="000D74DE" w:rsidRDefault="000D74DE" w:rsidP="009F455B">
      <w:pPr>
        <w:rPr>
          <w:b/>
          <w:bCs/>
        </w:rPr>
      </w:pPr>
    </w:p>
    <w:p w14:paraId="167ECA2B" w14:textId="77777777" w:rsidR="000D74DE" w:rsidRDefault="000D74DE" w:rsidP="009F455B">
      <w:pPr>
        <w:rPr>
          <w:b/>
          <w:bCs/>
        </w:rPr>
      </w:pPr>
    </w:p>
    <w:p w14:paraId="4534249B" w14:textId="77777777" w:rsidR="000D74DE" w:rsidRDefault="000D74DE" w:rsidP="009F455B">
      <w:pPr>
        <w:rPr>
          <w:b/>
          <w:bCs/>
        </w:rPr>
      </w:pPr>
    </w:p>
    <w:p w14:paraId="01487B63" w14:textId="77777777" w:rsidR="000D74DE" w:rsidRDefault="000D74DE" w:rsidP="009F455B">
      <w:pPr>
        <w:rPr>
          <w:b/>
          <w:bCs/>
        </w:rPr>
      </w:pPr>
    </w:p>
    <w:p w14:paraId="55570B46" w14:textId="77777777" w:rsidR="000D74DE" w:rsidRDefault="000D74DE" w:rsidP="009F455B">
      <w:pPr>
        <w:rPr>
          <w:b/>
          <w:bCs/>
        </w:rPr>
      </w:pPr>
    </w:p>
    <w:p w14:paraId="639BFF1B" w14:textId="77777777" w:rsidR="000D74DE" w:rsidRDefault="000D74DE" w:rsidP="009F455B">
      <w:pPr>
        <w:rPr>
          <w:b/>
          <w:bCs/>
        </w:rPr>
      </w:pPr>
    </w:p>
    <w:p w14:paraId="17C24EEA" w14:textId="77777777" w:rsidR="000D74DE" w:rsidRDefault="000D74DE" w:rsidP="009F455B">
      <w:pPr>
        <w:rPr>
          <w:b/>
          <w:bCs/>
        </w:rPr>
      </w:pPr>
    </w:p>
    <w:p w14:paraId="60F8CA3C" w14:textId="77777777" w:rsidR="000D74DE" w:rsidRDefault="000D74DE" w:rsidP="009F455B">
      <w:pPr>
        <w:rPr>
          <w:b/>
          <w:bCs/>
        </w:rPr>
      </w:pPr>
    </w:p>
    <w:p w14:paraId="3637B6BC" w14:textId="77777777" w:rsidR="000D74DE" w:rsidRDefault="000D74DE" w:rsidP="009F455B">
      <w:pPr>
        <w:rPr>
          <w:b/>
          <w:bCs/>
        </w:rPr>
      </w:pPr>
    </w:p>
    <w:p w14:paraId="093ECF54" w14:textId="77777777" w:rsidR="000D74DE" w:rsidRDefault="000D74DE" w:rsidP="009F455B">
      <w:pPr>
        <w:rPr>
          <w:b/>
          <w:bCs/>
        </w:rPr>
      </w:pPr>
    </w:p>
    <w:p w14:paraId="445C44F7" w14:textId="77777777" w:rsidR="000D74DE" w:rsidRDefault="000D74DE" w:rsidP="009F455B">
      <w:pPr>
        <w:rPr>
          <w:b/>
          <w:bCs/>
        </w:rPr>
      </w:pPr>
    </w:p>
    <w:p w14:paraId="6A545877" w14:textId="77777777" w:rsidR="000D74DE" w:rsidRDefault="000D74DE" w:rsidP="009F455B">
      <w:pPr>
        <w:rPr>
          <w:b/>
          <w:bCs/>
        </w:rPr>
      </w:pPr>
    </w:p>
    <w:p w14:paraId="767F451E" w14:textId="4DACC806" w:rsidR="009F455B" w:rsidRPr="00966433" w:rsidRDefault="009F455B" w:rsidP="009F455B">
      <w:pPr>
        <w:rPr>
          <w:b/>
          <w:bCs/>
          <w:i/>
          <w:iCs/>
        </w:rPr>
      </w:pPr>
      <w:r w:rsidRPr="00966433">
        <w:rPr>
          <w:b/>
          <w:bCs/>
        </w:rPr>
        <w:t xml:space="preserve">Figure </w:t>
      </w:r>
      <w:r w:rsidR="0038235D">
        <w:rPr>
          <w:b/>
          <w:bCs/>
        </w:rPr>
        <w:t>2.</w:t>
      </w:r>
      <w:r w:rsidR="00700967" w:rsidRPr="00966433">
        <w:rPr>
          <w:b/>
          <w:bCs/>
        </w:rPr>
        <w:t>1</w:t>
      </w:r>
      <w:r w:rsidRPr="00966433">
        <w:rPr>
          <w:b/>
          <w:bCs/>
        </w:rPr>
        <w:t xml:space="preserve">. </w:t>
      </w:r>
      <w:bookmarkStart w:id="15" w:name="_Hlk94422088"/>
      <w:r w:rsidRPr="00966433">
        <w:rPr>
          <w:b/>
          <w:bCs/>
        </w:rPr>
        <w:t xml:space="preserve">Modelled relationships between economic predictors and the allocation of new economic land concessions </w:t>
      </w:r>
      <w:bookmarkEnd w:id="15"/>
      <w:r w:rsidRPr="00966433">
        <w:rPr>
          <w:b/>
          <w:bCs/>
        </w:rPr>
        <w:t xml:space="preserve">in Cambodia between 1993 – 2015. </w:t>
      </w:r>
      <w:r w:rsidR="004740E7" w:rsidRPr="00966433">
        <w:rPr>
          <w:b/>
          <w:bCs/>
        </w:rPr>
        <w:t xml:space="preserve">Points are the observed data, black lines are model predictions, and coloured ribbons are 95% confidence intervals. </w:t>
      </w:r>
      <w:r w:rsidRPr="00966433">
        <w:rPr>
          <w:b/>
          <w:bCs/>
        </w:rPr>
        <w:t>Top row: no time lag between predictor and response; middle row: 1-year time lag between predictor and response; bottom row: 2-year time lag between predictor and response.</w:t>
      </w:r>
      <w:r w:rsidR="00C65931" w:rsidRPr="00966433">
        <w:rPr>
          <w:b/>
          <w:bCs/>
        </w:rPr>
        <w:t xml:space="preserve"> </w:t>
      </w:r>
      <w:r w:rsidR="003D5F3C" w:rsidRPr="00966433">
        <w:rPr>
          <w:b/>
          <w:bCs/>
        </w:rPr>
        <w:t xml:space="preserve">Models had Poisson error structures with a log link; points and predictions were </w:t>
      </w:r>
      <w:proofErr w:type="gramStart"/>
      <w:r w:rsidR="003D5F3C" w:rsidRPr="00966433">
        <w:rPr>
          <w:b/>
          <w:bCs/>
        </w:rPr>
        <w:t>back-transformed</w:t>
      </w:r>
      <w:proofErr w:type="gramEnd"/>
      <w:r w:rsidR="003D5F3C" w:rsidRPr="00966433">
        <w:rPr>
          <w:b/>
          <w:bCs/>
        </w:rPr>
        <w:t xml:space="preserve"> to the original scale for plotting above.</w:t>
      </w:r>
    </w:p>
    <w:p w14:paraId="0B8B9054" w14:textId="0DCF179B" w:rsidR="009F455B" w:rsidRDefault="009F455B" w:rsidP="009F455B">
      <w:pPr>
        <w:rPr>
          <w:b/>
          <w:bCs/>
          <w:i/>
          <w:iCs/>
        </w:rPr>
      </w:pPr>
    </w:p>
    <w:p w14:paraId="5CC95FC9" w14:textId="5C299FC0" w:rsidR="00700967" w:rsidRDefault="00700967" w:rsidP="009F455B">
      <w:pPr>
        <w:rPr>
          <w:b/>
          <w:bCs/>
          <w:i/>
          <w:iCs/>
        </w:rPr>
      </w:pPr>
    </w:p>
    <w:p w14:paraId="43E2613E" w14:textId="5EB94EDB" w:rsidR="003D3198" w:rsidRDefault="003D3198" w:rsidP="009F455B">
      <w:pPr>
        <w:rPr>
          <w:b/>
          <w:bCs/>
          <w:i/>
          <w:iCs/>
        </w:rPr>
      </w:pPr>
    </w:p>
    <w:p w14:paraId="0612FE68" w14:textId="77777777" w:rsidR="003D3198" w:rsidRDefault="003D3198" w:rsidP="009F455B">
      <w:pPr>
        <w:rPr>
          <w:b/>
          <w:bCs/>
          <w:i/>
          <w:iCs/>
        </w:rPr>
      </w:pPr>
    </w:p>
    <w:p w14:paraId="4EFA9070" w14:textId="0B8B634D" w:rsidR="009F455B" w:rsidRDefault="000D74DE" w:rsidP="009F455B">
      <w:pPr>
        <w:rPr>
          <w:b/>
          <w:bCs/>
          <w:i/>
          <w:iCs/>
        </w:rPr>
      </w:pPr>
      <w:r>
        <w:rPr>
          <w:noProof/>
        </w:rPr>
        <w:lastRenderedPageBreak/>
        <w:drawing>
          <wp:anchor distT="0" distB="0" distL="114300" distR="114300" simplePos="0" relativeHeight="251664384" behindDoc="1" locked="0" layoutInCell="1" allowOverlap="1" wp14:anchorId="350B6B57" wp14:editId="1BCC1FC6">
            <wp:simplePos x="0" y="0"/>
            <wp:positionH relativeFrom="column">
              <wp:posOffset>-83820</wp:posOffset>
            </wp:positionH>
            <wp:positionV relativeFrom="paragraph">
              <wp:posOffset>30480</wp:posOffset>
            </wp:positionV>
            <wp:extent cx="6446520" cy="6446520"/>
            <wp:effectExtent l="0" t="0" r="0" b="0"/>
            <wp:wrapNone/>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3EC87" w14:textId="248132ED" w:rsidR="009F455B" w:rsidRDefault="009F455B" w:rsidP="009F455B">
      <w:pPr>
        <w:rPr>
          <w:b/>
          <w:bCs/>
          <w:i/>
          <w:iCs/>
        </w:rPr>
      </w:pP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3D6EB1A5" w14:textId="06F9C449" w:rsidR="009F455B" w:rsidRPr="00966433" w:rsidRDefault="009F455B" w:rsidP="009F455B">
      <w:pPr>
        <w:rPr>
          <w:b/>
          <w:bCs/>
        </w:rPr>
      </w:pPr>
      <w:r w:rsidRPr="00966433">
        <w:rPr>
          <w:b/>
          <w:bCs/>
        </w:rPr>
        <w:t xml:space="preserve">Figure </w:t>
      </w:r>
      <w:r w:rsidR="00700967" w:rsidRPr="00966433">
        <w:rPr>
          <w:b/>
          <w:bCs/>
        </w:rPr>
        <w:t>2</w:t>
      </w:r>
      <w:r w:rsidR="0038235D">
        <w:rPr>
          <w:b/>
          <w:bCs/>
        </w:rPr>
        <w:t>.2</w:t>
      </w:r>
      <w:r w:rsidRPr="00966433">
        <w:rPr>
          <w:b/>
          <w:bCs/>
        </w:rPr>
        <w:t xml:space="preserve">. </w:t>
      </w:r>
      <w:bookmarkStart w:id="16" w:name="_Hlk94422115"/>
      <w:r w:rsidRPr="00966433">
        <w:rPr>
          <w:b/>
          <w:bCs/>
        </w:rPr>
        <w:t xml:space="preserve">Modelled relationships between commodity price predictors and the allocation of new economic land concessions </w:t>
      </w:r>
      <w:bookmarkEnd w:id="16"/>
      <w:r w:rsidRPr="00966433">
        <w:rPr>
          <w:b/>
          <w:bCs/>
        </w:rPr>
        <w:t xml:space="preserve">in Cambodia between 1993 – 2015. </w:t>
      </w:r>
      <w:r w:rsidR="000D74DE">
        <w:rPr>
          <w:b/>
          <w:bCs/>
        </w:rPr>
        <w:t>All x axis values are in US dollars</w:t>
      </w:r>
      <w:r w:rsidR="008C3939">
        <w:rPr>
          <w:b/>
          <w:bCs/>
        </w:rPr>
        <w:t>/ton</w:t>
      </w:r>
      <w:r w:rsidR="000D74DE">
        <w:rPr>
          <w:b/>
          <w:bCs/>
        </w:rPr>
        <w:t xml:space="preserve">. </w:t>
      </w:r>
      <w:r w:rsidR="004740E7" w:rsidRPr="00966433">
        <w:rPr>
          <w:b/>
          <w:bCs/>
        </w:rPr>
        <w:t xml:space="preserve">Points are the observed data, black lines are model predictions, and coloured ribbons are 95% confidence intervals. </w:t>
      </w:r>
      <w:r w:rsidRPr="00966433">
        <w:rPr>
          <w:b/>
          <w:bCs/>
        </w:rPr>
        <w:t>Top two rows: no time lag between predictor and response; third row: 1-year time lag between predictor and response; bottom row: 2-year time lag between predictor and response.</w:t>
      </w:r>
      <w:r w:rsidR="00DE2591" w:rsidRPr="00966433">
        <w:rPr>
          <w:b/>
          <w:bCs/>
        </w:rPr>
        <w:t xml:space="preserve"> </w:t>
      </w:r>
      <w:r w:rsidR="003D5F3C" w:rsidRPr="00966433">
        <w:rPr>
          <w:b/>
          <w:bCs/>
        </w:rPr>
        <w:t xml:space="preserve">Models had Poisson error structures with a log link; points and predictions were </w:t>
      </w:r>
      <w:proofErr w:type="gramStart"/>
      <w:r w:rsidR="003D5F3C" w:rsidRPr="00966433">
        <w:rPr>
          <w:b/>
          <w:bCs/>
        </w:rPr>
        <w:t>back-transformed</w:t>
      </w:r>
      <w:proofErr w:type="gramEnd"/>
      <w:r w:rsidR="003D5F3C" w:rsidRPr="00966433">
        <w:rPr>
          <w:b/>
          <w:bCs/>
        </w:rPr>
        <w:t xml:space="preserve"> to the original scale for plotting above.</w:t>
      </w:r>
    </w:p>
    <w:p w14:paraId="7F555BF9" w14:textId="77777777" w:rsidR="009F455B" w:rsidRDefault="009F455B" w:rsidP="009F455B">
      <w:pPr>
        <w:rPr>
          <w:b/>
          <w:bCs/>
          <w:i/>
          <w:iCs/>
        </w:rPr>
      </w:pPr>
    </w:p>
    <w:p w14:paraId="08B66489" w14:textId="346C90FD" w:rsidR="009F455B" w:rsidRDefault="009F455B" w:rsidP="009F455B">
      <w:pPr>
        <w:rPr>
          <w:b/>
          <w:bCs/>
          <w:i/>
          <w:iCs/>
        </w:rPr>
      </w:pPr>
    </w:p>
    <w:p w14:paraId="44031420" w14:textId="4527DDC6" w:rsidR="00700967" w:rsidRDefault="00700967" w:rsidP="009F455B">
      <w:pPr>
        <w:rPr>
          <w:b/>
          <w:bCs/>
          <w:i/>
          <w:iCs/>
        </w:rPr>
      </w:pPr>
    </w:p>
    <w:p w14:paraId="2573E014" w14:textId="1B37C59E" w:rsidR="00700967" w:rsidRDefault="008C3939" w:rsidP="009F455B">
      <w:pPr>
        <w:rPr>
          <w:b/>
          <w:bCs/>
          <w:i/>
          <w:iCs/>
        </w:rPr>
      </w:pPr>
      <w:r>
        <w:rPr>
          <w:noProof/>
        </w:rPr>
        <w:lastRenderedPageBreak/>
        <w:drawing>
          <wp:anchor distT="0" distB="0" distL="114300" distR="114300" simplePos="0" relativeHeight="251666432" behindDoc="1" locked="0" layoutInCell="1" allowOverlap="1" wp14:anchorId="1805584D" wp14:editId="6595D42D">
            <wp:simplePos x="0" y="0"/>
            <wp:positionH relativeFrom="column">
              <wp:posOffset>-200025</wp:posOffset>
            </wp:positionH>
            <wp:positionV relativeFrom="paragraph">
              <wp:posOffset>9525</wp:posOffset>
            </wp:positionV>
            <wp:extent cx="6115050" cy="6115050"/>
            <wp:effectExtent l="0" t="0" r="0" b="0"/>
            <wp:wrapNone/>
            <wp:docPr id="8" name="Picture 8"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B7FA9" w14:textId="63890954" w:rsidR="009F455B" w:rsidRDefault="009F455B" w:rsidP="009F455B">
      <w:pPr>
        <w:rPr>
          <w:b/>
          <w:bCs/>
          <w:i/>
          <w:iCs/>
        </w:rPr>
      </w:pP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0CCD1F22" w:rsidR="009F455B" w:rsidRPr="00966433" w:rsidRDefault="009F455B" w:rsidP="009F455B">
      <w:pPr>
        <w:rPr>
          <w:b/>
          <w:bCs/>
        </w:rPr>
      </w:pPr>
      <w:r w:rsidRPr="00966433">
        <w:rPr>
          <w:b/>
          <w:bCs/>
        </w:rPr>
        <w:t xml:space="preserve">Figure </w:t>
      </w:r>
      <w:r w:rsidR="0038235D">
        <w:rPr>
          <w:b/>
          <w:bCs/>
        </w:rPr>
        <w:t>2.</w:t>
      </w:r>
      <w:r w:rsidR="00700967" w:rsidRPr="00966433">
        <w:rPr>
          <w:b/>
          <w:bCs/>
        </w:rPr>
        <w:t>3</w:t>
      </w:r>
      <w:r w:rsidRPr="00966433">
        <w:rPr>
          <w:b/>
          <w:bCs/>
        </w:rPr>
        <w:t xml:space="preserve">. </w:t>
      </w:r>
      <w:bookmarkStart w:id="17" w:name="_Hlk94422137"/>
      <w:r w:rsidRPr="00966433">
        <w:rPr>
          <w:b/>
          <w:bCs/>
        </w:rPr>
        <w:t xml:space="preserve">Modelled relationships between producer price predictors and the allocation of new economic land concessions </w:t>
      </w:r>
      <w:bookmarkEnd w:id="17"/>
      <w:r w:rsidRPr="00966433">
        <w:rPr>
          <w:b/>
          <w:bCs/>
        </w:rPr>
        <w:t xml:space="preserve">Cambodia between 1993 – 2015. </w:t>
      </w:r>
      <w:r w:rsidR="008C3939">
        <w:rPr>
          <w:b/>
          <w:bCs/>
        </w:rPr>
        <w:t>All x axis values are in US dollars/ton.</w:t>
      </w:r>
      <w:r w:rsidR="008C3939" w:rsidRPr="00966433">
        <w:rPr>
          <w:b/>
          <w:bCs/>
        </w:rPr>
        <w:t xml:space="preserve"> </w:t>
      </w:r>
      <w:r w:rsidR="004740E7" w:rsidRPr="00966433">
        <w:rPr>
          <w:b/>
          <w:bCs/>
        </w:rPr>
        <w:t xml:space="preserve">Points are the observed data, black lines are model predictions, and coloured ribbons are 95% confidence intervals. </w:t>
      </w:r>
      <w:r w:rsidRPr="00966433">
        <w:rPr>
          <w:b/>
          <w:bCs/>
        </w:rPr>
        <w:t>Top row: no time lag between predictor and response; middle row: 1-year time lag between predictor and response; bottom row: 2-year time lag between predictor and response.</w:t>
      </w:r>
      <w:r w:rsidR="00DE2591" w:rsidRPr="00966433">
        <w:rPr>
          <w:b/>
          <w:bCs/>
        </w:rPr>
        <w:t xml:space="preserve"> Models had Poisson error structures with a log link</w:t>
      </w:r>
      <w:r w:rsidR="003D5F3C" w:rsidRPr="00966433">
        <w:rPr>
          <w:b/>
          <w:bCs/>
        </w:rPr>
        <w:t>;</w:t>
      </w:r>
      <w:r w:rsidR="00DE2591" w:rsidRPr="00966433">
        <w:rPr>
          <w:b/>
          <w:bCs/>
        </w:rPr>
        <w:t xml:space="preserve"> points and predictions were </w:t>
      </w:r>
      <w:proofErr w:type="gramStart"/>
      <w:r w:rsidR="00DE2591" w:rsidRPr="00966433">
        <w:rPr>
          <w:b/>
          <w:bCs/>
        </w:rPr>
        <w:t>back-transformed</w:t>
      </w:r>
      <w:proofErr w:type="gramEnd"/>
      <w:r w:rsidR="00DE2591" w:rsidRPr="00966433">
        <w:rPr>
          <w:b/>
          <w:bCs/>
        </w:rPr>
        <w:t xml:space="preserve"> to the original scale for plotting above.</w:t>
      </w:r>
      <w:r w:rsidR="003D5F3C" w:rsidRPr="00966433">
        <w:rPr>
          <w:b/>
          <w:bCs/>
        </w:rPr>
        <w:t xml:space="preserve"> </w:t>
      </w:r>
    </w:p>
    <w:p w14:paraId="56EC1239" w14:textId="77777777" w:rsidR="00EC7AAF" w:rsidRDefault="00EC7AAF" w:rsidP="000A46B5">
      <w:pPr>
        <w:rPr>
          <w:b/>
          <w:bCs/>
        </w:rPr>
      </w:pPr>
    </w:p>
    <w:p w14:paraId="5F6C1434" w14:textId="078C8F11" w:rsidR="002E4677" w:rsidRDefault="000A0B92" w:rsidP="000A46B5">
      <w:pPr>
        <w:rPr>
          <w:b/>
          <w:bCs/>
        </w:rPr>
      </w:pPr>
      <w:r>
        <w:rPr>
          <w:b/>
          <w:bCs/>
        </w:rPr>
        <w:t xml:space="preserve">2.4 </w:t>
      </w:r>
      <w:r w:rsidR="002E4677" w:rsidRPr="002E4677">
        <w:rPr>
          <w:b/>
          <w:bCs/>
        </w:rPr>
        <w:t>D</w:t>
      </w:r>
      <w:r>
        <w:rPr>
          <w:b/>
          <w:bCs/>
        </w:rPr>
        <w:t>ISCUSSION</w:t>
      </w:r>
    </w:p>
    <w:p w14:paraId="135FC9CB" w14:textId="2EC4557B" w:rsidR="00046338" w:rsidRDefault="006F2311" w:rsidP="00965D4A">
      <w:r>
        <w:t xml:space="preserve">In this study, </w:t>
      </w:r>
      <w:r w:rsidR="00D55D54">
        <w:t>I</w:t>
      </w:r>
      <w:r>
        <w:t xml:space="preserve"> have modelled the relationships between </w:t>
      </w:r>
      <w:r w:rsidR="00287C4F">
        <w:t xml:space="preserve">metrics of </w:t>
      </w:r>
      <w:r w:rsidR="0014476F">
        <w:t>economic</w:t>
      </w:r>
      <w:r w:rsidR="00287C4F">
        <w:t xml:space="preserve"> development</w:t>
      </w:r>
      <w:r w:rsidR="0014476F">
        <w:t xml:space="preserve"> and </w:t>
      </w:r>
      <w:r w:rsidR="00287C4F">
        <w:t xml:space="preserve">the </w:t>
      </w:r>
      <w:r w:rsidR="0014476F">
        <w:t xml:space="preserve">agricultural </w:t>
      </w:r>
      <w:r w:rsidR="00287C4F">
        <w:t>sector</w:t>
      </w:r>
      <w:r w:rsidR="00BB787D">
        <w:t>,</w:t>
      </w:r>
      <w:r>
        <w:t xml:space="preserve"> and forest loss</w:t>
      </w:r>
      <w:r w:rsidR="00381FF1">
        <w:t xml:space="preserve"> </w:t>
      </w:r>
      <w:r>
        <w:t xml:space="preserve">and the development of </w:t>
      </w:r>
      <w:r w:rsidR="001B2E6F">
        <w:t>industrial-scale agriculture</w:t>
      </w:r>
      <w:r>
        <w:t xml:space="preserve">. </w:t>
      </w:r>
      <w:r w:rsidR="00287C4F">
        <w:t xml:space="preserve">My analysis has revealed some important relationships between changes in the national economy and the </w:t>
      </w:r>
      <w:r w:rsidR="00287C4F">
        <w:lastRenderedPageBreak/>
        <w:t xml:space="preserve">growth of the commercial agriculture sector, from which I can make inferences regarding drivers of forest loss.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C20340">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Topics","event-place":"Leifsgade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3C8E1423" w14:textId="004E758B" w:rsidR="00AD3F12" w:rsidRPr="00965D4A" w:rsidRDefault="00965D4A" w:rsidP="006F2311">
      <w:pPr>
        <w:rPr>
          <w:b/>
          <w:bCs/>
          <w:i/>
          <w:iCs/>
        </w:rPr>
      </w:pPr>
      <w:r w:rsidRPr="00965D4A">
        <w:rPr>
          <w:b/>
          <w:bCs/>
          <w:i/>
          <w:iCs/>
        </w:rPr>
        <w:t xml:space="preserve">2.4.1 </w:t>
      </w:r>
      <w:r w:rsidR="00AD3F12" w:rsidRPr="00965D4A">
        <w:rPr>
          <w:b/>
          <w:bCs/>
          <w:i/>
          <w:iCs/>
        </w:rPr>
        <w:t>New E</w:t>
      </w:r>
      <w:r>
        <w:rPr>
          <w:b/>
          <w:bCs/>
          <w:i/>
          <w:iCs/>
        </w:rPr>
        <w:t>conomic Land Concessions</w:t>
      </w:r>
    </w:p>
    <w:p w14:paraId="79089BA6" w14:textId="19830B23" w:rsidR="003205E2" w:rsidRDefault="006F2311" w:rsidP="006F2311">
      <w:r>
        <w:t xml:space="preserve">In contrast, the economic </w:t>
      </w:r>
      <w:r w:rsidR="0014476F">
        <w:t xml:space="preserve">and agricultural commodity </w:t>
      </w:r>
      <w:r>
        <w:t xml:space="preserve">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AD1588">
        <w:instrText xml:space="preserve"> ADDIN ZOTERO_ITEM CSL_CITATION {"citationID":"usbYIFKC","properties":{"formattedCitation":"(Neef et al. 2013; Oldenburg &amp; Neef 2014; Watson et al. 2014; Davis et al. 2015; Beauchamp et al. 2018; Magliocca et al. 2019)","plainCitation":"(Neef et al. 2013; Oldenburg &amp; Neef 2014; Watson et al. 2014; Davis et al. 2015; Beauchamp et al. 2018; Magliocca et al. 2019)","noteIndex":0},"citationItems":[{"id":2486,"uris":["http://zotero.org/users/2170232/items/2HCRAVQT"],"uri":["http://zotero.org/users/2170232/items/2HCRAVQT"],"itemData":{"id":2486,"type":"article-journal","abstract":"In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A."},{"family":"Bremond","given":"Ariane","non-dropping-particle":"de"}],"accessed":{"date-parts":[["2021",12,6]]},"issued":{"date-parts":[["2019"]]}}}],"schema":"https://github.com/citation-style-language/schema/raw/master/csl-citation.json"} </w:instrText>
      </w:r>
      <w:r>
        <w:fldChar w:fldCharType="separate"/>
      </w:r>
      <w:r w:rsidR="00AD1588" w:rsidRPr="00AD1588">
        <w:rPr>
          <w:rFonts w:ascii="Calibri" w:hAnsi="Calibri" w:cs="Calibri"/>
        </w:rPr>
        <w:t>(Neef et al. 2013; Oldenburg &amp; Neef 2014; Watson et al. 2014; Davis et al. 2015; Beauchamp et al. 2018; Magliocca et al. 2019)</w:t>
      </w:r>
      <w:r>
        <w:fldChar w:fldCharType="end"/>
      </w:r>
      <w:r>
        <w:t xml:space="preserve">. Therefore, ELCs themselves can be considered direct drivers of forest loss, </w:t>
      </w:r>
      <w:r w:rsidR="00AD1588">
        <w:t>which may mean that</w:t>
      </w:r>
      <w:r>
        <w:t xml:space="preserve"> the </w:t>
      </w:r>
      <w:r w:rsidR="0014476F">
        <w:t xml:space="preserve">economic and agricultural commodity </w:t>
      </w:r>
      <w:r>
        <w:t>predictors</w:t>
      </w:r>
      <w:r w:rsidR="00AD1588">
        <w:t xml:space="preserve"> are indeed</w:t>
      </w:r>
      <w:r>
        <w:t xml:space="preserve"> indirect drivers. </w:t>
      </w:r>
      <w:r w:rsidR="00376731">
        <w:t>My</w:t>
      </w:r>
      <w:r>
        <w:t xml:space="preserve">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 </w:t>
      </w:r>
      <w:r w:rsidR="00EC7AAF">
        <w:t>These effects suggest ties between both the development of new ELCs and the growth of the agricultural sector, and the injection of foreign wealth into the sector via the purchasing of concessions by international companies.</w:t>
      </w:r>
    </w:p>
    <w:p w14:paraId="2B72F5CE" w14:textId="62604993" w:rsidR="0089542A" w:rsidRPr="0089542A" w:rsidRDefault="00965D4A" w:rsidP="00801E63">
      <w:pPr>
        <w:rPr>
          <w:i/>
          <w:iCs/>
        </w:rPr>
      </w:pPr>
      <w:r>
        <w:rPr>
          <w:i/>
          <w:iCs/>
        </w:rPr>
        <w:t xml:space="preserve">2.4.1.1 </w:t>
      </w:r>
      <w:r w:rsidR="0089542A" w:rsidRPr="0089542A">
        <w:rPr>
          <w:i/>
          <w:iCs/>
        </w:rPr>
        <w:t xml:space="preserve">Economics </w:t>
      </w:r>
    </w:p>
    <w:p w14:paraId="359D150E" w14:textId="5599FE21" w:rsidR="00201C8C" w:rsidRDefault="006F2311" w:rsidP="006F2311">
      <w:r>
        <w:t xml:space="preserve">There were clear relationships between the size of the agricultural sector, the rates of foreign investment, and the number of new ELCs. </w:t>
      </w:r>
      <w:r w:rsidR="00B82439">
        <w:t>When the agricultural sector’s contribution to national GDP increase</w:t>
      </w:r>
      <w:r w:rsidR="00BB787D">
        <w:t>d</w:t>
      </w:r>
      <w:r w:rsidR="00B82439">
        <w:t>, so d</w:t>
      </w:r>
      <w:r w:rsidR="00BB787D">
        <w:t>id</w:t>
      </w:r>
      <w:r w:rsidR="00B82439">
        <w:t xml:space="preserve"> the predicted number of new ELCs. </w:t>
      </w:r>
      <w:r w:rsidR="00801E63">
        <w:t xml:space="preserve">For example, when the agricultural sector’s </w:t>
      </w:r>
      <w:r w:rsidR="00B82439">
        <w:t>GDP proportion</w:t>
      </w:r>
      <w:r w:rsidR="00801E63">
        <w:t xml:space="preserve"> decrease</w:t>
      </w:r>
      <w:r w:rsidR="00F60630">
        <w:t>d</w:t>
      </w:r>
      <w:r w:rsidR="00801E63">
        <w:t xml:space="preserve"> by 3% </w:t>
      </w:r>
      <w:proofErr w:type="gramStart"/>
      <w:r w:rsidR="00801E63">
        <w:t>in a given year</w:t>
      </w:r>
      <w:proofErr w:type="gramEnd"/>
      <w:r w:rsidR="00801E63">
        <w:t xml:space="preserve"> relative to the previous year, the number of new ELCs allocated that year is predicted to be approximately </w:t>
      </w:r>
      <w:r w:rsidR="00BB787D">
        <w:t>two</w:t>
      </w:r>
      <w:r w:rsidR="00801E63">
        <w:t>, whereas when the sector’s</w:t>
      </w:r>
      <w:r w:rsidR="00B82439">
        <w:t xml:space="preserve"> GDP</w:t>
      </w:r>
      <w:r w:rsidR="00801E63">
        <w:t xml:space="preserve"> proportion</w:t>
      </w:r>
      <w:r w:rsidR="00B82439">
        <w:t xml:space="preserve"> </w:t>
      </w:r>
      <w:r w:rsidR="00801E63">
        <w:t>increase</w:t>
      </w:r>
      <w:r w:rsidR="00F60630">
        <w:t>d</w:t>
      </w:r>
      <w:r w:rsidR="00801E63">
        <w:t xml:space="preserve"> in a given year by 1% relative to the previous year, the number of new ELCs is predicted to be </w:t>
      </w:r>
      <w:r w:rsidR="00BB787D">
        <w:t>six</w:t>
      </w:r>
      <w:r w:rsidR="00801E63">
        <w:t xml:space="preserve">. </w:t>
      </w:r>
      <w:r w:rsidR="00B82439">
        <w:t>Likewise, when foreign investment into the country increase</w:t>
      </w:r>
      <w:r w:rsidR="00BB787D">
        <w:t>d</w:t>
      </w:r>
      <w:r w:rsidR="00B82439">
        <w:t>, so d</w:t>
      </w:r>
      <w:r w:rsidR="00BB787D">
        <w:t>id</w:t>
      </w:r>
      <w:r w:rsidR="00B82439">
        <w:t xml:space="preserve"> the predicted number of new ELCs. For example, w</w:t>
      </w:r>
      <w:r w:rsidR="00801E63">
        <w:t>hen the amount of foreign investment decrease</w:t>
      </w:r>
      <w:r w:rsidR="00F60630">
        <w:t>d</w:t>
      </w:r>
      <w:r w:rsidR="00801E63">
        <w:t xml:space="preserve"> by approximately $10 million relative to the previous year, the number of new ELCs one year later is predicted to be </w:t>
      </w:r>
      <w:r w:rsidR="00BB787D">
        <w:t>three</w:t>
      </w:r>
      <w:r w:rsidR="00801E63">
        <w:t xml:space="preserve">. Conversely, when foreign investment </w:t>
      </w:r>
      <w:proofErr w:type="gramStart"/>
      <w:r w:rsidR="00801E63">
        <w:t>in a given year</w:t>
      </w:r>
      <w:proofErr w:type="gramEnd"/>
      <w:r w:rsidR="00801E63">
        <w:t xml:space="preserve"> increase</w:t>
      </w:r>
      <w:r w:rsidR="00F60630">
        <w:t>d</w:t>
      </w:r>
      <w:r w:rsidR="00801E63">
        <w:t xml:space="preserve"> by approximately $300 million relative to the previous year, then one year later the number of new ELCs is predicted to be 10. </w:t>
      </w:r>
      <w:r w:rsidR="00B82439">
        <w:t xml:space="preserve">Although </w:t>
      </w:r>
      <w:r w:rsidR="00376731">
        <w:t>my</w:t>
      </w:r>
      <w:r w:rsidR="00B82439">
        <w:t xml:space="preserve"> results do not describe causation, </w:t>
      </w:r>
      <w:r w:rsidR="007A4E6E">
        <w:t>there</w:t>
      </w:r>
      <w:r w:rsidR="00B82439">
        <w:t xml:space="preserve"> are important relationships between foreign investment, agriculture, and the development of new ELCs.</w:t>
      </w:r>
      <w:r w:rsidR="00131C5D">
        <w:t xml:space="preserve"> </w:t>
      </w:r>
      <w:r w:rsidR="00201C8C">
        <w:t xml:space="preserve">Interestingly, increases in development flows to the environment sector did not reduce the number of new ELCs. This suggests that in the short-term (i.e., over periods less than three years), investments into the environment sector via development funding (predominantly from international donors) does not reduce the number of new ELC allocations. </w:t>
      </w:r>
    </w:p>
    <w:p w14:paraId="2DECDAB0" w14:textId="5438F344" w:rsidR="006F2311" w:rsidRDefault="00131C5D" w:rsidP="006F2311">
      <w:r>
        <w:t xml:space="preserve">Cambodia is likely to continue prioritising growth within the agricultural sector </w:t>
      </w:r>
      <w:r>
        <w:fldChar w:fldCharType="begin"/>
      </w:r>
      <w:r>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fldChar w:fldCharType="separate"/>
      </w:r>
      <w:r w:rsidRPr="00131C5D">
        <w:rPr>
          <w:rFonts w:ascii="Calibri" w:hAnsi="Calibri" w:cs="Calibri"/>
        </w:rPr>
        <w:t>(Eliste &amp; Zorya 2015)</w:t>
      </w:r>
      <w:r>
        <w:fldChar w:fldCharType="end"/>
      </w:r>
      <w:r>
        <w:t xml:space="preserve">, and neoliberal economic policies will continue to encourage foreign investment </w:t>
      </w:r>
      <w:r>
        <w:fldChar w:fldCharType="begin"/>
      </w:r>
      <w:r w:rsidR="00C20340">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Topics","event-place":"Leifsgade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fldChar w:fldCharType="separate"/>
      </w:r>
      <w:r w:rsidRPr="00131C5D">
        <w:rPr>
          <w:rFonts w:ascii="Calibri" w:hAnsi="Calibri" w:cs="Calibri"/>
        </w:rPr>
        <w:t>(Hughes &amp; Un 2011; Green 2020; Phillips &amp; Davy 2021)</w:t>
      </w:r>
      <w:r>
        <w:fldChar w:fldCharType="end"/>
      </w:r>
      <w:r w:rsidR="001D4CBF">
        <w:t>. Therefore, it is likely that the development of industrial-scale commercial agriculture will continue</w:t>
      </w:r>
      <w:r w:rsidR="00DD0C5C">
        <w:t xml:space="preserve">, despite a visible effort to decrease them since 2012 </w:t>
      </w:r>
      <w:r w:rsidR="00526FE6">
        <w:fldChar w:fldCharType="begin"/>
      </w:r>
      <w:r w:rsidR="00526FE6">
        <w:instrText xml:space="preserve"> ADDIN ZOTERO_ITEM CSL_CITATION {"citationID":"YENjaADP","properties":{"formattedCitation":"(Neef et al. 2013)","plainCitation":"(Neef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schema":"https://github.com/citation-style-language/schema/raw/master/csl-citation.json"} </w:instrText>
      </w:r>
      <w:r w:rsidR="00526FE6">
        <w:fldChar w:fldCharType="separate"/>
      </w:r>
      <w:r w:rsidR="00526FE6" w:rsidRPr="00526FE6">
        <w:rPr>
          <w:rFonts w:ascii="Calibri" w:hAnsi="Calibri" w:cs="Calibri"/>
        </w:rPr>
        <w:t xml:space="preserve">(Neef et al. </w:t>
      </w:r>
      <w:r w:rsidR="00526FE6" w:rsidRPr="00526FE6">
        <w:rPr>
          <w:rFonts w:ascii="Calibri" w:hAnsi="Calibri" w:cs="Calibri"/>
        </w:rPr>
        <w:lastRenderedPageBreak/>
        <w:t>2013)</w:t>
      </w:r>
      <w:r w:rsidR="00526FE6">
        <w:fldChar w:fldCharType="end"/>
      </w:r>
      <w:r w:rsidR="001D4CBF">
        <w:t xml:space="preserve">. </w:t>
      </w:r>
      <w:r w:rsidR="006F2311">
        <w:t xml:space="preserve">The process of awarding ELC contracts in Cambodia has been criticised for lacking transparency and for corruption </w:t>
      </w:r>
      <w:r w:rsidR="006F2311">
        <w:fldChar w:fldCharType="begin"/>
      </w:r>
      <w:r w:rsidR="00C20340">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concession at a time","author":[{"family":"Vrieze","given":"Paul"},{"family":"Kuch","given":"Naren"}],"issued":{"date-parts":[["2012"]]}}}],"schema":"https://github.com/citation-style-language/schema/raw/master/csl-citation.json"} </w:instrText>
      </w:r>
      <w:r w:rsidR="006F2311">
        <w:fldChar w:fldCharType="separate"/>
      </w:r>
      <w:r w:rsidR="007739D7" w:rsidRPr="007739D7">
        <w:rPr>
          <w:rFonts w:ascii="Calibri" w:hAnsi="Calibri" w:cs="Calibri"/>
        </w:rPr>
        <w:t>(Vrieze &amp; Kuch 2012; Neef et al. 2013)</w:t>
      </w:r>
      <w:r w:rsidR="006F2311">
        <w:fldChar w:fldCharType="end"/>
      </w:r>
      <w:r w:rsidR="006F2311">
        <w:t>, and so it is not always possible to identify who owns a particular concession. Nevertheless, of those identified</w:t>
      </w:r>
      <w:r w:rsidR="00F513EE">
        <w:t xml:space="preserve"> (80% are identifiable)</w:t>
      </w:r>
      <w:r w:rsidR="006F2311">
        <w:t xml:space="preserve">, 48% were foreign owned </w:t>
      </w:r>
      <w:r w:rsidR="006F2311">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6F2311">
        <w:fldChar w:fldCharType="separate"/>
      </w:r>
      <w:r w:rsidR="007739D7" w:rsidRPr="007739D7">
        <w:rPr>
          <w:rFonts w:ascii="Calibri" w:hAnsi="Calibri" w:cs="Calibri"/>
        </w:rPr>
        <w:t>(Licadho 2019)</w:t>
      </w:r>
      <w:r w:rsidR="006F2311">
        <w:fldChar w:fldCharType="end"/>
      </w:r>
      <w:r w:rsidR="006F2311">
        <w:t>. Despite real and perceived benefits of attracting foreign investment and</w:t>
      </w:r>
      <w:r w:rsidR="00A54C9C">
        <w:t xml:space="preserve"> promoting the</w:t>
      </w:r>
      <w:r w:rsidR="006F2311">
        <w:t xml:space="preserve"> expan</w:t>
      </w:r>
      <w:r w:rsidR="00A54C9C">
        <w:t>sion</w:t>
      </w:r>
      <w:r w:rsidR="006F2311">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rsidR="006F2311">
        <w:t>, there are numerous negative effects on local people and the environment</w:t>
      </w:r>
      <w:r w:rsidR="00050B93">
        <w:t xml:space="preserve"> </w:t>
      </w:r>
      <w:r w:rsidR="00050B93">
        <w:fldChar w:fldCharType="begin"/>
      </w:r>
      <w:r w:rsidR="002C15A5">
        <w:instrText xml:space="preserve"> ADDIN ZOTERO_ITEM CSL_CITATION {"citationID":"c6uSyVfX","properties":{"formattedCitation":"(Neef et al. 2013; Oldenburg &amp; Neef 2014; Curtis et al. 2018; Magliocca et al. 2019; Zaehringer et al. 2020)","plainCitation":"(Neef et al. 2013; Oldenburg &amp; Neef 2014; Curtis et al. 2018; Magliocca et al. 2019; Zaehringer et al. 2020)","noteIndex":0},"citationItems":[{"id":2486,"uris":["http://zotero.org/users/2170232/items/2HCRAVQT"],"uri":["http://zotero.org/users/2170232/items/2HCRAVQT"],"itemData":{"id":2486,"type":"article-journal","abstract":"In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2C15A5" w:rsidRPr="002C15A5">
        <w:rPr>
          <w:rFonts w:ascii="Calibri" w:hAnsi="Calibri" w:cs="Calibri"/>
        </w:rPr>
        <w:t>(Neef et al. 2013; Oldenburg &amp; Neef 2014; Curtis et al. 2018; Magliocca et al. 2019; Zaehringer et al. 2020)</w:t>
      </w:r>
      <w:r w:rsidR="00050B93">
        <w:fldChar w:fldCharType="end"/>
      </w:r>
      <w:r w:rsidR="006F2311">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rsidR="006F2311">
        <w:t>that would have alleviated poverty more effectively than a</w:t>
      </w:r>
      <w:r w:rsidR="00F513EE">
        <w:t>n externally owned</w:t>
      </w:r>
      <w:r w:rsidR="006F2311">
        <w:t xml:space="preserve"> commercial agricultural enterprise</w:t>
      </w:r>
      <w:r w:rsidR="002C15A5">
        <w:t xml:space="preserve"> </w:t>
      </w:r>
      <w:r w:rsidR="002C15A5">
        <w:fldChar w:fldCharType="begin"/>
      </w:r>
      <w:r w:rsidR="002C15A5">
        <w:instrText xml:space="preserve"> ADDIN ZOTERO_ITEM CSL_CITATION {"citationID":"yazsqFJg","properties":{"formattedCitation":"(De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2C15A5">
        <w:fldChar w:fldCharType="separate"/>
      </w:r>
      <w:r w:rsidR="002C15A5" w:rsidRPr="002C15A5">
        <w:rPr>
          <w:rFonts w:ascii="Calibri" w:hAnsi="Calibri" w:cs="Calibri"/>
        </w:rPr>
        <w:t>(De Schutter 2011)</w:t>
      </w:r>
      <w:r w:rsidR="002C15A5">
        <w:fldChar w:fldCharType="end"/>
      </w:r>
      <w:r w:rsidR="006F2311">
        <w:t xml:space="preserve">. </w:t>
      </w:r>
    </w:p>
    <w:p w14:paraId="029DC42A" w14:textId="0475D6AA" w:rsidR="00AD3F12" w:rsidRPr="0089542A" w:rsidRDefault="00965D4A" w:rsidP="006F2311">
      <w:pPr>
        <w:rPr>
          <w:i/>
          <w:iCs/>
        </w:rPr>
      </w:pPr>
      <w:r>
        <w:rPr>
          <w:i/>
          <w:iCs/>
        </w:rPr>
        <w:t xml:space="preserve">2.4.1.2 </w:t>
      </w:r>
      <w:r w:rsidR="00F60630">
        <w:rPr>
          <w:i/>
          <w:iCs/>
        </w:rPr>
        <w:t>Agricultural c</w:t>
      </w:r>
      <w:r w:rsidR="00AD3F12" w:rsidRPr="0089542A">
        <w:rPr>
          <w:i/>
          <w:iCs/>
        </w:rPr>
        <w:t>ommodity</w:t>
      </w:r>
      <w:r w:rsidR="0089542A" w:rsidRPr="0089542A">
        <w:rPr>
          <w:i/>
          <w:iCs/>
        </w:rPr>
        <w:t xml:space="preserve"> and producer</w:t>
      </w:r>
      <w:r w:rsidR="00AD3F12" w:rsidRPr="0089542A">
        <w:rPr>
          <w:i/>
          <w:iCs/>
        </w:rPr>
        <w:t xml:space="preserve"> prices</w:t>
      </w:r>
    </w:p>
    <w:p w14:paraId="1B34C37E" w14:textId="70E0F551" w:rsidR="00801E63" w:rsidRDefault="006F2311" w:rsidP="006F2311">
      <w:r>
        <w:t xml:space="preserve">Changes in new ELC allocation can be predicted </w:t>
      </w:r>
      <w:r w:rsidR="00AF6A54">
        <w:t xml:space="preserve">from </w:t>
      </w:r>
      <w:r w:rsidR="00376731">
        <w:t>my</w:t>
      </w:r>
      <w:r w:rsidR="00AF6A54">
        <w:t xml:space="preserve"> models </w:t>
      </w:r>
      <w:r>
        <w:t xml:space="preserve">by several key agricultural commodity prices, both on the international market and internally at the </w:t>
      </w:r>
      <w:r w:rsidR="001D4CBF">
        <w:t>scale of the individual producer</w:t>
      </w:r>
      <w:r>
        <w:t>. Rubber, sugar, corn, and rice we</w:t>
      </w:r>
      <w:r w:rsidR="007D3440">
        <w:t>re</w:t>
      </w:r>
      <w:r>
        <w:t xml:space="preserve"> all important variables in the models, and increases in the market prices</w:t>
      </w:r>
      <w:r w:rsidR="00F1302E">
        <w:t xml:space="preserve"> and producer prices</w:t>
      </w:r>
      <w:r>
        <w:t xml:space="preserve"> of these commodities predict</w:t>
      </w:r>
      <w:r w:rsidR="007D3440">
        <w:t>ed</w:t>
      </w:r>
      <w:r>
        <w:t xml:space="preserve">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C30DD6">
        <w:t>(Table S</w:t>
      </w:r>
      <w:r w:rsidR="00C30DD6" w:rsidRPr="00C30DD6">
        <w:t>2.14</w:t>
      </w:r>
      <w:r w:rsidR="00050B93">
        <w:t>)</w:t>
      </w:r>
      <w:r w:rsidR="00801E63">
        <w:t>, and this</w:t>
      </w:r>
      <w:r w:rsidR="00F60630">
        <w:t xml:space="preserve"> is</w:t>
      </w:r>
      <w:r w:rsidR="00801E63">
        <w:t xml:space="preserve"> reflected in the model; </w:t>
      </w:r>
      <w:r w:rsidR="001D4CBF">
        <w:t>if international rubber prices increase</w:t>
      </w:r>
      <w:r w:rsidR="00F60630">
        <w:t>d</w:t>
      </w:r>
      <w:r w:rsidR="001D4CBF">
        <w:t xml:space="preserve"> by </w:t>
      </w:r>
      <w:r w:rsidR="00FB65AB">
        <w:t>$1500/ton, the model predict</w:t>
      </w:r>
      <w:r w:rsidR="00F60630">
        <w:t>ed</w:t>
      </w:r>
      <w:r w:rsidR="00FB65AB">
        <w:t xml:space="preserve"> an additional </w:t>
      </w:r>
      <w:r w:rsidR="001D4CBF">
        <w:t>2</w:t>
      </w:r>
      <w:r w:rsidR="00FB65AB">
        <w:t>9</w:t>
      </w:r>
      <w:r w:rsidR="001D4CBF">
        <w:t xml:space="preserve"> new ELCs </w:t>
      </w:r>
      <w:r w:rsidR="00FB65AB">
        <w:t>the following year, compared with</w:t>
      </w:r>
      <w:r w:rsidR="001D4CBF">
        <w:t xml:space="preserve"> </w:t>
      </w:r>
      <w:r w:rsidR="00FB65AB">
        <w:t xml:space="preserve">an additional </w:t>
      </w:r>
      <w:r w:rsidR="00F60630">
        <w:t>four</w:t>
      </w:r>
      <w:r w:rsidR="00FB65AB">
        <w:t xml:space="preserve"> if rubber prices d</w:t>
      </w:r>
      <w:r w:rsidR="00F60630">
        <w:t>id</w:t>
      </w:r>
      <w:r w:rsidR="00FB65AB">
        <w:t xml:space="preserve"> not change. Likewise, when the producer price of rubber decrease</w:t>
      </w:r>
      <w:r w:rsidR="00F60630">
        <w:t>d</w:t>
      </w:r>
      <w:r w:rsidR="00FB65AB">
        <w:t xml:space="preserve"> in value, very few new ELCs </w:t>
      </w:r>
      <w:r w:rsidR="00F60630">
        <w:t>were</w:t>
      </w:r>
      <w:r w:rsidR="00FB65AB">
        <w:t xml:space="preserve"> predicted in the following year, but when prices increase</w:t>
      </w:r>
      <w:r w:rsidR="00F60630">
        <w:t>d</w:t>
      </w:r>
      <w:r w:rsidR="00FB65AB">
        <w:t xml:space="preserve"> by</w:t>
      </w:r>
      <w:r w:rsidR="00DD0C5C">
        <w:t>,</w:t>
      </w:r>
      <w:r w:rsidR="00FB65AB">
        <w:t xml:space="preserve"> for example, $30/ton, in the following year 12 new ELCs </w:t>
      </w:r>
      <w:r w:rsidR="00F60630">
        <w:t>were</w:t>
      </w:r>
      <w:r w:rsidR="00FB65AB">
        <w:t xml:space="preserv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w:t>
      </w:r>
      <w:r w:rsidR="00AC7048">
        <w:t>was</w:t>
      </w:r>
      <w:r w:rsidR="00801E63">
        <w:t xml:space="preserve"> no change in the market price of rice between two given years, then approximately </w:t>
      </w:r>
      <w:r w:rsidR="00AC7048">
        <w:t>five</w:t>
      </w:r>
      <w:r w:rsidR="00801E63">
        <w:t xml:space="preserve"> new ELCs </w:t>
      </w:r>
      <w:r w:rsidR="00AC7048">
        <w:t>were</w:t>
      </w:r>
      <w:r w:rsidR="00801E63">
        <w:t xml:space="preserve"> predicted. If the market value increase</w:t>
      </w:r>
      <w:r w:rsidR="00AC7048">
        <w:t>d</w:t>
      </w:r>
      <w:r w:rsidR="00801E63">
        <w:t xml:space="preserve"> by $300/ton then in year </w:t>
      </w:r>
      <w:r w:rsidR="00801E63">
        <w:rPr>
          <w:i/>
          <w:iCs/>
        </w:rPr>
        <w:t>t+1</w:t>
      </w:r>
      <w:r w:rsidR="00801E63">
        <w:t xml:space="preserve"> approximately 80 new ELCs </w:t>
      </w:r>
      <w:r w:rsidR="00AC7048">
        <w:t>were</w:t>
      </w:r>
      <w:r w:rsidR="00801E63">
        <w:t xml:space="preserve"> predicted. Interestingly</w:t>
      </w:r>
      <w:r w:rsidR="00AC7048">
        <w:t>,</w:t>
      </w:r>
      <w:r w:rsidR="00801E63">
        <w:t xml:space="preserve"> the effect of changes in sugar price were weak when there was no time lag, but the effect was stronger when both a one-year and two-year time lag were introduced.</w:t>
      </w:r>
    </w:p>
    <w:p w14:paraId="3553016D" w14:textId="3A8E5E23"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w:t>
      </w:r>
      <w:r w:rsidR="00AC7048">
        <w:t>,</w:t>
      </w:r>
      <w:r w:rsidR="006F2311">
        <w:t xml:space="preserve"> in some cases</w:t>
      </w:r>
      <w:r w:rsidR="00AC7048">
        <w:t>,</w:t>
      </w:r>
      <w:r w:rsidR="006F2311">
        <w:t xml:space="preserve"> be a slow process. International market forces are known to drive</w:t>
      </w:r>
      <w:r w:rsidR="002657C7">
        <w:t xml:space="preserve"> land use change</w:t>
      </w:r>
      <w:r w:rsidR="006F2311">
        <w:t xml:space="preserve"> </w:t>
      </w:r>
      <w:r w:rsidR="002657C7">
        <w:t>(</w:t>
      </w:r>
      <w:r w:rsidR="006F2311">
        <w:t>LUC</w:t>
      </w:r>
      <w:r w:rsidR="002657C7">
        <w:t>)</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r w:rsidR="000E32E5">
        <w:t xml:space="preserve"> </w:t>
      </w:r>
      <w:r w:rsidR="00376731">
        <w:t>My</w:t>
      </w:r>
      <w:r w:rsidR="000E32E5">
        <w:t xml:space="preserve"> study reinforces this link between commodity and producer prices of key agricultural products and development activities </w:t>
      </w:r>
      <w:r w:rsidR="00AC7048">
        <w:t>that</w:t>
      </w:r>
      <w:r w:rsidR="000E32E5">
        <w:t xml:space="preserve"> reduce forest cover.</w:t>
      </w:r>
      <w:r w:rsidR="006F2311">
        <w:t xml:space="preserve"> </w:t>
      </w:r>
    </w:p>
    <w:p w14:paraId="32B2AE69" w14:textId="23A635B9" w:rsidR="00965D4A" w:rsidRPr="00965D4A" w:rsidRDefault="00965D4A" w:rsidP="00965D4A">
      <w:pPr>
        <w:rPr>
          <w:b/>
          <w:bCs/>
        </w:rPr>
      </w:pPr>
      <w:r w:rsidRPr="00965D4A">
        <w:rPr>
          <w:b/>
          <w:bCs/>
          <w:i/>
          <w:iCs/>
        </w:rPr>
        <w:t>2.4.2 Direct forest loss</w:t>
      </w:r>
    </w:p>
    <w:p w14:paraId="1D93305A" w14:textId="14BF5ABF" w:rsidR="00965D4A" w:rsidRDefault="00965D4A" w:rsidP="00965D4A">
      <w:r>
        <w:t>Apart from population density and agricultural proportion of GD</w:t>
      </w:r>
      <w:r w:rsidR="002657C7">
        <w:t>P</w:t>
      </w:r>
      <w:r>
        <w:t xml:space="preserve">, there were no significant effects from the models with forest loss as the response variable. Some of the predictor variables that were non-significant have been shown to correlate with LUC in other studies, such as GDP </w:t>
      </w:r>
      <w:r>
        <w:fldChar w:fldCharType="begin"/>
      </w:r>
      <w:r>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Pr="007739D7">
        <w:rPr>
          <w:rFonts w:ascii="Calibri" w:hAnsi="Calibri" w:cs="Calibri"/>
        </w:rPr>
        <w:t xml:space="preserve">(Ewers 2006; </w:t>
      </w:r>
      <w:r w:rsidRPr="007739D7">
        <w:rPr>
          <w:rFonts w:ascii="Calibri" w:hAnsi="Calibri" w:cs="Calibri"/>
        </w:rPr>
        <w:lastRenderedPageBreak/>
        <w:t>Gong et al. 2013; Kuang et al. 2016; Fan &amp; Ding 2016)</w:t>
      </w:r>
      <w:r>
        <w:fldChar w:fldCharType="end"/>
      </w:r>
      <w:r>
        <w:t xml:space="preserve">, the contribution of economic sectors to national GDP </w:t>
      </w:r>
      <w:r>
        <w:fldChar w:fldCharType="begin"/>
      </w:r>
      <w:r>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7739D7">
        <w:rPr>
          <w:rFonts w:ascii="Calibri" w:hAnsi="Calibri" w:cs="Calibri"/>
        </w:rPr>
        <w:t>(Gong et al. 2013)</w:t>
      </w:r>
      <w:r>
        <w:fldChar w:fldCharType="end"/>
      </w:r>
      <w:r>
        <w:t xml:space="preserve">, human population growth and density </w:t>
      </w:r>
      <w:r>
        <w:fldChar w:fldCharType="begin"/>
      </w:r>
      <w:r>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7739D7">
        <w:rPr>
          <w:rFonts w:ascii="Calibri" w:hAnsi="Calibri" w:cs="Calibri"/>
        </w:rPr>
        <w:t>(Fan &amp; Ding 2016; Bonilla-Bedoya et al. 2018)</w:t>
      </w:r>
      <w:r>
        <w:fldChar w:fldCharType="end"/>
      </w:r>
      <w:r>
        <w:t xml:space="preserve">, and agricultural output </w:t>
      </w:r>
      <w:r>
        <w:fldChar w:fldCharType="begin"/>
      </w:r>
      <w:r>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a rare example of civil unrest and war resulting in economic collapse, followed by subsequent rapid economic revival </w:t>
      </w:r>
      <w:r>
        <w:fldChar w:fldCharType="begin"/>
      </w:r>
      <w:r>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fldChar w:fldCharType="separate"/>
      </w:r>
      <w:r w:rsidRPr="00046338">
        <w:rPr>
          <w:rFonts w:ascii="Calibri" w:hAnsi="Calibri" w:cs="Calibri"/>
        </w:rPr>
        <w:t>(</w:t>
      </w:r>
      <w:r>
        <w:rPr>
          <w:rFonts w:ascii="Calibri" w:hAnsi="Calibri" w:cs="Calibri"/>
        </w:rPr>
        <w:t xml:space="preserve">other Asian examples include Japan and Vietnam, see </w:t>
      </w:r>
      <w:r w:rsidRPr="00046338">
        <w:rPr>
          <w:rFonts w:ascii="Calibri" w:hAnsi="Calibri" w:cs="Calibri"/>
        </w:rPr>
        <w:t>Hamada &amp; Kasuya 1992</w:t>
      </w:r>
      <w:r>
        <w:rPr>
          <w:rFonts w:ascii="Calibri" w:hAnsi="Calibri" w:cs="Calibri"/>
        </w:rPr>
        <w:t xml:space="preserve"> and</w:t>
      </w:r>
      <w:r w:rsidRPr="00046338">
        <w:rPr>
          <w:rFonts w:ascii="Calibri" w:hAnsi="Calibri" w:cs="Calibri"/>
        </w:rPr>
        <w:t xml:space="preserve"> Riedel &amp; Turley 1999)</w:t>
      </w:r>
      <w:r>
        <w:fldChar w:fldCharType="end"/>
      </w:r>
      <w:r>
        <w:t xml:space="preserve">. This may render comparison of economic </w:t>
      </w:r>
      <w:r w:rsidR="0014476F">
        <w:t xml:space="preserve">or agricultural </w:t>
      </w:r>
      <w:r>
        <w:t xml:space="preserve">drivers of forest loss and LUC with other Asian countries </w:t>
      </w:r>
      <w:r w:rsidR="00AD1588">
        <w:t>uninformative</w:t>
      </w:r>
      <w:r>
        <w:t xml:space="preser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t>
      </w:r>
      <w:r w:rsidR="00D55D54">
        <w:t>I</w:t>
      </w:r>
      <w:r>
        <w:t xml:space="preserve"> did not include predictor variables covering institutional factors, land rights or tenure, or environmental policies, which have been shown to be important </w:t>
      </w:r>
      <w:r>
        <w:fldChar w:fldCharType="begin"/>
      </w:r>
      <w:r>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Pr="007739D7">
        <w:rPr>
          <w:rFonts w:ascii="Calibri" w:hAnsi="Calibri" w:cs="Calibri"/>
        </w:rPr>
        <w:t>(Culas 2007)</w:t>
      </w:r>
      <w:r>
        <w:fldChar w:fldCharType="end"/>
      </w:r>
      <w:r>
        <w:t xml:space="preserve">. Finally, </w:t>
      </w:r>
      <w:r w:rsidR="00D55D54">
        <w:t>I</w:t>
      </w:r>
      <w:r>
        <w:t xml:space="preserve"> only investigated up to two years of time lag between changes in predictor variables and changes in forest cover. It is possible that changes in certain </w:t>
      </w:r>
      <w:r w:rsidR="00A81C7F">
        <w:t>economic factors</w:t>
      </w:r>
      <w:r>
        <w:t xml:space="preserve"> take longer than two years to have a significant effect on forest cover. For example, the “trickle down” effect of foreign investment, whereby the local economies of the host nation see increased productivity and profitability which in turn may drive land use change and forest loss at the local scale, is smaller and more fragile than usually assumed </w:t>
      </w:r>
      <w:r>
        <w:fldChar w:fldCharType="begin"/>
      </w:r>
      <w:r>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fldChar w:fldCharType="separate"/>
      </w:r>
      <w:r w:rsidRPr="008B3DA9">
        <w:rPr>
          <w:rFonts w:ascii="Calibri" w:hAnsi="Calibri" w:cs="Calibri"/>
        </w:rPr>
        <w:t>(Jensen 2006)</w:t>
      </w:r>
      <w:r>
        <w:fldChar w:fldCharType="end"/>
      </w:r>
      <w:r>
        <w:t xml:space="preserve">. Therefore, if there is an indirect effect of foreign investment on forest loss, it may take several years for this effect to trickle down to forests at local levels.  </w:t>
      </w:r>
    </w:p>
    <w:p w14:paraId="41414D33" w14:textId="17886FD9" w:rsidR="00050B93" w:rsidRPr="00965D4A" w:rsidRDefault="00965D4A" w:rsidP="006F2311">
      <w:pPr>
        <w:rPr>
          <w:b/>
          <w:bCs/>
          <w:i/>
          <w:iCs/>
        </w:rPr>
      </w:pPr>
      <w:r w:rsidRPr="00965D4A">
        <w:rPr>
          <w:b/>
          <w:bCs/>
          <w:i/>
          <w:iCs/>
        </w:rPr>
        <w:t>2.4.3 Conclusions</w:t>
      </w:r>
    </w:p>
    <w:p w14:paraId="6486437E" w14:textId="433AA420" w:rsidR="008E0F3D" w:rsidRDefault="00316ABA" w:rsidP="006F2311">
      <w:r>
        <w:t>Cambodia’s post-war economic recovery has been remarkably swi</w:t>
      </w:r>
      <w:r w:rsidR="00822264">
        <w:t>ft, boasting</w:t>
      </w:r>
      <w:r w:rsidR="00AC7048">
        <w:t xml:space="preserve"> GDP</w:t>
      </w:r>
      <w:r w:rsidR="00822264">
        <w:t xml:space="preserve">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AC7048">
        <w:t>,</w:t>
      </w:r>
      <w:r w:rsidR="006E1ED5">
        <w:t xml:space="preserve"> which has had negative effects on protected areas, forests, and local people </w:t>
      </w:r>
      <w:r w:rsidR="006E1ED5">
        <w:fldChar w:fldCharType="begin"/>
      </w:r>
      <w:r w:rsidR="007D3440">
        <w:instrText xml:space="preserve"> ADDIN ZOTERO_ITEM CSL_CITATION {"citationID":"wvgPLRT9","properties":{"formattedCitation":"(Vrieze &amp; Kuch 2012; Oldenburg &amp; Neef 2014; Watson et al. 2014; Beauchamp et al. 2018; Magliocca et al. 2019)","plainCitation":"(Vrieze &amp; Kuch 2012; Oldenburg &amp; Neef 2014; Watson et al. 2014; Beauchamp et al. 2018; Magliocca et al. 2019)","noteIndex":0},"citationItems":[{"id":2053,"uris":["http://zotero.org/users/2170232/items/C9AXILM9"],"uri":["http://zotero.org/users/2170232/items/C9AXILM9"],"itemData":{"id":2053,"type":"article-newspaper","container-title":"The Cambodia Daily","page":"4-11","title":"Carving up Cambodia: One concession at a time","author":[{"family":"Vrieze","given":"Paul"},{"family":"Kuch","given":"Naren"}],"issued":{"date-parts":[["2012"]]}}},{"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A."},{"family":"Bremond","given":"Ariane","non-dropping-particle":"de"}],"accessed":{"date-parts":[["2021",12,6]]},"issued":{"date-parts":[["2019"]]}}}],"schema":"https://github.com/citation-style-language/schema/raw/master/csl-citation.json"} </w:instrText>
      </w:r>
      <w:r w:rsidR="006E1ED5">
        <w:fldChar w:fldCharType="separate"/>
      </w:r>
      <w:r w:rsidR="007D3440" w:rsidRPr="007D3440">
        <w:rPr>
          <w:rFonts w:ascii="Calibri" w:hAnsi="Calibri" w:cs="Calibri"/>
        </w:rPr>
        <w:t>(Vrieze &amp; Kuch 2012; Oldenburg &amp; Neef 2014; Watson et al. 2014; Beauchamp et al. 2018; Magliocca et al. 2019)</w:t>
      </w:r>
      <w:r w:rsidR="006E1ED5">
        <w:fldChar w:fldCharType="end"/>
      </w:r>
      <w:r w:rsidR="006E1ED5">
        <w:t xml:space="preserve">. Economic land concessions have </w:t>
      </w:r>
      <w:r w:rsidR="007D3440">
        <w:t>been used by the Cambodian government as a</w:t>
      </w:r>
      <w:r w:rsidR="006E1ED5">
        <w:t xml:space="preserve"> mechanism with which to direct foreign investment, expand industrial-scale commercial agriculture, and boost economic activity, yet have also been a key driver in deforestation</w:t>
      </w:r>
      <w:r w:rsidR="0056505C">
        <w:t xml:space="preserve"> </w:t>
      </w:r>
      <w:r w:rsidR="0056505C">
        <w:fldChar w:fldCharType="begin"/>
      </w:r>
      <w:r w:rsidR="0056505C">
        <w:instrText xml:space="preserve"> ADDIN ZOTERO_ITEM CSL_CITATION {"citationID":"zrGyWWt0","properties":{"formattedCitation":"(Tsujino et al. 2019)","plainCitation":"(Tsujino et al. 2019)","noteIndex":0},"citationItems":[{"id":3167,"uris":["http://zotero.org/users/2170232/items/9H8JV8RN"],"uri":["http://zotero.org/users/2170232/items/9H8JV8RN"],"itemData":{"id":3167,"type":"article-journal","abstract":"To reconstruct the history of forest loss in Cambodia, the literature and national/provincial statistics of landuse patterns and the socio-economic situation were investigated. Forest cover in the 1960s was 73.3 % (13.3 Mha). However, this drastically decreased to 47.3% (8.6 Mha) in\n2016. In the 1960s, the forest was less-disturbed. From 1970 to 1993, the forest was lost gradually owing to the political instability caused by the Cambodian Civil War. In the post-war reconstruction period from 1993 to around 2002, the need for reconstruction, international demand for timber,\nand forest logging concessions led to a significant increase in timber production. In the rapid economic growth period from 2002 until present, while several political actions were taken to combat rapid deforestation, economic land concessions, which promoted agroindustrial plantations, as\nwell as small-scale agriculture has been leading to the rapid expansion of arable land and deforestation since 2009.","container-title":"International Forestry Review","DOI":"10.1505/146554819827293178","issue":"3","journalAbbreviation":"International Forestry Review","page":"372-384","source":"IngentaConnect","title":"Causes and history of forest loss in Cambodia","volume":"21","author":[{"family":"Tsujino","given":"R."},{"family":"Kajisa","given":"T."},{"family":"Yumoto","given":"T."}],"issued":{"date-parts":[["2019",9,1]]}}}],"schema":"https://github.com/citation-style-language/schema/raw/master/csl-citation.json"} </w:instrText>
      </w:r>
      <w:r w:rsidR="0056505C">
        <w:fldChar w:fldCharType="separate"/>
      </w:r>
      <w:r w:rsidR="0056505C" w:rsidRPr="0056505C">
        <w:rPr>
          <w:rFonts w:ascii="Calibri" w:hAnsi="Calibri" w:cs="Calibri"/>
        </w:rPr>
        <w:t>(Tsujino et al. 2019)</w:t>
      </w:r>
      <w:r w:rsidR="0056505C">
        <w:fldChar w:fldCharType="end"/>
      </w:r>
      <w:r w:rsidR="006E1ED5">
        <w:t>.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whereby national economic development is improved at the expense of</w:t>
      </w:r>
      <w:r w:rsidR="00AC7048">
        <w:t xml:space="preserve"> natural</w:t>
      </w:r>
      <w:r w:rsidR="006E1ED5" w:rsidRPr="006E1ED5">
        <w:t xml:space="preserve">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w:t>
      </w:r>
      <w:r w:rsidR="001F4E9E">
        <w:t xml:space="preserve"> </w:t>
      </w:r>
    </w:p>
    <w:p w14:paraId="793DAE13" w14:textId="23C58A35" w:rsidR="00050B93" w:rsidRDefault="001F4E9E" w:rsidP="00BF6BF7">
      <w:r>
        <w:t>Th</w:t>
      </w:r>
      <w:r w:rsidR="008E0F3D">
        <w:t xml:space="preserve">e most relevant case study to compare with Cambodia is that of its neighbour Vietnam, which underwent a forest transition in the 1990s, and over the </w:t>
      </w:r>
      <w:r w:rsidR="00CD4BBD">
        <w:t>next</w:t>
      </w:r>
      <w:r w:rsidR="008E0F3D">
        <w:t xml:space="preserve"> two decades national forest cover</w:t>
      </w:r>
      <w:r w:rsidR="00CD4BBD">
        <w:t xml:space="preserve"> increased</w:t>
      </w:r>
      <w:r w:rsidR="008E0F3D">
        <w:t xml:space="preserve"> </w:t>
      </w:r>
      <w:r w:rsidR="008E0F3D">
        <w:fldChar w:fldCharType="begin"/>
      </w:r>
      <w:r w:rsidR="008E0F3D">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8E0F3D">
        <w:fldChar w:fldCharType="separate"/>
      </w:r>
      <w:r w:rsidR="008E0F3D" w:rsidRPr="008E0F3D">
        <w:rPr>
          <w:rFonts w:ascii="Calibri" w:hAnsi="Calibri" w:cs="Calibri"/>
        </w:rPr>
        <w:t>(Meyfroidt &amp; Lambin 2008)</w:t>
      </w:r>
      <w:r w:rsidR="008E0F3D">
        <w:fldChar w:fldCharType="end"/>
      </w:r>
      <w:r w:rsidR="008E0F3D">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w:t>
      </w:r>
      <w:r w:rsidR="00E23AF3">
        <w:lastRenderedPageBreak/>
        <w:t xml:space="preserve">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w:t>
      </w:r>
      <w:r w:rsidR="0056505C">
        <w:t>between 1990 and 2015 remained above 1%</w:t>
      </w:r>
      <w:r w:rsidR="00E23AF3">
        <w:t xml:space="preserve"> </w:t>
      </w:r>
      <w:r w:rsidR="00E23AF3">
        <w:fldChar w:fldCharType="begin"/>
      </w:r>
      <w:r w:rsidR="0056505C">
        <w:instrText xml:space="preserve"> ADDIN ZOTERO_ITEM CSL_CITATION {"citationID":"47HpV1HW","properties":{"formattedCitation":"(Ota et al. 2020)","plainCitation":"(Ota et al. 2020)","noteIndex":0},"citationItems":[{"id":3168,"uris":["http://zotero.org/users/2170232/items/44PMWYDG"],"uri":["http://zotero.org/users/2170232/items/44PMWYDG"],"itemData":{"id":3168,"type":"article-journal","abstract":"Considerable proportions of the remaining global forest areas are currently harboured in tropical countries. Reducing deforestation in this region is important to help mitigate climate change. Effective forest conservation approach is needed to reduce deforestation and degradation in these countries. Here, we investigated the forest conservation effect of community forests and protected areas using country scale data in Cambodia. In addition to these two forest conservation approaches, we also evaluated the effectiveness of protected forests, which are similar to protected areas but managed by different authorities. We compared deforestation between 2006 and 2016 in areas under the three forest conservation approaches and a non-conserved area by applying the inverse probability of treatment weighting with the propensity score minimizing confounding effects. The results showed that community forest, protected areas, and protected forest significantly decreased deforestation compared with non-conserved forests. Out of the three forest conservation approaches, protected forest was the most effective and community forest was the least effective. We conclude that all of the policies we evaluated are effective for forest conservation but the effectiveness varies depending on the approach. Our findings also suggest that the authority managing the given approach plays an important part in its effectiveness.","container-title":"Land Use Policy","DOI":"10.1016/j.landusepol.2020.104597","ISSN":"0264-8377","journalAbbreviation":"Land Use Policy","language":"en","page":"104597","source":"ScienceDirect","title":"A country scale analysis revealed effective forest policy affecting forest cover changes in Cambodia","volume":"95","author":[{"family":"Ota","given":"Tetsuji"},{"family":"Lonn","given":"Pichdara"},{"family":"Mizoue","given":"Nobuya"}],"issued":{"date-parts":[["2020",6,1]]}}}],"schema":"https://github.com/citation-style-language/schema/raw/master/csl-citation.json"} </w:instrText>
      </w:r>
      <w:r w:rsidR="00E23AF3">
        <w:fldChar w:fldCharType="separate"/>
      </w:r>
      <w:r w:rsidR="0056505C" w:rsidRPr="0056505C">
        <w:rPr>
          <w:rFonts w:ascii="Calibri" w:hAnsi="Calibri" w:cs="Calibri"/>
        </w:rPr>
        <w:t>(Ota et al. 2020)</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710D7960" w:rsidR="006F2311" w:rsidRDefault="006F2311" w:rsidP="006F2311">
      <w:r>
        <w:t xml:space="preserve">Understanding which </w:t>
      </w:r>
      <w:r w:rsidR="00CD4BBD">
        <w:t>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for </w:t>
      </w:r>
      <w:r w:rsidR="00AC7048">
        <w:t xml:space="preserve">both </w:t>
      </w:r>
      <w:r>
        <w:t>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07114DAF" w14:textId="77777777" w:rsidR="00526FE6" w:rsidRDefault="00526FE6" w:rsidP="000A46B5"/>
    <w:p w14:paraId="06DFD7BB" w14:textId="79B4C20A" w:rsidR="00347783" w:rsidRPr="00526FE6" w:rsidRDefault="00526FE6" w:rsidP="000A46B5">
      <w:pPr>
        <w:rPr>
          <w:b/>
          <w:bCs/>
        </w:rPr>
      </w:pPr>
      <w:r w:rsidRPr="00526FE6">
        <w:rPr>
          <w:b/>
          <w:bCs/>
        </w:rPr>
        <w:t xml:space="preserve"> </w:t>
      </w:r>
    </w:p>
    <w:sectPr w:rsidR="00347783" w:rsidRPr="00526FE6" w:rsidSect="009F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17C9B"/>
    <w:rsid w:val="00030438"/>
    <w:rsid w:val="00046338"/>
    <w:rsid w:val="00050B93"/>
    <w:rsid w:val="00083CBD"/>
    <w:rsid w:val="000A0B92"/>
    <w:rsid w:val="000A29B4"/>
    <w:rsid w:val="000A46B5"/>
    <w:rsid w:val="000B1FE5"/>
    <w:rsid w:val="000C4401"/>
    <w:rsid w:val="000D74DE"/>
    <w:rsid w:val="000E2087"/>
    <w:rsid w:val="000E32E5"/>
    <w:rsid w:val="001272BE"/>
    <w:rsid w:val="00131C5D"/>
    <w:rsid w:val="00141381"/>
    <w:rsid w:val="0014476F"/>
    <w:rsid w:val="001564FE"/>
    <w:rsid w:val="00165B35"/>
    <w:rsid w:val="00172844"/>
    <w:rsid w:val="001A6A5A"/>
    <w:rsid w:val="001A6F37"/>
    <w:rsid w:val="001B2E6F"/>
    <w:rsid w:val="001D4CBF"/>
    <w:rsid w:val="001D6826"/>
    <w:rsid w:val="001D687D"/>
    <w:rsid w:val="001E2F1B"/>
    <w:rsid w:val="001E6D1D"/>
    <w:rsid w:val="001F2B94"/>
    <w:rsid w:val="001F4E9E"/>
    <w:rsid w:val="00201C8C"/>
    <w:rsid w:val="00207D8C"/>
    <w:rsid w:val="00207E3B"/>
    <w:rsid w:val="002238D4"/>
    <w:rsid w:val="00261C3D"/>
    <w:rsid w:val="002657C7"/>
    <w:rsid w:val="00287C4F"/>
    <w:rsid w:val="00296541"/>
    <w:rsid w:val="002A3321"/>
    <w:rsid w:val="002C15A5"/>
    <w:rsid w:val="002D02E5"/>
    <w:rsid w:val="002D6A26"/>
    <w:rsid w:val="002E4677"/>
    <w:rsid w:val="002F1503"/>
    <w:rsid w:val="002F296A"/>
    <w:rsid w:val="00316ABA"/>
    <w:rsid w:val="003205E2"/>
    <w:rsid w:val="00327EA7"/>
    <w:rsid w:val="003425B9"/>
    <w:rsid w:val="0034404B"/>
    <w:rsid w:val="00347783"/>
    <w:rsid w:val="00351418"/>
    <w:rsid w:val="0036712C"/>
    <w:rsid w:val="00376731"/>
    <w:rsid w:val="003802A9"/>
    <w:rsid w:val="00381FF1"/>
    <w:rsid w:val="0038235D"/>
    <w:rsid w:val="003B7206"/>
    <w:rsid w:val="003C0A4E"/>
    <w:rsid w:val="003D3198"/>
    <w:rsid w:val="003D5F3C"/>
    <w:rsid w:val="00406839"/>
    <w:rsid w:val="00415058"/>
    <w:rsid w:val="0042188D"/>
    <w:rsid w:val="00425E0A"/>
    <w:rsid w:val="0042633E"/>
    <w:rsid w:val="004373BC"/>
    <w:rsid w:val="004663FA"/>
    <w:rsid w:val="004705A9"/>
    <w:rsid w:val="004740E7"/>
    <w:rsid w:val="00487F6E"/>
    <w:rsid w:val="004C2131"/>
    <w:rsid w:val="004C216D"/>
    <w:rsid w:val="004C71CC"/>
    <w:rsid w:val="004D1C55"/>
    <w:rsid w:val="004D465D"/>
    <w:rsid w:val="004D5194"/>
    <w:rsid w:val="005052EC"/>
    <w:rsid w:val="0050787F"/>
    <w:rsid w:val="005252BE"/>
    <w:rsid w:val="00526FE6"/>
    <w:rsid w:val="00537AE8"/>
    <w:rsid w:val="00537B90"/>
    <w:rsid w:val="005620D2"/>
    <w:rsid w:val="00562B5B"/>
    <w:rsid w:val="0056505C"/>
    <w:rsid w:val="00570B55"/>
    <w:rsid w:val="005760C1"/>
    <w:rsid w:val="0059266A"/>
    <w:rsid w:val="005A24EE"/>
    <w:rsid w:val="005A29DF"/>
    <w:rsid w:val="005B16ED"/>
    <w:rsid w:val="005C1D76"/>
    <w:rsid w:val="005C460B"/>
    <w:rsid w:val="005D4048"/>
    <w:rsid w:val="005D7F49"/>
    <w:rsid w:val="005F7FE3"/>
    <w:rsid w:val="00626B93"/>
    <w:rsid w:val="0064115C"/>
    <w:rsid w:val="00643D5E"/>
    <w:rsid w:val="006539F0"/>
    <w:rsid w:val="00667CED"/>
    <w:rsid w:val="006A1042"/>
    <w:rsid w:val="006A5CDB"/>
    <w:rsid w:val="006C7758"/>
    <w:rsid w:val="006E1ED5"/>
    <w:rsid w:val="006F2311"/>
    <w:rsid w:val="006F2802"/>
    <w:rsid w:val="00700967"/>
    <w:rsid w:val="00721329"/>
    <w:rsid w:val="0072569A"/>
    <w:rsid w:val="007577ED"/>
    <w:rsid w:val="00771BC1"/>
    <w:rsid w:val="007739D7"/>
    <w:rsid w:val="007760EE"/>
    <w:rsid w:val="0079611B"/>
    <w:rsid w:val="007A0630"/>
    <w:rsid w:val="007A0D24"/>
    <w:rsid w:val="007A4E6E"/>
    <w:rsid w:val="007B1551"/>
    <w:rsid w:val="007B5516"/>
    <w:rsid w:val="007C4C91"/>
    <w:rsid w:val="007C7AA3"/>
    <w:rsid w:val="007D0A39"/>
    <w:rsid w:val="007D3440"/>
    <w:rsid w:val="007D5AEB"/>
    <w:rsid w:val="007D6A50"/>
    <w:rsid w:val="007E4D4B"/>
    <w:rsid w:val="007F1C9B"/>
    <w:rsid w:val="00801E63"/>
    <w:rsid w:val="008064C8"/>
    <w:rsid w:val="00811B11"/>
    <w:rsid w:val="00811E4E"/>
    <w:rsid w:val="00813994"/>
    <w:rsid w:val="00822264"/>
    <w:rsid w:val="008250D4"/>
    <w:rsid w:val="00883BDF"/>
    <w:rsid w:val="00892E24"/>
    <w:rsid w:val="00894AFB"/>
    <w:rsid w:val="0089542A"/>
    <w:rsid w:val="008B3DA9"/>
    <w:rsid w:val="008B6ED5"/>
    <w:rsid w:val="008C3939"/>
    <w:rsid w:val="008C58A9"/>
    <w:rsid w:val="008E0F3D"/>
    <w:rsid w:val="008E5F84"/>
    <w:rsid w:val="009252A0"/>
    <w:rsid w:val="00932AF6"/>
    <w:rsid w:val="0093383C"/>
    <w:rsid w:val="009436B4"/>
    <w:rsid w:val="00947237"/>
    <w:rsid w:val="00965D4A"/>
    <w:rsid w:val="00966433"/>
    <w:rsid w:val="009B402C"/>
    <w:rsid w:val="009F455B"/>
    <w:rsid w:val="009F48E1"/>
    <w:rsid w:val="00A11214"/>
    <w:rsid w:val="00A34816"/>
    <w:rsid w:val="00A471B3"/>
    <w:rsid w:val="00A54C9C"/>
    <w:rsid w:val="00A81029"/>
    <w:rsid w:val="00A8102F"/>
    <w:rsid w:val="00A818EB"/>
    <w:rsid w:val="00A81C7F"/>
    <w:rsid w:val="00AA479C"/>
    <w:rsid w:val="00AC7048"/>
    <w:rsid w:val="00AD1588"/>
    <w:rsid w:val="00AD3F12"/>
    <w:rsid w:val="00AD70AA"/>
    <w:rsid w:val="00AF2607"/>
    <w:rsid w:val="00AF6A54"/>
    <w:rsid w:val="00B00DDB"/>
    <w:rsid w:val="00B206A3"/>
    <w:rsid w:val="00B25CEC"/>
    <w:rsid w:val="00B55697"/>
    <w:rsid w:val="00B5750E"/>
    <w:rsid w:val="00B66116"/>
    <w:rsid w:val="00B77FE6"/>
    <w:rsid w:val="00B82439"/>
    <w:rsid w:val="00B849E3"/>
    <w:rsid w:val="00BA5DD9"/>
    <w:rsid w:val="00BA731E"/>
    <w:rsid w:val="00BB787D"/>
    <w:rsid w:val="00BD08B7"/>
    <w:rsid w:val="00BE28F1"/>
    <w:rsid w:val="00BF30EA"/>
    <w:rsid w:val="00BF6BF7"/>
    <w:rsid w:val="00C039EE"/>
    <w:rsid w:val="00C16DA9"/>
    <w:rsid w:val="00C20340"/>
    <w:rsid w:val="00C21A41"/>
    <w:rsid w:val="00C23335"/>
    <w:rsid w:val="00C30DD6"/>
    <w:rsid w:val="00C3282B"/>
    <w:rsid w:val="00C37341"/>
    <w:rsid w:val="00C549C5"/>
    <w:rsid w:val="00C65931"/>
    <w:rsid w:val="00C65E6A"/>
    <w:rsid w:val="00C831FB"/>
    <w:rsid w:val="00C84941"/>
    <w:rsid w:val="00C95BE8"/>
    <w:rsid w:val="00CB0FA6"/>
    <w:rsid w:val="00CC4F5A"/>
    <w:rsid w:val="00CD4BBD"/>
    <w:rsid w:val="00D225BC"/>
    <w:rsid w:val="00D27EC5"/>
    <w:rsid w:val="00D55D54"/>
    <w:rsid w:val="00D621FA"/>
    <w:rsid w:val="00D807A0"/>
    <w:rsid w:val="00D90A79"/>
    <w:rsid w:val="00D955C9"/>
    <w:rsid w:val="00DA5B11"/>
    <w:rsid w:val="00DB2B52"/>
    <w:rsid w:val="00DC13AB"/>
    <w:rsid w:val="00DD0C5C"/>
    <w:rsid w:val="00DD2646"/>
    <w:rsid w:val="00DE2591"/>
    <w:rsid w:val="00E12225"/>
    <w:rsid w:val="00E23AF3"/>
    <w:rsid w:val="00E30129"/>
    <w:rsid w:val="00E3329F"/>
    <w:rsid w:val="00E33FCE"/>
    <w:rsid w:val="00E64809"/>
    <w:rsid w:val="00E64AFA"/>
    <w:rsid w:val="00E82045"/>
    <w:rsid w:val="00E86A5E"/>
    <w:rsid w:val="00EB3FD0"/>
    <w:rsid w:val="00EC7AAF"/>
    <w:rsid w:val="00EE4B81"/>
    <w:rsid w:val="00EE4CB3"/>
    <w:rsid w:val="00EF0EDF"/>
    <w:rsid w:val="00EF1213"/>
    <w:rsid w:val="00F0501A"/>
    <w:rsid w:val="00F05DBA"/>
    <w:rsid w:val="00F114D0"/>
    <w:rsid w:val="00F12033"/>
    <w:rsid w:val="00F1302E"/>
    <w:rsid w:val="00F2363D"/>
    <w:rsid w:val="00F40B07"/>
    <w:rsid w:val="00F4635E"/>
    <w:rsid w:val="00F513EE"/>
    <w:rsid w:val="00F55680"/>
    <w:rsid w:val="00F60630"/>
    <w:rsid w:val="00F63159"/>
    <w:rsid w:val="00F823D9"/>
    <w:rsid w:val="00F8550F"/>
    <w:rsid w:val="00FB65AB"/>
    <w:rsid w:val="00FC0B89"/>
    <w:rsid w:val="00FC2F47"/>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6931">
      <w:bodyDiv w:val="1"/>
      <w:marLeft w:val="0"/>
      <w:marRight w:val="0"/>
      <w:marTop w:val="0"/>
      <w:marBottom w:val="0"/>
      <w:divBdr>
        <w:top w:val="none" w:sz="0" w:space="0" w:color="auto"/>
        <w:left w:val="none" w:sz="0" w:space="0" w:color="auto"/>
        <w:bottom w:val="none" w:sz="0" w:space="0" w:color="auto"/>
        <w:right w:val="none" w:sz="0" w:space="0" w:color="auto"/>
      </w:divBdr>
    </w:div>
    <w:div w:id="1942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Pages>
  <Words>56318</Words>
  <Characters>321013</Characters>
  <Application>Microsoft Office Word</Application>
  <DocSecurity>0</DocSecurity>
  <Lines>2675</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Bunnefeld</dc:creator>
  <cp:keywords/>
  <dc:description/>
  <cp:lastModifiedBy>Matthew Nuttall</cp:lastModifiedBy>
  <cp:revision>13</cp:revision>
  <dcterms:created xsi:type="dcterms:W3CDTF">2022-01-23T20:27:00Z</dcterms:created>
  <dcterms:modified xsi:type="dcterms:W3CDTF">2022-02-07T22:08:00Z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id="ipzdYNRF"/&gt;&lt;style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