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A6443" w14:textId="128FA398" w:rsidR="00612128" w:rsidRDefault="00CA0CCD">
      <w:pPr>
        <w:rPr>
          <w:b/>
          <w:bCs/>
        </w:rPr>
      </w:pPr>
      <w:r>
        <w:rPr>
          <w:b/>
          <w:bCs/>
        </w:rPr>
        <w:t xml:space="preserve">Discussion </w:t>
      </w:r>
    </w:p>
    <w:p w14:paraId="2B83B4B1" w14:textId="523C5608" w:rsidR="00CA0CCD" w:rsidRDefault="000F5A08">
      <w:r>
        <w:t xml:space="preserve">Understanding </w:t>
      </w:r>
      <w:r w:rsidR="0004482D">
        <w:t xml:space="preserve">the </w:t>
      </w:r>
      <w:r>
        <w:t>drivers and proximate causes of forest cover</w:t>
      </w:r>
      <w:r w:rsidR="0004482D">
        <w:t xml:space="preserve"> loss</w:t>
      </w:r>
      <w:r>
        <w:t xml:space="preserve"> and land use change is critical for the development of sustainable environmental policies and forest conservation initiatives. Studies need to target multiple scales to build a cohesive picture of the social-ecological systems within which deforestation occurs, so that policy development is appropriate </w:t>
      </w:r>
      <w:r w:rsidR="000D6201">
        <w:t>and effective. Importantly, researchers need to select the appropriate method to answer specific questions at specific scales, and the complexity of the system must be understood. In this study, we have modelled the relationships between macroeconomic and socioeconomic variables and forest loss, forest cover, and the development of new ELCs. We have investigated these relationships at multiple scales using a variety of approaches and have revealed some important relationships from which we can make cautious inferences regarding</w:t>
      </w:r>
      <w:r w:rsidR="003F2EEF">
        <w:t xml:space="preserve"> direct and indirect</w:t>
      </w:r>
      <w:r w:rsidR="000D6201">
        <w:t xml:space="preserve"> drivers of forest loss. Furthermore, we have revealed key methodological issues, particularly around scale and model variance, that are likely to be common in these types of analyses, but which often remain unexplored or unreported in the literature. </w:t>
      </w:r>
    </w:p>
    <w:p w14:paraId="2625965D" w14:textId="34161B5C" w:rsidR="000D6201" w:rsidRPr="003F2EEF" w:rsidRDefault="003F2EEF">
      <w:pPr>
        <w:rPr>
          <w:i/>
          <w:iCs/>
        </w:rPr>
      </w:pPr>
      <w:r>
        <w:rPr>
          <w:i/>
          <w:iCs/>
        </w:rPr>
        <w:t>Macroeconomic analysis</w:t>
      </w:r>
    </w:p>
    <w:p w14:paraId="08D74F3E" w14:textId="362265EE" w:rsidR="000D6201" w:rsidRDefault="003F2EEF">
      <w:r>
        <w:t>There were very few significant effects in the macroeconomic analysis with forest loss as the response variable.</w:t>
      </w:r>
      <w:r w:rsidR="000467D9">
        <w:t xml:space="preserve"> Some of the predictor variables have been shown to correlate with LUC in other studies, such as GDP </w:t>
      </w:r>
      <w:r w:rsidR="000467D9">
        <w:fldChar w:fldCharType="begin"/>
      </w:r>
      <w:r w:rsidR="000467D9">
        <w:instrText xml:space="preserve"> ADDIN ZOTERO_ITEM CSL_CITATION {"citationID":"OCVMnIfZ","properties":{"formattedCitation":"(Ewers, 2006; Fan and Ding, 2016; Gong et al., 2013; Kuang et al., 2016)","plainCitation":"(Ewers, 2006; Fan and Ding, 2016; Gong et al., 2013; Kuang et al., 2016)","noteIndex":0},"citationItems":[{"id":2120,"uris":["http://zotero.org/users/2170232/items/SQR23FC7"],"uri":["http://zotero.org/users/2170232/items/SQR23FC7"],"itemData":{"id":2120,"type":"article-journal","abstract":"Recent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schema":"https://github.com/citation-style-language/schema/raw/master/csl-citation.json"} </w:instrText>
      </w:r>
      <w:r w:rsidR="000467D9">
        <w:fldChar w:fldCharType="separate"/>
      </w:r>
      <w:r w:rsidR="000467D9" w:rsidRPr="000467D9">
        <w:rPr>
          <w:rFonts w:ascii="Calibri" w:hAnsi="Calibri" w:cs="Calibri"/>
        </w:rPr>
        <w:t>(Ewers, 2006; Fan and Ding, 2016; Gong et al., 2013; Kuang et al., 2016)</w:t>
      </w:r>
      <w:r w:rsidR="000467D9">
        <w:fldChar w:fldCharType="end"/>
      </w:r>
      <w:r w:rsidR="000467D9">
        <w:t xml:space="preserve">, the contribution of economic sectors to national GDP </w:t>
      </w:r>
      <w:r w:rsidR="000467D9">
        <w:fldChar w:fldCharType="begin"/>
      </w:r>
      <w:r w:rsidR="000467D9">
        <w:instrText xml:space="preserve"> ADDIN ZOTERO_ITEM CSL_CITATION {"citationID":"hP2XH5Gb","properties":{"formattedCitation":"(Gong et al., 2013)","plainCitation":"(Gong et al., 2013)","noteIndex":0},"citationItems":[{"id":1526,"uris":["http://zotero.org/users/2170232/items/2LSJZH7A"],"uri":["http://zotero.org/users/2170232/items/2LSJZH7A"],"itemData":{"id":1526,"type":"article-journal","abstract":"Urban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rsidR="000467D9">
        <w:fldChar w:fldCharType="separate"/>
      </w:r>
      <w:r w:rsidR="000467D9" w:rsidRPr="000467D9">
        <w:rPr>
          <w:rFonts w:ascii="Calibri" w:hAnsi="Calibri" w:cs="Calibri"/>
        </w:rPr>
        <w:t>(Gong et al., 2013)</w:t>
      </w:r>
      <w:r w:rsidR="000467D9">
        <w:fldChar w:fldCharType="end"/>
      </w:r>
      <w:r w:rsidR="000467D9">
        <w:t xml:space="preserve">, human population growth and density </w:t>
      </w:r>
      <w:r w:rsidR="000467D9">
        <w:fldChar w:fldCharType="begin"/>
      </w:r>
      <w:r w:rsidR="000467D9">
        <w:instrText xml:space="preserve"> ADDIN ZOTERO_ITEM CSL_CITATION {"citationID":"FgOAx51a","properties":{"formattedCitation":"(Bonilla-Bedoya et al., 2018; Fan and Ding, 2016)","plainCitation":"(Bonilla-Bedoya et al., 2018; Fan and Ding, 2016)","noteIndex":0},"citationItems":[{"id":179,"uris":["http://zotero.org/users/2170232/items/WZLMGHYE"],"uri":["http://zotero.org/users/2170232/items/WZLMGHYE"],"itemData":{"id":179,"type":"article-journal","abstract":"The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rsidR="000467D9">
        <w:fldChar w:fldCharType="separate"/>
      </w:r>
      <w:r w:rsidR="000467D9" w:rsidRPr="000467D9">
        <w:rPr>
          <w:rFonts w:ascii="Calibri" w:hAnsi="Calibri" w:cs="Calibri"/>
        </w:rPr>
        <w:t>(Bonilla-Bedoya et al., 2018; Fan and Ding, 2016)</w:t>
      </w:r>
      <w:r w:rsidR="000467D9">
        <w:fldChar w:fldCharType="end"/>
      </w:r>
      <w:r w:rsidR="000467D9">
        <w:t xml:space="preserve">, and agricultural output </w:t>
      </w:r>
      <w:r w:rsidR="000467D9">
        <w:fldChar w:fldCharType="begin"/>
      </w:r>
      <w:r w:rsidR="000467D9">
        <w:instrText xml:space="preserve"> ADDIN ZOTERO_ITEM CSL_CITATION {"citationID":"gGsXQX2h","properties":{"formattedCitation":"(Fan and Ding, 2016)","plainCitation":"(Fan and Ding, 2016)","noteIndex":0},"citationItems":[{"id":2638,"uris":["http://zotero.org/users/2170232/items/AXZEYZ6Z"],"uri":["http://zotero.org/users/2170232/items/AXZEYZ6Z"],"itemData":{"id":2638,"type":"article-journal","abstract":"Human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rsidR="000467D9">
        <w:fldChar w:fldCharType="separate"/>
      </w:r>
      <w:r w:rsidR="000467D9" w:rsidRPr="000467D9">
        <w:rPr>
          <w:rFonts w:ascii="Calibri" w:hAnsi="Calibri" w:cs="Calibri"/>
        </w:rPr>
        <w:t>(Fan and Ding, 2016)</w:t>
      </w:r>
      <w:r w:rsidR="000467D9">
        <w:fldChar w:fldCharType="end"/>
      </w:r>
      <w:r w:rsidR="000467D9">
        <w:t>. There are several possible explanations for the lack of effects in this study.</w:t>
      </w:r>
      <w:r w:rsidR="000C6D7F">
        <w:t xml:space="preserve"> First,</w:t>
      </w:r>
      <w:r w:rsidR="000467D9">
        <w:t xml:space="preserve"> </w:t>
      </w:r>
      <w:r w:rsidR="000C6D7F">
        <w:t>p</w:t>
      </w:r>
      <w:r w:rsidR="000467D9">
        <w:t xml:space="preserve">revious studies have been at different scales to this study, such as global </w:t>
      </w:r>
      <w:r w:rsidR="000467D9">
        <w:fldChar w:fldCharType="begin"/>
      </w:r>
      <w:r w:rsidR="00341503">
        <w:instrText xml:space="preserve"> ADDIN ZOTERO_ITEM CSL_CITATION {"citationID":"eXCVVRX8","properties":{"formattedCitation":"(Ewers, 2006)","plainCitation":"(Ewers, 2006)","dontUpdate":true,"noteIndex":0},"citationItems":[{"id":2120,"uris":["http://zotero.org/users/2170232/items/SQR23FC7"],"uri":["http://zotero.org/users/2170232/items/SQR23FC7"],"itemData":{"id":2120,"type":"article-journal","abstract":"Recent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M."}],"issued":{"date-parts":[["2006",5,1]]}}}],"schema":"https://github.com/citation-style-language/schema/raw/master/csl-citation.json"} </w:instrText>
      </w:r>
      <w:r w:rsidR="000467D9">
        <w:fldChar w:fldCharType="separate"/>
      </w:r>
      <w:r w:rsidR="000467D9" w:rsidRPr="000467D9">
        <w:rPr>
          <w:rFonts w:ascii="Calibri" w:hAnsi="Calibri" w:cs="Calibri"/>
        </w:rPr>
        <w:t>(</w:t>
      </w:r>
      <w:r w:rsidR="000467D9">
        <w:rPr>
          <w:rFonts w:ascii="Calibri" w:hAnsi="Calibri" w:cs="Calibri"/>
        </w:rPr>
        <w:t xml:space="preserve">e.g., </w:t>
      </w:r>
      <w:r w:rsidR="000467D9" w:rsidRPr="000467D9">
        <w:rPr>
          <w:rFonts w:ascii="Calibri" w:hAnsi="Calibri" w:cs="Calibri"/>
        </w:rPr>
        <w:t>Ewers, 2006)</w:t>
      </w:r>
      <w:r w:rsidR="000467D9">
        <w:fldChar w:fldCharType="end"/>
      </w:r>
      <w:r w:rsidR="000467D9">
        <w:t>, or sub-national</w:t>
      </w:r>
      <w:r w:rsidR="000C6D7F">
        <w:t xml:space="preserve"> </w:t>
      </w:r>
      <w:r w:rsidR="000C6D7F">
        <w:fldChar w:fldCharType="begin"/>
      </w:r>
      <w:r w:rsidR="00341503">
        <w:instrText xml:space="preserve"> ADDIN ZOTERO_ITEM CSL_CITATION {"citationID":"Of4G75wQ","properties":{"formattedCitation":"(Gong et al., 2013)","plainCitation":"(Gong et al., 2013)","dontUpdate":true,"noteIndex":0},"citationItems":[{"id":1526,"uris":["http://zotero.org/users/2170232/items/2LSJZH7A"],"uri":["http://zotero.org/users/2170232/items/2LSJZH7A"],"itemData":{"id":1526,"type":"article-journal","abstract":"Urban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rsidR="000C6D7F">
        <w:fldChar w:fldCharType="separate"/>
      </w:r>
      <w:r w:rsidR="000C6D7F" w:rsidRPr="000C6D7F">
        <w:rPr>
          <w:rFonts w:ascii="Calibri" w:hAnsi="Calibri" w:cs="Calibri"/>
        </w:rPr>
        <w:t>(</w:t>
      </w:r>
      <w:r w:rsidR="000C6D7F">
        <w:rPr>
          <w:rFonts w:ascii="Calibri" w:hAnsi="Calibri" w:cs="Calibri"/>
        </w:rPr>
        <w:t xml:space="preserve">e.g., </w:t>
      </w:r>
      <w:r w:rsidR="000C6D7F" w:rsidRPr="000C6D7F">
        <w:rPr>
          <w:rFonts w:ascii="Calibri" w:hAnsi="Calibri" w:cs="Calibri"/>
        </w:rPr>
        <w:t>Gong et al., 2013)</w:t>
      </w:r>
      <w:r w:rsidR="000C6D7F">
        <w:fldChar w:fldCharType="end"/>
      </w:r>
      <w:r w:rsidR="000C6D7F">
        <w:t xml:space="preserve">, and therefore the drivers which are operating at those scales may be different to the drivers operating at the national scale in Cambodia. Second, Cambodia’s economy is unique within Asia because of the civil unrest and war, economic collapse, and subsequent rapid economic revival. This may render comparison of macroeconomic drivers of forest loss </w:t>
      </w:r>
      <w:r w:rsidR="00C13023">
        <w:t>and</w:t>
      </w:r>
      <w:r w:rsidR="000C6D7F">
        <w:t xml:space="preserve"> LUC with other Asian countries ineffective. For example, Cambodia’s economy is in its infancy relative to many other countries in the region, and therefore forest loss</w:t>
      </w:r>
      <w:r w:rsidR="00C13023">
        <w:t xml:space="preserve"> during the study period</w:t>
      </w:r>
      <w:r w:rsidR="000C6D7F">
        <w:t xml:space="preserve"> may</w:t>
      </w:r>
      <w:r w:rsidR="00C13023">
        <w:t xml:space="preserve"> have</w:t>
      </w:r>
      <w:r w:rsidR="000C6D7F">
        <w:t xml:space="preserve"> be</w:t>
      </w:r>
      <w:r w:rsidR="00C13023">
        <w:t>en</w:t>
      </w:r>
      <w:r w:rsidR="000C6D7F">
        <w:t xml:space="preserve"> driven more by local </w:t>
      </w:r>
      <w:r w:rsidR="00C13023">
        <w:t xml:space="preserve">drivers such as poverty, insecure land tenure, and land speculation by migrants, rather than national-level economics. Third, we did not include predictor variables covering institutional factors, land rights or tenure, or environmental policies, which have been shown to be important </w:t>
      </w:r>
      <w:r w:rsidR="00C13023">
        <w:fldChar w:fldCharType="begin"/>
      </w:r>
      <w:r w:rsidR="00C13023">
        <w:instrText xml:space="preserve"> ADDIN ZOTERO_ITEM CSL_CITATION {"citationID":"W2OIhhpT","properties":{"formattedCitation":"(Culas, 2007)","plainCitation":"(Culas, 2007)","noteIndex":0},"citationItems":[{"id":2123,"uris":["http://zotero.org/users/2170232/items/GFXZ4GUN"],"uri":["http://zotero.org/users/2170232/items/GFXZ4GUN"],"itemData":{"id":2123,"type":"article-journal","abstract":"Institutions for secure property rights and better environmental policies for moving the system towards a sustainable growth path can reduce the height of an environmental Kuznets curve (EKC) relationship between income and deforestation. This study examines the impact of these specific institutional factors on the EKC relationship for deforestation across Latin American, African and Asian countries. The factors related to agricultural production, population, economy and governmental policies of each country are hypothesised to affect deforestation. Results of the Latin American countries show significant evidence of an EKC relationship for deforestation and also relevance of the institutional factors to reduce the rate of deforestation. Improvements in institutions for secure property rights and better environmental policies can thus significantly reduce the rate of deforestation without hindering the level of economic growth. Evidence also suggests that the effect of agricultural production on deforestation could be halted by strengthening institutional factors. There was found to be complementarity between the institutional factors and forest sector polices, and an additive effect between the institutional factors and forest products export promotion policies, which could also eventually reduce the rate of deforestation.","container-title":"Ecological Economics","DOI":"10.1016/j.ecolecon.2006.03.014","ISSN":"0921-8009","issue":"2","journalAbbreviation":"Ecological Economics","language":"en","page":"429-437","source":"ScienceDirect","title":"Deforestation and the environmental Kuznets curve: An institutional perspective","title-short":"Deforestation and the environmental Kuznets curve","volume":"61","author":[{"family":"Culas","given":"Richard J."}],"issued":{"date-parts":[["2007",3,1]]}}}],"schema":"https://github.com/citation-style-language/schema/raw/master/csl-citation.json"} </w:instrText>
      </w:r>
      <w:r w:rsidR="00C13023">
        <w:fldChar w:fldCharType="separate"/>
      </w:r>
      <w:r w:rsidR="00C13023" w:rsidRPr="00C13023">
        <w:rPr>
          <w:rFonts w:ascii="Calibri" w:hAnsi="Calibri" w:cs="Calibri"/>
        </w:rPr>
        <w:t>(Culas, 2007)</w:t>
      </w:r>
      <w:r w:rsidR="00C13023">
        <w:fldChar w:fldCharType="end"/>
      </w:r>
      <w:r w:rsidR="00C13023">
        <w:t xml:space="preserve">. Fourth, we only investigated up to two years of time lag between changes in predictor variables and changes in forest cover. It is possible that the effects of macroeconomics on forest cover and LUC operate at a larger temporal scale than considered in this study.     </w:t>
      </w:r>
      <w:r w:rsidR="000C6D7F">
        <w:t xml:space="preserve">  </w:t>
      </w:r>
    </w:p>
    <w:p w14:paraId="36DA6BF4" w14:textId="77777777" w:rsidR="00F64F35" w:rsidRDefault="00C26A0C">
      <w:r>
        <w:t xml:space="preserve">In contrast, the macroeconomic variables were effective at predicting the allocation of new ELCs. Although ELCs do not guarantee deforestation (indeed not all ELCs are awarded on forested land), the deforestation rates within ELCs are up to 105% higher than comparable areas with no ELCs </w:t>
      </w:r>
      <w:r>
        <w:fldChar w:fldCharType="begin"/>
      </w:r>
      <w:r>
        <w:instrText xml:space="preserve"> ADDIN ZOTERO_ITEM CSL_CITATION {"citationID":"d0P6J01P","properties":{"formattedCitation":"(Davis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fldChar w:fldCharType="separate"/>
      </w:r>
      <w:r w:rsidRPr="00C26A0C">
        <w:rPr>
          <w:rFonts w:ascii="Calibri" w:hAnsi="Calibri" w:cs="Calibri"/>
        </w:rPr>
        <w:t>(Davis et al., 2015)</w:t>
      </w:r>
      <w:r>
        <w:fldChar w:fldCharType="end"/>
      </w:r>
      <w:r>
        <w:t>. There has also been widespread allocation of ELCs within forested</w:t>
      </w:r>
      <w:r w:rsidR="0098233C">
        <w:t xml:space="preserve"> community land and</w:t>
      </w:r>
      <w:r>
        <w:t xml:space="preserve"> protected areas, resulting in the loss of important forest habitat</w:t>
      </w:r>
      <w:r w:rsidR="0098233C">
        <w:t>, rural livelihoods, and indigenous land rights</w:t>
      </w:r>
      <w:r>
        <w:t xml:space="preserve"> </w:t>
      </w:r>
      <w:r>
        <w:fldChar w:fldCharType="begin"/>
      </w:r>
      <w:r>
        <w:instrText xml:space="preserve"> ADDIN ZOTERO_ITEM CSL_CITATION {"citationID":"kZPn6vLD","properties":{"formattedCitation":"(Global Witness, 2013; Watson et al., 2014)","plainCitation":"(Global Witness, 2013; Watson et al., 2014)","noteIndex":0},"citationItems":[{"id":2447,"uris":["http://zotero.org/users/2170232/items/UWK5XCYU"],"uri":["http://zotero.org/users/2170232/items/UWK5XCYU"],"itemData":{"id":2447,"type":"report","publisher":"Global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B."},{"family":"Hockings","given":"Marc"}],"issued":{"date-parts":[["2014",11]]}}}],"schema":"https://github.com/citation-style-language/schema/raw/master/csl-citation.json"} </w:instrText>
      </w:r>
      <w:r>
        <w:fldChar w:fldCharType="separate"/>
      </w:r>
      <w:r w:rsidRPr="00C26A0C">
        <w:rPr>
          <w:rFonts w:ascii="Calibri" w:hAnsi="Calibri" w:cs="Calibri"/>
        </w:rPr>
        <w:t>(Global Witness, 2013; Watson et al., 2014)</w:t>
      </w:r>
      <w:r>
        <w:fldChar w:fldCharType="end"/>
      </w:r>
      <w:r>
        <w:t>. Therefore, ELCs themselves can be considered direct drivers of forest loss, rendering the macroeconomic predictors indirect drivers.</w:t>
      </w:r>
      <w:r w:rsidR="00714B19">
        <w:t xml:space="preserve"> Our results have demonstrated that during the study period, the economic development of the country was closely linked to the increase in ELCs, which in turn have driven forest loss. There w</w:t>
      </w:r>
      <w:r w:rsidR="007B6CAB">
        <w:t>ere</w:t>
      </w:r>
      <w:r w:rsidR="00714B19">
        <w:t xml:space="preserve"> clear </w:t>
      </w:r>
      <w:r w:rsidR="0098233C">
        <w:t>relationships</w:t>
      </w:r>
      <w:r w:rsidR="00714B19">
        <w:t xml:space="preserve"> between the size of the agricultural sector</w:t>
      </w:r>
      <w:r w:rsidR="007B6CAB">
        <w:t>,</w:t>
      </w:r>
      <w:r w:rsidR="00714B19">
        <w:t xml:space="preserve"> the rates of foreign investment</w:t>
      </w:r>
      <w:r w:rsidR="007B6CAB">
        <w:t>,</w:t>
      </w:r>
      <w:r w:rsidR="00714B19">
        <w:t xml:space="preserve"> and the number of new ELCs. </w:t>
      </w:r>
      <w:r w:rsidR="007B6CAB">
        <w:t xml:space="preserve">The process of awarding ELC contracts in Cambodia has been criticised for lacking transparency and for corruption </w:t>
      </w:r>
      <w:r w:rsidR="007B6CAB">
        <w:fldChar w:fldCharType="begin"/>
      </w:r>
      <w:r w:rsidR="00F64F35">
        <w:instrText xml:space="preserve"> ADDIN ZOTERO_ITEM CSL_CITATION {"citationID":"ZEOqCtHg","properties":{"formattedCitation":"(Neef et al., 2013; Vrieze and Kuch, 2012)","plainCitation":"(Neef et al., 2013; Vrieze and Kuch, 2012)","noteIndex":0},"citationItems":[{"id":2486,"uris":["http://zotero.org/users/2170232/items/2HCRAVQT"],"uri":["http://zotero.org/users/2170232/items/2HCRAVQT"],"itemData":{"id":2486,"type":"article-journal","abstract":"In rural Cambodia the rampant allocation of state land to political elites and foreign investors in the form of “Economic Land Concessions (ELCs)”—estimated to cover an area equivalent to more than 50 % of the country’s arable land—has been associated with encroachment on farmland, community forests and indigenous territories and has contributed to a rapid increase of rural landlessness. By contrast, less than 7,000 ha of land have been allotted to land-poor and landless farmers under the pilot project for “Social Land Concessions (SLCs)” supported by various donor agencies. Drawing on fieldwork conducted in two research sites in Kratie Province, this article sheds light on the mechanisms and discourses surrounding the allocation of ELCs and SLCs. Our findings suggest that large-scale and non-transparent land leases in the form of ELCs are discursively justified as land policy measures supporting national development, creating employment opportunities in rural areas, and restoring “degraded” and “non-use” land, while SLCs are presented by the government and its international donors as a complementary policy to reduce landlessness, alleviate rural poverty, and ensure a more equitable land distribution. We argue that the SLC pilot project is a deliberate strategy deployed by the Cambodian ruling elite to instrumentalize international aid agencies in formalizing displacement and distributional injustices, in smoothing the adverse social impacts of their very own land policies and in minimizing resistance by dispossessed rural people.","container-title":"Journal of Agricultural and Environmental Ethics","DOI":"10.1007/s10806-013-9446-y","ISSN":"1573-322X","issue":"6","journalAbbreviation":"J Agric Environ Ethics","language":"en","page":"1085-1103","source":"Springer Link","title":"The Politics and Ethics of Land Concessions in Rural Cambodia","volume":"26","author":[{"family":"Neef","given":"Andreas"},{"family":"Touch","given":"Siphat"},{"family":"Chiengthong","given":"Jamaree"}],"issued":{"date-parts":[["2013",12,1]]}}},{"id":2053,"uris":["http://zotero.org/users/2170232/items/C9AXILM9"],"uri":["http://zotero.org/users/2170232/items/C9AXILM9"],"itemData":{"id":2053,"type":"article-newspaper","container-title":"The Cambodia Daily","page":"4-11","title":"Carving up Cambodia: One concesion at a time","author":[{"family":"Vrieze","given":"Paul"},{"family":"Kuch","given":"Naren"}],"issued":{"date-parts":[["2012"]]}}}],"schema":"https://github.com/citation-style-language/schema/raw/master/csl-citation.json"} </w:instrText>
      </w:r>
      <w:r w:rsidR="007B6CAB">
        <w:fldChar w:fldCharType="separate"/>
      </w:r>
      <w:r w:rsidR="00F64F35" w:rsidRPr="00F64F35">
        <w:rPr>
          <w:rFonts w:ascii="Calibri" w:hAnsi="Calibri" w:cs="Calibri"/>
        </w:rPr>
        <w:t>(Neef et al., 2013; Vrieze and Kuch, 2012)</w:t>
      </w:r>
      <w:r w:rsidR="007B6CAB">
        <w:fldChar w:fldCharType="end"/>
      </w:r>
      <w:r w:rsidR="007B6CAB">
        <w:t xml:space="preserve">, and so it is not </w:t>
      </w:r>
      <w:r w:rsidR="007B6CAB">
        <w:lastRenderedPageBreak/>
        <w:t xml:space="preserve">always possible to identify who owns a particular </w:t>
      </w:r>
      <w:r w:rsidR="00F64F35">
        <w:t>concession</w:t>
      </w:r>
      <w:r w:rsidR="007B6CAB">
        <w:t>. Nevertheless, of those identified, 48% were foreign owned</w:t>
      </w:r>
      <w:r w:rsidR="0098233C">
        <w:t xml:space="preserve"> </w:t>
      </w:r>
      <w:r w:rsidR="0098233C">
        <w:fldChar w:fldCharType="begin"/>
      </w:r>
      <w:r w:rsidR="0098233C">
        <w:instrText xml:space="preserve"> ADDIN ZOTERO_ITEM CSL_CITATION {"citationID":"FzYs6DA6","properties":{"formattedCitation":"(Licadho, 2019)","plainCitation":"(Licadho, 2019)","noteIndex":0},"citationItems":[{"id":2054,"uris":["http://zotero.org/users/2170232/items/4ICGYNM8"],"uri":["http://zotero.org/users/2170232/items/4ICGYNM8"],"itemData":{"id":2054,"type":"map","title":"Economic Land Concessions in Cambodia","URL":"http://www.licadho-cambodia.org","author":[{"family":"Licadho","given":""}],"accessed":{"date-parts":[["2019",9,24]]},"issued":{"date-parts":[["2019"]]}}}],"schema":"https://github.com/citation-style-language/schema/raw/master/csl-citation.json"} </w:instrText>
      </w:r>
      <w:r w:rsidR="0098233C">
        <w:fldChar w:fldCharType="separate"/>
      </w:r>
      <w:r w:rsidR="0098233C" w:rsidRPr="0098233C">
        <w:rPr>
          <w:rFonts w:ascii="Calibri" w:hAnsi="Calibri" w:cs="Calibri"/>
        </w:rPr>
        <w:t>(Licadho, 2019)</w:t>
      </w:r>
      <w:r w:rsidR="0098233C">
        <w:fldChar w:fldCharType="end"/>
      </w:r>
      <w:r w:rsidR="007B6CAB">
        <w:t xml:space="preserve">. </w:t>
      </w:r>
      <w:r w:rsidR="000D29B7">
        <w:t>Despite</w:t>
      </w:r>
      <w:r w:rsidR="0098233C">
        <w:t xml:space="preserve"> real and</w:t>
      </w:r>
      <w:r w:rsidR="000D29B7">
        <w:t xml:space="preserve"> perceived benefits of attracting foreign investment and expanding the production of cash crops, there are numerous negative effects on local people and the environment. Development of potential agricultural land by investors comes with opportunity costs for local people, who otherwise may have had access to the land, water, and other resources, and could have themselves developed agriculture that would have alleviated poverty more effectively than a commercial agricultural enterprise. </w:t>
      </w:r>
      <w:r w:rsidR="0098233C">
        <w:t xml:space="preserve">Furthermore, agro-industrial production of cash crops for international markets leaves the country open to price shocks and other suboptimal market fluctuations </w:t>
      </w:r>
      <w:r w:rsidR="0098233C">
        <w:fldChar w:fldCharType="begin"/>
      </w:r>
      <w:r w:rsidR="0098233C">
        <w:instrText xml:space="preserve"> ADDIN ZOTERO_ITEM CSL_CITATION {"citationID":"HGKLJYut","properties":{"formattedCitation":"(De Schutter, 2011)","plainCitation":"(De Schutter, 2011)","noteIndex":0},"citationItems":[{"id":2758,"uris":["http://zotero.org/users/2170232/items/W4WVMKX6"],"uri":["http://zotero.org/users/2170232/items/W4WVMKX6"],"itemData":{"id":2758,"type":"article-journal","abstract":"Large-scale investments in farmland have been criticized, chiefly, because of questions about the capacity of the countries targeted by these land deals to effectively manage these investments in order to ensure that they contribute to rural development and poverty alleviation. This article questions the idea that this is the only or even the main problem raised by such investments. If weak governance were the only problem, then appropriate regulation—and incentives to manage such investments correctly—would indeed be a solution. However the real concern behind the development of large-scale investments in farmland is that giving land away to investors, having better access to capital to ‘develop’, implies huge opportunity costs, as it will result in a type of farming that will have much less powerful poverty-reducing impacts, than if access to land and water were improved for the local farming communities; that it directs agriculture towards crops for export markets, increasing the vulnerability to price shocks of the target countries; and that even where titling schemes seek to protect land users from eviction, it accelerates the development of a market for land rights with potentially destructive effects on the livelihoods, both of the current land users that will face increased commercial pressure on land, and of groups depending on the commons—grazing and fishing grounds, and forests. The article maps these various levels of critiques. It concludes that we need to do more than impose a discipline on land-grabbing: we need a real alternative to this kind of investment in land.","container-title":"The Journal of Peasant Studies","DOI":"10.1080/03066150.2011.559008","ISSN":"0306-6150","issue":"2","note":"publisher: Routledge\n_eprint: https://doi.org/10.1080/03066150.2011.559008","page":"249-279","source":"Taylor and Francis+NEJM","title":"How not to think of land-grabbing: three critiques of large-scale investments in farmland","title-short":"How not to think of land-grabbing","volume":"38","author":[{"family":"De Schutter","given":"Olivier"}],"issued":{"date-parts":[["2011",3,1]]}}}],"schema":"https://github.com/citation-style-language/schema/raw/master/csl-citation.json"} </w:instrText>
      </w:r>
      <w:r w:rsidR="0098233C">
        <w:fldChar w:fldCharType="separate"/>
      </w:r>
      <w:r w:rsidR="0098233C" w:rsidRPr="0098233C">
        <w:rPr>
          <w:rFonts w:ascii="Calibri" w:hAnsi="Calibri" w:cs="Calibri"/>
        </w:rPr>
        <w:t>(De Schutter, 2011)</w:t>
      </w:r>
      <w:r w:rsidR="0098233C">
        <w:fldChar w:fldCharType="end"/>
      </w:r>
      <w:r w:rsidR="0098233C">
        <w:t xml:space="preserve">. </w:t>
      </w:r>
    </w:p>
    <w:p w14:paraId="35552A0E" w14:textId="7977D5EC" w:rsidR="00C00A42" w:rsidRDefault="00F64F35" w:rsidP="00C00A42">
      <w:r>
        <w:t xml:space="preserve">Changes in new ELC allocation can also be effectively predicted by several key agricultural commodity prices, both on the international market and internally at the farmgate scale. Rubber, sugar, </w:t>
      </w:r>
      <w:r w:rsidR="007F4665">
        <w:t xml:space="preserve">corn, </w:t>
      </w:r>
      <w:r>
        <w:t xml:space="preserve">and rice we all important variables in the models, and increases in the market prices of these commodities can predict increases in the allocation of ELCs. Importantly, there </w:t>
      </w:r>
      <w:r w:rsidR="007F4665">
        <w:t xml:space="preserve">were </w:t>
      </w:r>
      <w:r>
        <w:t>differences in the effects of commodity</w:t>
      </w:r>
      <w:r w:rsidR="007F4665">
        <w:t xml:space="preserve"> and producer prices on ELC allocation at different time lags, suggesting that either investors will delay investing in a new crop for up to two years after the prices increase, or that the process of purchasing land and establishing an ELC venture can in some cases be a slow process. International market forces are known to drive </w:t>
      </w:r>
      <w:r w:rsidR="00C00A42">
        <w:t>LUC, and</w:t>
      </w:r>
      <w:r w:rsidR="007F4665">
        <w:t xml:space="preserve"> </w:t>
      </w:r>
      <w:r w:rsidR="00C00A42">
        <w:t xml:space="preserve">globally, land conversion for commodity production is the single largest driver of deforestation </w:t>
      </w:r>
      <w:r w:rsidR="00C00A42">
        <w:fldChar w:fldCharType="begin"/>
      </w:r>
      <w:r w:rsidR="00C00A42">
        <w:instrText xml:space="preserve"> ADDIN ZOTERO_ITEM CSL_CITATION {"citationID":"MSxMEiBc","properties":{"formattedCitation":"(Curtis et al., 2018)","plainCitation":"(Curtis et al., 2018)","noteIndex":0},"citationItems":[{"id":2375,"uris":["http://zotero.org/users/2170232/items/MGBJXYEN"],"uri":["http://zotero.org/users/2170232/items/MGBJXYEN"],"itemData":{"id":2375,"type":"article-journal","abstract":"Mapping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C."}],"issued":{"date-parts":[["2018"]]}}}],"schema":"https://github.com/citation-style-language/schema/raw/master/csl-citation.json"} </w:instrText>
      </w:r>
      <w:r w:rsidR="00C00A42">
        <w:fldChar w:fldCharType="separate"/>
      </w:r>
      <w:r w:rsidR="00C00A42" w:rsidRPr="004D60CD">
        <w:rPr>
          <w:rFonts w:ascii="Calibri" w:hAnsi="Calibri" w:cs="Calibri"/>
        </w:rPr>
        <w:t>(Curtis et al., 2018)</w:t>
      </w:r>
      <w:r w:rsidR="00C00A42">
        <w:fldChar w:fldCharType="end"/>
      </w:r>
      <w:r w:rsidR="00C00A42">
        <w:t xml:space="preserve">. </w:t>
      </w:r>
      <w:r w:rsidR="00C00A42">
        <w:fldChar w:fldCharType="begin"/>
      </w:r>
      <w:r w:rsidR="00341503">
        <w:instrText xml:space="preserve"> ADDIN ZOTERO_ITEM CSL_CITATION {"citationID":"CwlwQmVP","properties":{"formattedCitation":"(Grogan et al., 2015)","plainCitation":"(Grogan et al., 2015)","dontUpdate":true,"noteIndex":0},"citationItems":[{"id":2760,"uris":["http://zotero.org/users/2170232/items/RPYSN4I3"],"uri":["http://zotero.org/users/2170232/items/RPYSN4I3"],"itemData":{"id":2760,"type":"article-journal","abstract":"The recent rise in global demand for natural rubber (Hevea brasiliensis) has led to expansive areas of natural forest being transformed into monoculture plantations. This paper explores the utility of annual Landsat time series for monitoring forest disturbance and the role of natural rubber in mainland Southeast Asia from 2000 to 2012. A region on the Cambodian–Vietnamese border was chosen for this study considering four primary questions: 1) how accurately can annual Landsat time series map the location and timing of forest disturbances in evergreen and seasonal tropical forests, 2) are there cross-border differences in frontier and non-frontier forest disturbance rates between Cambodia and Vietnam, 3) what proportion of disturbances in frontier and non-frontier forests can be accounted for by the impact of rubber plantations, and 4) is there a relationship between global market prices for natural rubber and the annual rate of frontier forest clearing for rubber plantations on both sides of the border. We used LandTrendr (Landsat-based detection of trends in disturbance and recovery) for temporal segmentation of the Landsat time series and disturbance mapping. Our results show that this approach can provide accurate forest disturbance maps but that accuracy is affected by forest type. Highest accuracies were found in evergreen forest (91%), with lower accuracies in mixed (82%) and dry-deciduous forest types (86%). Our final map considering all forest types yielded an overall accuracy of 86%. Forest disturbance rates were generally higher on the Cambodian side of the border. Frontier forest disturbance rates averaged 3.8%/year in Cambodia compared to 2.5%/year in Vietnam. Conversion to rubber was the dominant form of frontier forest change in both countries (42% in Cambodia and 84% in Vietnam). Non-frontier forest disturbances averaged 4.0% and 2.5% in Cambodia and Vietnam, respectively, with most disturbances likewise linked with rubber plantations. Although rates of frontier forest disturbance differed in both countries, they each displayed similar correlations between disturbance rates related to rubber plantation expansion and price fluctuations of natural rubber. This suggests links between localized land cover/use change and international market forces, irrespective of differing political and socioeconomic backgrounds. Our study underlines the value of using dense Landsat time series when exploring the dynamics of human-induced land cover change.","container-title":"Remote Sensing of Environment","DOI":"10.1016/j.rse.2015.03.001","ISSN":"0034-4257","journalAbbreviation":"Remote Sensing of Environment","language":"en","page":"438-453","source":"ScienceDirect","title":"Cross-border forest disturbance and the role of natural rubber in mainland Southeast Asia using annual Landsat time series","volume":"169","author":[{"family":"Grogan","given":"Kenneth"},{"family":"Pflugmacher","given":"Dirk"},{"family":"Hostert","given":"Patrick"},{"family":"Kennedy","given":"Robert"},{"family":"Fensholt","given":"Rasmus"}],"issued":{"date-parts":[["2015",11,1]]}}}],"schema":"https://github.com/citation-style-language/schema/raw/master/csl-citation.json"} </w:instrText>
      </w:r>
      <w:r w:rsidR="00C00A42">
        <w:fldChar w:fldCharType="separate"/>
      </w:r>
      <w:r w:rsidR="00C00A42" w:rsidRPr="00C00A42">
        <w:rPr>
          <w:rFonts w:ascii="Calibri" w:hAnsi="Calibri" w:cs="Calibri"/>
        </w:rPr>
        <w:t xml:space="preserve">Grogan et al </w:t>
      </w:r>
      <w:r w:rsidR="00C00A42">
        <w:rPr>
          <w:rFonts w:ascii="Calibri" w:hAnsi="Calibri" w:cs="Calibri"/>
        </w:rPr>
        <w:t>(</w:t>
      </w:r>
      <w:r w:rsidR="00C00A42" w:rsidRPr="00C00A42">
        <w:rPr>
          <w:rFonts w:ascii="Calibri" w:hAnsi="Calibri" w:cs="Calibri"/>
        </w:rPr>
        <w:t>2015)</w:t>
      </w:r>
      <w:r w:rsidR="00C00A42">
        <w:fldChar w:fldCharType="end"/>
      </w:r>
      <w:r w:rsidR="00C00A42">
        <w:t xml:space="preserve"> provide an empirical example of how the international market price of rubber can drive deforestation in frontier areas of Cambodia and Vietnam. Understanding which commodities are driving land conversion, the strength of the effects, the time lags, and the legal and institutional mechanisms that facilitate the link between prices and forest loss, is critical for predicting future forest loss. </w:t>
      </w:r>
      <w:r w:rsidR="00DD409F">
        <w:t>The Cambodian Prime Minister issued a moratorium on new ELCs in 2012, which drastically reduced (although did not eliminate) ELC allocation. Although this has had a positive effect on forests, rural livelihoods, and indigenous land tenure, it is unclear how long this reprieve will last</w:t>
      </w:r>
      <w:r w:rsidR="00B65E3B">
        <w:t xml:space="preserve"> </w:t>
      </w:r>
      <w:r w:rsidR="00B65E3B">
        <w:fldChar w:fldCharType="begin"/>
      </w:r>
      <w:r w:rsidR="00B65E3B">
        <w:instrText xml:space="preserve"> ADDIN ZOTERO_ITEM CSL_CITATION {"citationID":"6Ox1VdRJ","properties":{"formattedCitation":"(Davis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B65E3B">
        <w:fldChar w:fldCharType="separate"/>
      </w:r>
      <w:r w:rsidR="00B65E3B" w:rsidRPr="00B65E3B">
        <w:rPr>
          <w:rFonts w:ascii="Calibri" w:hAnsi="Calibri" w:cs="Calibri"/>
        </w:rPr>
        <w:t>(Davis et al., 2015)</w:t>
      </w:r>
      <w:r w:rsidR="00B65E3B">
        <w:fldChar w:fldCharType="end"/>
      </w:r>
      <w:r w:rsidR="00DD409F">
        <w:t>, or whether a new mechanism will emerge to replace ELCs. The opaque legal mechanisms and weak institutional frameworks that governed ELCs in the past are likely to continue to hinder the development of sustainable agricultural policies.</w:t>
      </w:r>
      <w:r w:rsidR="0004482D">
        <w:t xml:space="preserve"> The relationships between macroeconomics</w:t>
      </w:r>
      <w:r w:rsidR="00D250B1">
        <w:t>, commodity prices,</w:t>
      </w:r>
      <w:r w:rsidR="0004482D">
        <w:t xml:space="preserve"> and industrial-scale agriculture </w:t>
      </w:r>
      <w:r w:rsidR="00D250B1">
        <w:t xml:space="preserve">identified in this study are likely replicated across the region, and therefore these results will be of use to researchers and policy makers outside Cambodia. </w:t>
      </w:r>
      <w:r w:rsidR="0004482D">
        <w:t xml:space="preserve"> </w:t>
      </w:r>
      <w:r w:rsidR="00DD409F">
        <w:t xml:space="preserve">  </w:t>
      </w:r>
    </w:p>
    <w:p w14:paraId="66891025" w14:textId="77777777" w:rsidR="00B1204A" w:rsidRDefault="007F4665">
      <w:pPr>
        <w:rPr>
          <w:i/>
          <w:iCs/>
        </w:rPr>
      </w:pPr>
      <w:r>
        <w:t xml:space="preserve"> </w:t>
      </w:r>
      <w:r w:rsidR="00B1204A">
        <w:rPr>
          <w:i/>
          <w:iCs/>
        </w:rPr>
        <w:t>Socioeconomic analysis</w:t>
      </w:r>
    </w:p>
    <w:p w14:paraId="629F7061" w14:textId="22C51D31" w:rsidR="002D5ADC" w:rsidRDefault="00B1204A">
      <w:r>
        <w:t>The commune-level model revealed that population density was the only non-control variable with any effect, and th</w:t>
      </w:r>
      <w:r w:rsidR="002D5ADC">
        <w:t>e</w:t>
      </w:r>
      <w:r>
        <w:t xml:space="preserve"> effect was very weak. We were limited in the socioeconomic variables that were available, and it is possible that the variables selected were</w:t>
      </w:r>
      <w:r w:rsidR="0079410A">
        <w:t xml:space="preserve"> simply</w:t>
      </w:r>
      <w:r>
        <w:t xml:space="preserve"> poor predictors of forest cover. However, the modelling process revealed </w:t>
      </w:r>
      <w:r w:rsidR="009E6CDD">
        <w:t>very large</w:t>
      </w:r>
      <w:r>
        <w:t xml:space="preserve"> </w:t>
      </w:r>
      <w:r w:rsidR="00F3788B">
        <w:t>between-commune variation in both predictor and response</w:t>
      </w:r>
      <w:r w:rsidR="009E6CDD">
        <w:t xml:space="preserve"> variables</w:t>
      </w:r>
      <w:r w:rsidR="00F3788B">
        <w:t xml:space="preserve">, </w:t>
      </w:r>
      <w:r w:rsidR="002D5ADC">
        <w:t>in addition to</w:t>
      </w:r>
      <w:r w:rsidR="00F3788B">
        <w:t xml:space="preserve"> </w:t>
      </w:r>
      <w:proofErr w:type="gramStart"/>
      <w:r w:rsidR="002D5ADC">
        <w:t>a large number of</w:t>
      </w:r>
      <w:proofErr w:type="gramEnd"/>
      <w:r w:rsidR="002D5ADC">
        <w:t xml:space="preserve"> random</w:t>
      </w:r>
      <w:r w:rsidR="008310E4">
        <w:t xml:space="preserve"> effect levels (between 1,317 and 1,512)</w:t>
      </w:r>
      <w:r w:rsidR="002D5ADC">
        <w:t>. Model predictions from the final model, and from preliminary models, showed that the parameter estimates (intercepts and slopes) for a given socioeconomic variable (see Figure 6 for an example from population density) varied widely from commune to commune</w:t>
      </w:r>
      <w:r w:rsidR="001C6A20">
        <w:t>, even within the same province</w:t>
      </w:r>
      <w:r w:rsidR="002D5ADC">
        <w:t>.</w:t>
      </w:r>
      <w:r w:rsidR="006A60AF">
        <w:t xml:space="preserve"> Therefore, it </w:t>
      </w:r>
      <w:r w:rsidR="0079410A">
        <w:t>is possible that</w:t>
      </w:r>
      <w:r w:rsidR="006A60AF">
        <w:t xml:space="preserve"> the difficulty in estimating a single parameter from</w:t>
      </w:r>
      <w:r w:rsidR="002D5ADC">
        <w:t xml:space="preserve"> </w:t>
      </w:r>
      <w:r w:rsidR="006A60AF">
        <w:t xml:space="preserve">the surrounding “noise” </w:t>
      </w:r>
      <w:r w:rsidR="0079410A">
        <w:t>resulted in the detection of weak, or no effects, rather than a genuine lack of effects.</w:t>
      </w:r>
      <w:r w:rsidR="009E6CDD">
        <w:t xml:space="preserve"> The province-level model was built to counter the issue of excessive between-commune variance by approaching the analysis from a different scale. Two socioeconomic variables remained in the final province-level model but again, the effects were relatively weak. It is still possible that the weak effects represented a genuine lack of correlation between socioeconomics and forest </w:t>
      </w:r>
      <w:r w:rsidR="009E6CDD">
        <w:lastRenderedPageBreak/>
        <w:t>cover, however</w:t>
      </w:r>
      <w:r w:rsidR="001C6A20">
        <w:t>,</w:t>
      </w:r>
      <w:r w:rsidR="009E6CDD">
        <w:t xml:space="preserve"> modelling the effects at a larger scale will simply mask the large variation that exists at the finer scale, rather than eliminating it. This analysis highlights the importance of scale when modelling complex social-ecological systems; researchers must not only select the scale of the analysis </w:t>
      </w:r>
      <w:r w:rsidR="001C6A20">
        <w:t>carefully but</w:t>
      </w:r>
      <w:r w:rsidR="009E6CDD">
        <w:t xml:space="preserve"> must also be aware of underlying </w:t>
      </w:r>
      <w:r w:rsidR="004B48D3">
        <w:t xml:space="preserve">variation which may be affecting estimates, requiring cautious interpretation of results. The results of the socioeconomic analysis have further highlighted the effect of scale on drivers with larger effects. The direction of the effect of the presence of ELCs changes </w:t>
      </w:r>
      <w:r w:rsidR="003D7861">
        <w:t>depending on whether you are looking at the commune-level or the province-level (ELCs have a negative effect on forest cover within a commune, but a positive effect on forest cover within a province). This reversal of effect direction between scales also occurs for distance to an international border (positive within communes and negative within provinces) and the distance to the provincial capital (positive within communes and negative within provinces). Taken together, the two models can add important nuance to the interpretation of results; provinces that are small and are close to international borders have higher forest cover, but within those provinces, the communes that are furthest away from the border and the provincial capital are predicted to have the highest forest cover. These results demonstrate how the relationships between forest cover and predictor variables are being driven in different directions at different scales</w:t>
      </w:r>
      <w:r w:rsidR="00455176">
        <w:t xml:space="preserve">, emphasising the complexity of modelling social-ecological systems. </w:t>
      </w:r>
    </w:p>
    <w:p w14:paraId="50D723F0" w14:textId="0B8A544C" w:rsidR="00455176" w:rsidRDefault="00341503">
      <w:r>
        <w:t xml:space="preserve">The inherent complexity within social-ecological systems results in significant challenges when researchers attempt to model them </w:t>
      </w:r>
      <w:r>
        <w:fldChar w:fldCharType="begin"/>
      </w:r>
      <w:r>
        <w:instrText xml:space="preserve"> ADDIN ZOTERO_ITEM CSL_CITATION {"citationID":"7zXkx2n4","properties":{"formattedCitation":"(Basse et al., 2014)","plainCitation":"(Basse et al., 2014)","noteIndex":0},"citationItems":[{"id":1520,"uris":["http://zotero.org/users/2170232/items/LLN2Z9J7"],"uri":["http://zotero.org/users/2170232/items/LLN2Z9J7"],"itemData":{"id":1520,"type":"article-journal","abstract":"Identifying and evaluating the driving forces that are behind land use and land cover changes remains one of the most difficult exercises that geographers and environmental scientists must continually address. The difficulty emerges from the fact that in land use and land cover systems, multiple actions and interactions between different factors (e.g., economic, political, environmental, biophysical, institutional, and cultural) come into play and make it difficult to understand how the processes behind the changes function. Using advanced methods, such as Cellular Automata (CA) and Artificial Neural Networks (ANNs), the results highlight that these tools are adequate in formalising knowledge regarding land use systems in cross-border regions. Moreover, because modelling land use changes using big data is gaining increasing popularity, ANN techniques could contribute to improving the calibration of cellular automata-based land use models.","container-title":"Applied Geography","DOI":"10.1016/j.apgeog.2014.06.016","ISSN":"0143-6228","journalAbbreviation":"Applied Geography","page":"160-171","source":"ScienceDirect","title":"Land use changes modelling using advanced methods: Cellular automata and artificial neural networks. The spatial and explicit representation of land cover dynamics at the cross-border region scale","title-short":"Land use changes modelling using advanced methods","volume":"53","author":[{"family":"Basse","given":"Reine Maria"},{"family":"Omrani","given":"Hichem"},{"family":"Charif","given":"Omar"},{"family":"Gerber","given":"Philippe"},{"family":"Bódis","given":"Katalin"}],"issued":{"date-parts":[["2014",9,1]]}}}],"schema":"https://github.com/citation-style-language/schema/raw/master/csl-citation.json"} </w:instrText>
      </w:r>
      <w:r>
        <w:fldChar w:fldCharType="separate"/>
      </w:r>
      <w:r w:rsidRPr="00341503">
        <w:rPr>
          <w:rFonts w:ascii="Calibri" w:hAnsi="Calibri" w:cs="Calibri"/>
        </w:rPr>
        <w:t>(Basse et al., 2014)</w:t>
      </w:r>
      <w:r>
        <w:fldChar w:fldCharType="end"/>
      </w:r>
      <w:r>
        <w:t xml:space="preserve">. Taking this study as an example, a researcher has a choice between modelling at a large scale </w:t>
      </w:r>
      <w:r>
        <w:t>(e.g., national, regional)</w:t>
      </w:r>
      <w:r>
        <w:t xml:space="preserve"> where effects may be weak or unrepresentative of much of the country or region, or modelling at a fine scale where effects may be swamped by variation resulting in the loss of the true signal. </w:t>
      </w:r>
      <w:r w:rsidR="00346437">
        <w:t>In some cases, prudence may stop researchers gathering increasingly complex data, but rather reframe their analytical goal by removing hypothesis testing and aiming for description of the data rather than explanation. Advances in simulation modelling and machine learning can isolate our thinking and increase understanding, without the need for large datasets and complex statistical modelling procedures (</w:t>
      </w:r>
      <w:r w:rsidR="00346437" w:rsidRPr="00346437">
        <w:rPr>
          <w:highlight w:val="yellow"/>
        </w:rPr>
        <w:t>refs</w:t>
      </w:r>
      <w:r w:rsidR="00346437">
        <w:t>).</w:t>
      </w:r>
      <w:r>
        <w:t xml:space="preserve">  </w:t>
      </w:r>
    </w:p>
    <w:p w14:paraId="2A594147" w14:textId="10F9875D" w:rsidR="00783FA8" w:rsidRPr="00783FA8" w:rsidRDefault="00783FA8">
      <w:pPr>
        <w:rPr>
          <w:i/>
          <w:iCs/>
        </w:rPr>
      </w:pPr>
      <w:r>
        <w:rPr>
          <w:i/>
          <w:iCs/>
        </w:rPr>
        <w:t>Cluster analysis</w:t>
      </w:r>
    </w:p>
    <w:p w14:paraId="44442F58" w14:textId="77777777" w:rsidR="00783FA8" w:rsidRDefault="00F4456A">
      <w:r>
        <w:t xml:space="preserve">In this study we investigated the use of cluster analysis to describe Cambodia in terms of socioeconomics. </w:t>
      </w:r>
      <w:r w:rsidR="00BE1454">
        <w:t xml:space="preserve">The analysis revealed interesting patterns of distinct regions, suggesting that in many cases provinces that are adjacent to each other tend to have similar socioeconomic characteristics, resulting in clusters that are spatially contiguous. The two cluster that generally display the largest differences are clusters </w:t>
      </w:r>
      <w:r w:rsidR="00BD0E21">
        <w:t xml:space="preserve">1 and 3. Cluster 1 contains the provinces of </w:t>
      </w:r>
      <w:proofErr w:type="spellStart"/>
      <w:r w:rsidR="00BD0E21">
        <w:t>Mondul</w:t>
      </w:r>
      <w:proofErr w:type="spellEnd"/>
      <w:r w:rsidR="00BD0E21">
        <w:t xml:space="preserve"> Kiri and </w:t>
      </w:r>
      <w:proofErr w:type="spellStart"/>
      <w:r w:rsidR="00BD0E21">
        <w:t>Rattank</w:t>
      </w:r>
      <w:proofErr w:type="spellEnd"/>
      <w:r w:rsidR="00BD0E21">
        <w:t xml:space="preserve"> Kiri </w:t>
      </w:r>
      <w:r w:rsidR="00783FA8">
        <w:t>which</w:t>
      </w:r>
      <w:r w:rsidR="00BD0E21">
        <w:t xml:space="preserve"> are large, remote, and some of the least developed provinces in the country. They are home to the Eastern Plains Landscape which is one of the most important areas in SEA for biodiversity </w:t>
      </w:r>
      <w:r w:rsidR="00BD0E21">
        <w:fldChar w:fldCharType="begin"/>
      </w:r>
      <w:r w:rsidR="00BD0E21">
        <w:instrText xml:space="preserve"> ADDIN ZOTERO_ITEM CSL_CITATION {"citationID":"pnfxn81c","properties":{"formattedCitation":"(Gray et al., 2012; Griffin and Nuttall, 2020; Nuttall et al., 2017)","plainCitation":"(Gray et al., 2012; Griffin and Nuttall, 2020; Nuttall et al., 2017)","noteIndex":0},"citationItems":[{"id":80,"uris":["http://zotero.org/users/2170232/items/9DT2Z23D"],"uri":["http://zotero.org/users/2170232/items/9DT2Z23D"],"itemData":{"id":80,"type":"article-journal","container-title":"Oryx","DOI":"10.1017/S0030605312000567","ISSN":"0030-6053, 1365-3008","issue":"04","language":"en","page":"563-566","source":"CrossRef","title":"Distance sampling reveals Cambodia's Eastern Plains Landscape supports the largest global population of the Endangered banteng Bos javanicus","volume":"46","author":[{"family":"Gray","given":"Thomas N. E."},{"family":"Prum","given":"Sovanna"},{"family":"Pin","given":"Chanrattana"},{"family":"Phan","given":"Channa"}],"issued":{"date-parts":[["2012"]]}}},{"id":54,"uris":["http://zotero.org/users/2170232/items/MDXPZQ4P"],"uri":["http://zotero.org/users/2170232/items/MDXPZQ4P"],"itemData":{"id":54,"type":"report","event-place":"Phnom Penh, Cambodia","genre":"Status report","publisher":"Wildlife Conservation Society","publisher-place":"Phnom Penh, Cambodia","title":"Status of Key Speceis in Keo Seima Wildlife Sanctuary 2010-2020","URL":"https://doi.org/10.19121/2020.Report.38511","author":[{"family":"Griffin","given":"O"},{"family":"Nuttall","given":"M"}],"issued":{"date-parts":[["2020"]]}}},{"id":2350,"uris":["http://zotero.org/users/2170232/items/IL8XBFLL"],"uri":["http://zotero.org/users/2170232/items/IL8XBFLL"],"itemData":{"id":2350,"type":"article-journal","abstract":"The catastrophic decline of the endangered Green peafowl Pavo muticus across its former range is well known, yet there are only a handful of reliable population estimates for this species from its remaining range, making global assessment challenging. We present the first rigorous population estimates for this species from Cambodia, and model the distribution and the relationships between this species and several environmental covariates from the Core Zone (187,900 ha) of Seima Protection Forest (SPF), eastern Cambodia. Using distance sampling the abundance of Green Peafowl in SPF in 2014 is estimated to be 541 (95% CI [252, 1160]). Density surface modelling was used to predict distribution and relative abundance within the study area, and there was some evidence that the species prefers areas of deciduous forest, non-forest, and to a lesser extent semi-evergreen forest. These results highlight the importance of the central and northern sections of SPF for this species. Furthermore, the analysis suggested that Green Peafowl abundance is higher in closer proximity to water, yet decreases in closer proximity to human settlement.","container-title":"Bird Conservation International","DOI":"10.1017/S0959270916000083","ISSN":"0959-2709, 1474-0001","issue":"1","language":"en","page":"127-139","source":"Cambridge Core","title":"Abundance estimates for the endangered Green Peafowl Pavo muticus in Cambodia: identification of a globally important site for conservation","title-short":"Abundance estimates for the endangered Green Peafowl Pavo muticus in Cambodia","volume":"27","author":[{"family":"Nuttall","given":"Matthew"},{"family":"Nut","given":"Menghor"},{"family":"Ung","given":"Vises"},{"family":"O’kelly","given":"Hannah"}],"issued":{"date-parts":[["2017"]]}}}],"schema":"https://github.com/citation-style-language/schema/raw/master/csl-citation.json"} </w:instrText>
      </w:r>
      <w:r w:rsidR="00BD0E21">
        <w:fldChar w:fldCharType="separate"/>
      </w:r>
      <w:r w:rsidR="00BD0E21" w:rsidRPr="00BD0E21">
        <w:rPr>
          <w:rFonts w:ascii="Calibri" w:hAnsi="Calibri" w:cs="Calibri"/>
        </w:rPr>
        <w:t>(</w:t>
      </w:r>
      <w:r w:rsidR="00BD0E21">
        <w:rPr>
          <w:rFonts w:ascii="Calibri" w:hAnsi="Calibri" w:cs="Calibri"/>
        </w:rPr>
        <w:t xml:space="preserve">Chapter 2, </w:t>
      </w:r>
      <w:r w:rsidR="00BD0E21" w:rsidRPr="00BD0E21">
        <w:rPr>
          <w:rFonts w:ascii="Calibri" w:hAnsi="Calibri" w:cs="Calibri"/>
        </w:rPr>
        <w:t>Gray et al., 2012; Griffin and Nuttall, 2020; Nuttall et al., 2017)</w:t>
      </w:r>
      <w:r w:rsidR="00BD0E21">
        <w:fldChar w:fldCharType="end"/>
      </w:r>
      <w:r w:rsidR="00BD0E21">
        <w:t xml:space="preserve">. The cluster has the highest forest cover, low population density, low access to services, and low migration. Economic development in the first two decades after the civil war was focused almost entirely on the major cities: Phnom Penh (cluster 3), Sihanoukville (cluster 5), and Battambang (cluster 4), with rural provinces remaining underdeveloped, inaccessible, and poor </w:t>
      </w:r>
      <w:r w:rsidR="00BD0E21">
        <w:fldChar w:fldCharType="begin"/>
      </w:r>
      <w:r w:rsidR="00BD0E21">
        <w:instrText xml:space="preserve"> ADDIN ZOTERO_ITEM CSL_CITATION {"citationID":"aHOX0XU3","properties":{"formattedCitation":"(Hughes and Un, 2011)","plainCitation":"(Hughes and Un, 2011)","noteIndex":0},"citationItems":[{"id":2448,"uris":["http://zotero.org/users/2170232/items/IRTUHWES"],"uri":["http://zotero.org/users/2170232/items/IRTUHWES"],"itemData":{"id":2448,"type":"report","collection-title":"NIAS Studies in Asian Topic","event-place":"Leifsgade 33, DK-2300 Copenhagen S, Denmark","number":"49","publisher":"Nordic Institute of Asian Studies","publisher-place":"Leifsgade 33, DK-2300 Copenhagen S, Denmark","title":"Cambodia's Economic Transformation","author":[{"family":"Hughes","given":"C"},{"family":"Un","given":"K"}],"issued":{"date-parts":[["2011"]]}}}],"schema":"https://github.com/citation-style-language/schema/raw/master/csl-citation.json"} </w:instrText>
      </w:r>
      <w:r w:rsidR="00BD0E21">
        <w:fldChar w:fldCharType="separate"/>
      </w:r>
      <w:r w:rsidR="00BD0E21" w:rsidRPr="00BD0E21">
        <w:rPr>
          <w:rFonts w:ascii="Calibri" w:hAnsi="Calibri" w:cs="Calibri"/>
        </w:rPr>
        <w:t>(Hughes and Un, 2011)</w:t>
      </w:r>
      <w:r w:rsidR="00BD0E21">
        <w:fldChar w:fldCharType="end"/>
      </w:r>
      <w:r w:rsidR="00BD0E21">
        <w:t xml:space="preserve">. </w:t>
      </w:r>
      <w:r w:rsidR="00A91CB7">
        <w:t xml:space="preserve">The lack of infrastructure and access, coupled with low population density and few employment opportunities that limited in-migration, has meant that forest cover has remained high </w:t>
      </w:r>
      <w:r w:rsidR="00A91CB7">
        <w:fldChar w:fldCharType="begin"/>
      </w:r>
      <w:r w:rsidR="00A91CB7">
        <w:instrText xml:space="preserve"> ADDIN ZOTERO_ITEM CSL_CITATION {"citationID":"hcKplkwY","properties":{"formattedCitation":"(Evans et al., 2013)","plainCitation":"(Evans et al., 2013)","noteIndex":0},"citationItems":[{"id":9,"uris":["http://zotero.org/users/2170232/items/3I4YTE3P"],"uri":["http://zotero.org/users/2170232/items/3I4YTE3P"],"itemData":{"id":9,"type":"chapter","container-title":"Evidence-based conservation: Lessons from the Lower Mekong","event-place":"London, UK","page":"157-185","publisher":"Routledge","publisher-place":"London, UK","title":"Seima Protection Forest","author":[{"family":"Evans","given":"T"},{"family":"O'Kelly","given":"H"},{"family":"Men","given":"S"},{"family":"Nut","given":"M"},{"family":"Pet","given":"P"},{"family":"Pheakdey","given":"P"},{"family":"Pollard","given":"E"}],"issued":{"date-parts":[["2013"]]}}}],"schema":"https://github.com/citation-style-language/schema/raw/master/csl-citation.json"} </w:instrText>
      </w:r>
      <w:r w:rsidR="00A91CB7">
        <w:fldChar w:fldCharType="separate"/>
      </w:r>
      <w:r w:rsidR="00A91CB7" w:rsidRPr="00A91CB7">
        <w:rPr>
          <w:rFonts w:ascii="Calibri" w:hAnsi="Calibri" w:cs="Calibri"/>
        </w:rPr>
        <w:t>(Evans et al., 2013)</w:t>
      </w:r>
      <w:r w:rsidR="00A91CB7">
        <w:fldChar w:fldCharType="end"/>
      </w:r>
      <w:r w:rsidR="00A91CB7">
        <w:t xml:space="preserve">. Conversely, cluster 3 </w:t>
      </w:r>
      <w:r w:rsidR="00783FA8">
        <w:t xml:space="preserve">has the lowest levels of forest cover and </w:t>
      </w:r>
      <w:r w:rsidR="00A91CB7">
        <w:t>contains the capital city of Phnom Penh and the surrounding provinces which are the hubs for industry and economic activity (such as the garment sector</w:t>
      </w:r>
      <w:r w:rsidR="00F919EF">
        <w:t xml:space="preserve">). Cluster 5 is interesting because it contains the largest number of provinces. The expectation was that the provinces that most closely resembled cluster 1 (i.e., large, </w:t>
      </w:r>
      <w:r w:rsidR="00F919EF">
        <w:lastRenderedPageBreak/>
        <w:t xml:space="preserve">rural provinces with high forest cover) such as Stung </w:t>
      </w:r>
      <w:proofErr w:type="spellStart"/>
      <w:r w:rsidR="00F919EF">
        <w:t>Treng</w:t>
      </w:r>
      <w:proofErr w:type="spellEnd"/>
      <w:r w:rsidR="00F919EF">
        <w:t xml:space="preserve">, Preah </w:t>
      </w:r>
      <w:proofErr w:type="spellStart"/>
      <w:r w:rsidR="00F919EF">
        <w:t>Vihear</w:t>
      </w:r>
      <w:proofErr w:type="spellEnd"/>
      <w:r w:rsidR="00F919EF">
        <w:t xml:space="preserve">, and Koh Kong, would have been clustered either with cluster 1, or within a separate cluster. However, they were clustered with the central belt of provinces (e.g., Kampong </w:t>
      </w:r>
      <w:proofErr w:type="spellStart"/>
      <w:r w:rsidR="00F919EF">
        <w:t>Speu</w:t>
      </w:r>
      <w:proofErr w:type="spellEnd"/>
      <w:r w:rsidR="00F919EF">
        <w:t xml:space="preserve">, Kampong Chhnang, Kampong Thom) which are almost exclusively low elevation agricultural provinces that are geared towards rice production. The inclusion of Stung </w:t>
      </w:r>
      <w:proofErr w:type="spellStart"/>
      <w:r w:rsidR="00F919EF">
        <w:t>Treng</w:t>
      </w:r>
      <w:proofErr w:type="spellEnd"/>
      <w:r w:rsidR="00F919EF">
        <w:t xml:space="preserve">, Preah </w:t>
      </w:r>
      <w:proofErr w:type="spellStart"/>
      <w:r w:rsidR="00F919EF">
        <w:t>Vihear</w:t>
      </w:r>
      <w:proofErr w:type="spellEnd"/>
      <w:r w:rsidR="00F919EF">
        <w:t>, and Koh Kong within this cluster and the resulting cluster typologies, suggest that there has been some success in increasing the socioeconomic status of rural, highly forested provinces without excessive loss of forest cover.</w:t>
      </w:r>
    </w:p>
    <w:p w14:paraId="242156C5" w14:textId="529377C6" w:rsidR="00455176" w:rsidRDefault="00783FA8">
      <w:r>
        <w:t xml:space="preserve">The advantage of clustering techniques such as UPGMA is that although there are metrics that can suggest optimal numbers of clusters, the researcher can select the number of clusters that is most useful for their particular investigation </w:t>
      </w:r>
      <w:r>
        <w:fldChar w:fldCharType="begin"/>
      </w:r>
      <w:r>
        <w:instrText xml:space="preserve"> ADDIN ZOTERO_ITEM CSL_CITATION {"citationID":"GlYfBTQp","properties":{"formattedCitation":"(Borcard et al., 2018)","plainCitation":"(Borcard et al., 2018)","noteIndex":0},"citationItems":[{"id":2706,"uris":["http://zotero.org/users/2170232/items/5WYR7AXF"],"uri":["http://zotero.org/users/2170232/items/5WYR7AXF"],"itemData":{"id":2706,"type":"chapter","abstract":"In most cases, data exploration and the computation of association matrices are preliminary steps towards deeper analyses. In this chapter you will go further by experimenting one of the large groups of analytical methods used in ecology: clustering. Practically, you will learn how to choose among various clustering methods and compute them, apply these techniques to the Doubs River data to identify groups of sites and fish species. You will also explore two methods of constrained clustering, a powerful modelling approach where the clustering process is constrained by an external data set.","collection-title":"Use R!","container-title":"Numerical Ecology with R","event-place":"Cham","ISBN":"978-3-319-71404-2","language":"en","note":"DOI: 10.1007/978-3-319-71404-2_4","page":"59-150","publisher":"Springer International Publishing","publisher-place":"Cham","source":"Springer Link","title":"Cluster Analysis","URL":"https://doi.org/10.1007/978-3-319-71404-2_4","author":[{"family":"Borcard","given":"Daniel"},{"family":"Gillet","given":"François"},{"family":"Legendre","given":"Pierre"}],"editor":[{"family":"Borcard","given":"Daniel"},{"family":"Gillet","given":"François"},{"family":"Legendre","given":"Pierre"}],"accessed":{"date-parts":[["2021",4,30]]},"issued":{"date-parts":[["2018"]]}}}],"schema":"https://github.com/citation-style-language/schema/raw/master/csl-citation.json"} </w:instrText>
      </w:r>
      <w:r>
        <w:fldChar w:fldCharType="separate"/>
      </w:r>
      <w:r w:rsidRPr="00783FA8">
        <w:rPr>
          <w:rFonts w:ascii="Calibri" w:hAnsi="Calibri" w:cs="Calibri"/>
        </w:rPr>
        <w:t>(</w:t>
      </w:r>
      <w:proofErr w:type="spellStart"/>
      <w:r w:rsidRPr="00783FA8">
        <w:rPr>
          <w:rFonts w:ascii="Calibri" w:hAnsi="Calibri" w:cs="Calibri"/>
        </w:rPr>
        <w:t>Borcard</w:t>
      </w:r>
      <w:proofErr w:type="spellEnd"/>
      <w:r w:rsidRPr="00783FA8">
        <w:rPr>
          <w:rFonts w:ascii="Calibri" w:hAnsi="Calibri" w:cs="Calibri"/>
        </w:rPr>
        <w:t xml:space="preserve"> et al., 2018)</w:t>
      </w:r>
      <w:r>
        <w:fldChar w:fldCharType="end"/>
      </w:r>
      <w:r>
        <w:t xml:space="preserve">. </w:t>
      </w:r>
      <w:r w:rsidR="00FF4249">
        <w:t>Unlike statistical models, c</w:t>
      </w:r>
      <w:r>
        <w:t xml:space="preserve">luster analysis does not produce </w:t>
      </w:r>
      <w:r w:rsidR="00FF4249">
        <w:t xml:space="preserve">estimates of effect sizes, nor can predictions be made. Nevertheless, by altering the number of clusters, investigating different clustering approaches, followed by considered exploratory analysis and plotting, a comprehensive picture of the study system can be produced. </w:t>
      </w:r>
      <w:r w:rsidR="00B35389">
        <w:t xml:space="preserve">This may be a sensible first step in a larger analysis which can increase understanding of the system before modelling approaches are decided upon. Furthermore, methods such as cluster analysis are conceptually simpler than advanced statistical and mechanistic modelling, making interpretation and explanation to non-specialist audiences, such as policy makers, simpler.  </w:t>
      </w:r>
      <w:r w:rsidR="00FF4249">
        <w:t xml:space="preserve">  </w:t>
      </w:r>
      <w:r w:rsidR="00F919EF">
        <w:t xml:space="preserve">  </w:t>
      </w:r>
      <w:r w:rsidR="00A91CB7">
        <w:t xml:space="preserve">  </w:t>
      </w:r>
      <w:r w:rsidR="00BD0E21">
        <w:t xml:space="preserve"> </w:t>
      </w:r>
      <w:r w:rsidR="00BE1454">
        <w:t xml:space="preserve">    </w:t>
      </w:r>
    </w:p>
    <w:p w14:paraId="12B4DDEA" w14:textId="1C206138" w:rsidR="00F4456A" w:rsidRPr="00B35389" w:rsidRDefault="00B35389">
      <w:pPr>
        <w:rPr>
          <w:i/>
          <w:iCs/>
        </w:rPr>
      </w:pPr>
      <w:r>
        <w:rPr>
          <w:i/>
          <w:iCs/>
        </w:rPr>
        <w:t xml:space="preserve">Conclusion </w:t>
      </w:r>
    </w:p>
    <w:p w14:paraId="48C162EF" w14:textId="026AA1D7" w:rsidR="00B35389" w:rsidRDefault="00050481">
      <w:r>
        <w:t xml:space="preserve">Cambodia is a country rich in natural resources and biological diversity, and despite the targeted efforts of the Khmer Rouge regime, is also rich in cultural and social diversity and history. Once the economic powerhouse of </w:t>
      </w:r>
      <w:r w:rsidR="007E7489">
        <w:t xml:space="preserve">Indochina, </w:t>
      </w:r>
      <w:r w:rsidR="00BC01A1">
        <w:t xml:space="preserve">in the 1960s </w:t>
      </w:r>
      <w:r w:rsidR="007E7489">
        <w:t xml:space="preserve">Cambodia was the world’s third largest exporter of milled rice, behind only Thailand and the United States </w:t>
      </w:r>
      <w:r w:rsidR="007E7489">
        <w:fldChar w:fldCharType="begin"/>
      </w:r>
      <w:r w:rsidR="007E7489">
        <w:instrText xml:space="preserve"> ADDIN ZOTERO_ITEM CSL_CITATION {"citationID":"5hOUIiyk","properties":{"formattedCitation":"(Hughes and Un, 2011)","plainCitation":"(Hughes and Un, 2011)","noteIndex":0},"citationItems":[{"id":2448,"uris":["http://zotero.org/users/2170232/items/IRTUHWES"],"uri":["http://zotero.org/users/2170232/items/IRTUHWES"],"itemData":{"id":2448,"type":"report","collection-title":"NIAS Studies in Asian Topic","event-place":"Leifsgade 33, DK-2300 Copenhagen S, Denmark","number":"49","publisher":"Nordic Institute of Asian Studies","publisher-place":"Leifsgade 33, DK-2300 Copenhagen S, Denmark","title":"Cambodia's Economic Transformation","author":[{"family":"Hughes","given":"C"},{"family":"Un","given":"K"}],"issued":{"date-parts":[["2011"]]}}}],"schema":"https://github.com/citation-style-language/schema/raw/master/csl-citation.json"} </w:instrText>
      </w:r>
      <w:r w:rsidR="007E7489">
        <w:fldChar w:fldCharType="separate"/>
      </w:r>
      <w:r w:rsidR="007E7489" w:rsidRPr="007E7489">
        <w:rPr>
          <w:rFonts w:ascii="Calibri" w:hAnsi="Calibri" w:cs="Calibri"/>
        </w:rPr>
        <w:t>(Hughes and Un, 2011)</w:t>
      </w:r>
      <w:r w:rsidR="007E7489">
        <w:fldChar w:fldCharType="end"/>
      </w:r>
      <w:r w:rsidR="007E7489">
        <w:t xml:space="preserve">. It is therefore appropriate </w:t>
      </w:r>
      <w:r w:rsidR="00BC01A1">
        <w:t>that political leaders are given recognition for bringing the economy from complete collapse during the civil war, to a growth rate in 2006 that was larger than any other Asian economy apart from China</w:t>
      </w:r>
      <w:r w:rsidR="007E7489">
        <w:t xml:space="preserve"> </w:t>
      </w:r>
      <w:r w:rsidR="00BC01A1">
        <w:fldChar w:fldCharType="begin"/>
      </w:r>
      <w:r w:rsidR="00BC01A1">
        <w:instrText xml:space="preserve"> ADDIN ZOTERO_ITEM CSL_CITATION {"citationID":"Qih1HAfG","properties":{"formattedCitation":"(Solcomb, 2010)","plainCitation":"(Solcomb, 2010)","noteIndex":0},"citationItems":[{"id":2762,"uris":["http://zotero.org/users/2170232/items/JRA2X9H8"],"uri":["http://zotero.org/users/2170232/items/JRA2X9H8"],"itemData":{"id":2762,"type":"book","event-place":"National University of Singapore","ISBN":"978-9971-69-499-9","publisher":"NUS Press","publisher-place":"National University of Singapore","title":"An economic histroy of Cambodia in the twentieth century","URL":"https://library.oapen.org/handle/20.500.12657/26109","author":[{"family":"Solcomb","given":"Margaret"}],"issued":{"date-parts":[["2010"]]}}}],"schema":"https://github.com/citation-style-language/schema/raw/master/csl-citation.json"} </w:instrText>
      </w:r>
      <w:r w:rsidR="00BC01A1">
        <w:fldChar w:fldCharType="separate"/>
      </w:r>
      <w:r w:rsidR="00BC01A1" w:rsidRPr="00BC01A1">
        <w:rPr>
          <w:rFonts w:ascii="Calibri" w:hAnsi="Calibri" w:cs="Calibri"/>
        </w:rPr>
        <w:t>(</w:t>
      </w:r>
      <w:proofErr w:type="spellStart"/>
      <w:r w:rsidR="00BC01A1" w:rsidRPr="00BC01A1">
        <w:rPr>
          <w:rFonts w:ascii="Calibri" w:hAnsi="Calibri" w:cs="Calibri"/>
        </w:rPr>
        <w:t>Solcomb</w:t>
      </w:r>
      <w:proofErr w:type="spellEnd"/>
      <w:r w:rsidR="00BC01A1" w:rsidRPr="00BC01A1">
        <w:rPr>
          <w:rFonts w:ascii="Calibri" w:hAnsi="Calibri" w:cs="Calibri"/>
        </w:rPr>
        <w:t>, 2010)</w:t>
      </w:r>
      <w:r w:rsidR="00BC01A1">
        <w:fldChar w:fldCharType="end"/>
      </w:r>
      <w:r w:rsidR="00BC01A1">
        <w:t xml:space="preserve">. </w:t>
      </w:r>
      <w:r w:rsidR="006E6F32">
        <w:t>Over the last two decades there has been significant improvements in access to services, poverty, and</w:t>
      </w:r>
      <w:r w:rsidR="008D562A">
        <w:t xml:space="preserve"> </w:t>
      </w:r>
      <w:r w:rsidR="006E6F32">
        <w:t xml:space="preserve">inequality, thanks to pro-poor growth in consumption, which together pushed Cambodia’s poverty reduction well beyond the Millennium Development Goal targets </w:t>
      </w:r>
      <w:r w:rsidR="006E6F32">
        <w:fldChar w:fldCharType="begin"/>
      </w:r>
      <w:r w:rsidR="006E6F32">
        <w:instrText xml:space="preserve"> ADDIN ZOTERO_ITEM CSL_CITATION {"citationID":"TJ7aFEUs","properties":{"formattedCitation":"(World Bank, 2014)","plainCitation":"(World Bank, 2014)","noteIndex":0},"citationItems":[{"id":2763,"uris":["http://zotero.org/users/2170232/items/DHPTZUDX"],"uri":["http://zotero.org/users/2170232/items/DHPTZUDX"],"itemData":{"id":2763,"type":"report","event-place":"Washington DC, USA","publisher":"World Bank Group","publisher-place":"Washington DC, USA","title":"Where have all the poor gone? Cambodia poverty assessment 2013","author":[{"family":"World Bank","given":""}],"issued":{"date-parts":[["2014"]]}}}],"schema":"https://github.com/citation-style-language/schema/raw/master/csl-citation.json"} </w:instrText>
      </w:r>
      <w:r w:rsidR="006E6F32">
        <w:fldChar w:fldCharType="separate"/>
      </w:r>
      <w:r w:rsidR="006E6F32" w:rsidRPr="006E6F32">
        <w:rPr>
          <w:rFonts w:ascii="Calibri" w:hAnsi="Calibri" w:cs="Calibri"/>
        </w:rPr>
        <w:t>(World Bank, 2014)</w:t>
      </w:r>
      <w:r w:rsidR="006E6F32">
        <w:fldChar w:fldCharType="end"/>
      </w:r>
      <w:r w:rsidR="006E6F32">
        <w:t xml:space="preserve">. However, relative metrics of inequality (e.g., </w:t>
      </w:r>
      <w:r w:rsidR="008D562A">
        <w:t xml:space="preserve">Gini Index) mask the actual gap between the rich and the poor in absolute terms, which has been increasing dramatically </w:t>
      </w:r>
      <w:r w:rsidR="008D562A">
        <w:fldChar w:fldCharType="begin"/>
      </w:r>
      <w:r w:rsidR="008D562A">
        <w:instrText xml:space="preserve"> ADDIN ZOTERO_ITEM CSL_CITATION {"citationID":"sDeXuLPX","properties":{"formattedCitation":"(World Bank, 2014)","plainCitation":"(World Bank, 2014)","noteIndex":0},"citationItems":[{"id":2763,"uris":["http://zotero.org/users/2170232/items/DHPTZUDX"],"uri":["http://zotero.org/users/2170232/items/DHPTZUDX"],"itemData":{"id":2763,"type":"report","event-place":"Washington DC, USA","publisher":"World Bank Group","publisher-place":"Washington DC, USA","title":"Where have all the poor gone? Cambodia poverty assessment 2013","author":[{"family":"World Bank","given":""}],"issued":{"date-parts":[["2014"]]}}}],"schema":"https://github.com/citation-style-language/schema/raw/master/csl-citation.json"} </w:instrText>
      </w:r>
      <w:r w:rsidR="008D562A">
        <w:fldChar w:fldCharType="separate"/>
      </w:r>
      <w:r w:rsidR="008D562A" w:rsidRPr="008D562A">
        <w:rPr>
          <w:rFonts w:ascii="Calibri" w:hAnsi="Calibri" w:cs="Calibri"/>
        </w:rPr>
        <w:t>(World Bank, 2014)</w:t>
      </w:r>
      <w:r w:rsidR="008D562A">
        <w:fldChar w:fldCharType="end"/>
      </w:r>
      <w:r w:rsidR="008D562A">
        <w:t xml:space="preserve">. There exists a very large wealth gap between urban and rural populations, and between the urban rich and urban poor, and the gaps are growing </w:t>
      </w:r>
      <w:r w:rsidR="008D562A">
        <w:fldChar w:fldCharType="begin"/>
      </w:r>
      <w:r w:rsidR="008D562A">
        <w:instrText xml:space="preserve"> ADDIN ZOTERO_ITEM CSL_CITATION {"citationID":"Jtq5ZuM0","properties":{"formattedCitation":"(Solcomb, 2010)","plainCitation":"(Solcomb, 2010)","noteIndex":0},"citationItems":[{"id":2762,"uris":["http://zotero.org/users/2170232/items/JRA2X9H8"],"uri":["http://zotero.org/users/2170232/items/JRA2X9H8"],"itemData":{"id":2762,"type":"book","event-place":"National University of Singapore","ISBN":"978-9971-69-499-9","publisher":"NUS Press","publisher-place":"National University of Singapore","title":"An economic histroy of Cambodia in the twentieth century","URL":"https://library.oapen.org/handle/20.500.12657/26109","author":[{"family":"Solcomb","given":"Margaret"}],"issued":{"date-parts":[["2010"]]}}}],"schema":"https://github.com/citation-style-language/schema/raw/master/csl-citation.json"} </w:instrText>
      </w:r>
      <w:r w:rsidR="008D562A">
        <w:fldChar w:fldCharType="separate"/>
      </w:r>
      <w:r w:rsidR="008D562A" w:rsidRPr="008D562A">
        <w:rPr>
          <w:rFonts w:ascii="Calibri" w:hAnsi="Calibri" w:cs="Calibri"/>
        </w:rPr>
        <w:t>(</w:t>
      </w:r>
      <w:proofErr w:type="spellStart"/>
      <w:r w:rsidR="008D562A" w:rsidRPr="008D562A">
        <w:rPr>
          <w:rFonts w:ascii="Calibri" w:hAnsi="Calibri" w:cs="Calibri"/>
        </w:rPr>
        <w:t>Solcomb</w:t>
      </w:r>
      <w:proofErr w:type="spellEnd"/>
      <w:r w:rsidR="008D562A" w:rsidRPr="008D562A">
        <w:rPr>
          <w:rFonts w:ascii="Calibri" w:hAnsi="Calibri" w:cs="Calibri"/>
        </w:rPr>
        <w:t>, 2010)</w:t>
      </w:r>
      <w:r w:rsidR="008D562A">
        <w:fldChar w:fldCharType="end"/>
      </w:r>
      <w:r w:rsidR="008D562A">
        <w:t xml:space="preserve">. Some of the economic mechanisms which have vastly increased the wealth of the urban political class, whilst violating local land rights and driving deforestation, such as ELCs, have been justifiably criticized </w:t>
      </w:r>
      <w:r w:rsidR="008D562A">
        <w:fldChar w:fldCharType="begin"/>
      </w:r>
      <w:r w:rsidR="008D562A">
        <w:instrText xml:space="preserve"> ADDIN ZOTERO_ITEM CSL_CITATION {"citationID":"o6M6ApNg","properties":{"formattedCitation":"(Davis et al., 2015; Global Witness, 2013; Vrieze and Kuch, 2012)","plainCitation":"(Davis et al., 2015; Global Witness, 2013; Vrieze and Kuch, 2012)","noteIndex":0},"citationItems":[{"id":2465,"uris":["http://zotero.org/users/2170232/items/BM9FJ8GU"],"uri":["http://zotero.org/users/2170232/items/BM9FJ8GU"],"itemData":{"id":2465,"type":"article-journal","abstract":"Investment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Witness","given":""}],"issued":{"date-parts":[["2013"]]}}},{"id":2053,"uris":["http://zotero.org/users/2170232/items/C9AXILM9"],"uri":["http://zotero.org/users/2170232/items/C9AXILM9"],"itemData":{"id":2053,"type":"article-newspaper","container-title":"The Cambodia Daily","page":"4-11","title":"Carving up Cambodia: One concesion at a time","author":[{"family":"Vrieze","given":"Paul"},{"family":"Kuch","given":"Naren"}],"issued":{"date-parts":[["2012"]]}}}],"schema":"https://github.com/citation-style-language/schema/raw/master/csl-citation.json"} </w:instrText>
      </w:r>
      <w:r w:rsidR="008D562A">
        <w:fldChar w:fldCharType="separate"/>
      </w:r>
      <w:r w:rsidR="008D562A" w:rsidRPr="008D562A">
        <w:rPr>
          <w:rFonts w:ascii="Calibri" w:hAnsi="Calibri" w:cs="Calibri"/>
        </w:rPr>
        <w:t xml:space="preserve">(Davis et al., 2015; Global Witness, 2013; </w:t>
      </w:r>
      <w:proofErr w:type="spellStart"/>
      <w:r w:rsidR="008D562A" w:rsidRPr="008D562A">
        <w:rPr>
          <w:rFonts w:ascii="Calibri" w:hAnsi="Calibri" w:cs="Calibri"/>
        </w:rPr>
        <w:t>Vrieze</w:t>
      </w:r>
      <w:proofErr w:type="spellEnd"/>
      <w:r w:rsidR="008D562A" w:rsidRPr="008D562A">
        <w:rPr>
          <w:rFonts w:ascii="Calibri" w:hAnsi="Calibri" w:cs="Calibri"/>
        </w:rPr>
        <w:t xml:space="preserve"> and </w:t>
      </w:r>
      <w:proofErr w:type="spellStart"/>
      <w:r w:rsidR="008D562A" w:rsidRPr="008D562A">
        <w:rPr>
          <w:rFonts w:ascii="Calibri" w:hAnsi="Calibri" w:cs="Calibri"/>
        </w:rPr>
        <w:t>Kuch</w:t>
      </w:r>
      <w:proofErr w:type="spellEnd"/>
      <w:r w:rsidR="008D562A" w:rsidRPr="008D562A">
        <w:rPr>
          <w:rFonts w:ascii="Calibri" w:hAnsi="Calibri" w:cs="Calibri"/>
        </w:rPr>
        <w:t>, 2012)</w:t>
      </w:r>
      <w:r w:rsidR="008D562A">
        <w:fldChar w:fldCharType="end"/>
      </w:r>
      <w:r w:rsidR="008D562A">
        <w:t xml:space="preserve">. Further land use policies such as Directive 01 and social land concessions have lacked transparency, have been poorly implemented, and have eroded protected forests </w:t>
      </w:r>
      <w:r w:rsidR="008D562A">
        <w:fldChar w:fldCharType="begin"/>
      </w:r>
      <w:r w:rsidR="00967765">
        <w:instrText xml:space="preserve"> ADDIN ZOTERO_ITEM CSL_CITATION {"citationID":"pOG8RNNB","properties":{"formattedCitation":"(Grimsditch and Schoenberger, 2015; Milne, 2013)","plainCitation":"(Grimsditch and Schoenberger, 2015; Milne, 2013)","noteIndex":0},"citationItems":[{"id":1612,"uris":["http://zotero.org/users/2170232/items/3HW4UYHH"],"uri":["http://zotero.org/users/2170232/items/3HW4UYHH"],"itemData":{"id":1612,"type":"report","publisher":"NGO Forum","title":"New actions and existing policies: The implementation and impacts of Order 01","author":[{"family":"Grimsditch","given":"Mark"},{"family":"Schoenberger","given":"Laura"}],"issued":{"date-parts":[["2015"]]}}},{"id":2435,"uris":["http://zotero.org/users/2170232/items/EEIR9IDH"],"uri":["http://zotero.org/users/2170232/items/EEIR9IDH"],"itemData":{"id":2435,"type":"article-journal","abstract":"Two opposing land tenure policies are being implemented in upland Cambodia: indigenous communal title, the product of a decade of advocacy for indigenous rights; and Order 01, a dramatic new initiative to provide private individual titles to thousands of farmers living on state public land. This policy conflict has precipitated painful deliberations in Indigenous villages, whereby the merits of inalienable communal title must be weighed against its risks and constraints; and individual titles must be scrutinised for their potential to accelerate alienation and render frontier areas ‘legible’ for government and markets. I examine these issues through the experiences of one village in Mondulkiri, which recently ‘reconciled’ its communal title claim with the new individually motivated reforms. The village exemplifies Cambodia's commodity frontier: it is of mixed Bunong-Khmer ethnicity, and has undergone rapid deforestation and market integration since 2005. Thus, when the individual titling commenced in 2012, the already-fragile communal land claim was abandoned by 25% of its constituents. I explore how this unfolded, revealing powerful moral and racial narratives around Bunong identity and the processes of land fragmentation, commodification and alienation. I also reveal how these processes are enabled by Cambodia's predatory regime, of which Order 01 is an intimate part.","container-title":"Asia Pacific Viewpoint","DOI":"10.1111/apv.12027","ISSN":"1467-8373","issue":"3","language":"en","page":"323-339","source":"Wiley Online Library","title":"Under the leopard's skin: Land commodification and the dilemmas of Indigenous communal title in upland Cambodia","title-short":"Under the leopard's skin","volume":"54","author":[{"family":"Milne","given":"Sarah"}],"issued":{"date-parts":[["2013"]]}}}],"schema":"https://github.com/citation-style-language/schema/raw/master/csl-citation.json"} </w:instrText>
      </w:r>
      <w:r w:rsidR="008D562A">
        <w:fldChar w:fldCharType="separate"/>
      </w:r>
      <w:r w:rsidR="00967765" w:rsidRPr="00967765">
        <w:rPr>
          <w:rFonts w:ascii="Calibri" w:hAnsi="Calibri" w:cs="Calibri"/>
        </w:rPr>
        <w:t>(</w:t>
      </w:r>
      <w:r w:rsidR="00967765">
        <w:rPr>
          <w:rFonts w:ascii="Calibri" w:hAnsi="Calibri" w:cs="Calibri"/>
        </w:rPr>
        <w:t xml:space="preserve">Thesis appendix, </w:t>
      </w:r>
      <w:proofErr w:type="spellStart"/>
      <w:r w:rsidR="00967765" w:rsidRPr="00967765">
        <w:rPr>
          <w:rFonts w:ascii="Calibri" w:hAnsi="Calibri" w:cs="Calibri"/>
        </w:rPr>
        <w:t>Grimsditch</w:t>
      </w:r>
      <w:proofErr w:type="spellEnd"/>
      <w:r w:rsidR="00967765" w:rsidRPr="00967765">
        <w:rPr>
          <w:rFonts w:ascii="Calibri" w:hAnsi="Calibri" w:cs="Calibri"/>
        </w:rPr>
        <w:t xml:space="preserve"> and </w:t>
      </w:r>
      <w:proofErr w:type="spellStart"/>
      <w:r w:rsidR="00967765" w:rsidRPr="00967765">
        <w:rPr>
          <w:rFonts w:ascii="Calibri" w:hAnsi="Calibri" w:cs="Calibri"/>
        </w:rPr>
        <w:t>Schoenberger</w:t>
      </w:r>
      <w:proofErr w:type="spellEnd"/>
      <w:r w:rsidR="00967765" w:rsidRPr="00967765">
        <w:rPr>
          <w:rFonts w:ascii="Calibri" w:hAnsi="Calibri" w:cs="Calibri"/>
        </w:rPr>
        <w:t>, 2015; Milne, 2013)</w:t>
      </w:r>
      <w:r w:rsidR="008D562A">
        <w:fldChar w:fldCharType="end"/>
      </w:r>
      <w:r w:rsidR="00967765">
        <w:t>.</w:t>
      </w:r>
      <w:r w:rsidR="008D562A">
        <w:t xml:space="preserve">  </w:t>
      </w:r>
      <w:r w:rsidR="006E6F32">
        <w:t xml:space="preserve">  </w:t>
      </w:r>
      <w:r w:rsidR="007E7489">
        <w:t xml:space="preserve"> </w:t>
      </w:r>
      <w:r>
        <w:t xml:space="preserve">    </w:t>
      </w:r>
    </w:p>
    <w:p w14:paraId="70B8BD68" w14:textId="77777777" w:rsidR="00B35389" w:rsidRDefault="00B35389"/>
    <w:p w14:paraId="71A06842" w14:textId="7E66CC87" w:rsidR="00CA0CCD" w:rsidRPr="00C50E31" w:rsidRDefault="000A5E31">
      <w:pPr>
        <w:rPr>
          <w:i/>
          <w:iCs/>
        </w:rPr>
      </w:pPr>
      <w:r w:rsidRPr="00C50E31">
        <w:rPr>
          <w:i/>
          <w:iCs/>
          <w:highlight w:val="lightGray"/>
        </w:rPr>
        <w:t xml:space="preserve">Conclusions. </w:t>
      </w:r>
      <w:r w:rsidR="00EB69B5" w:rsidRPr="00C50E31">
        <w:rPr>
          <w:i/>
          <w:iCs/>
          <w:highlight w:val="lightGray"/>
        </w:rPr>
        <w:t>What forest transition pathway is Cambodia on (</w:t>
      </w:r>
      <w:proofErr w:type="spellStart"/>
      <w:r w:rsidR="00EB69B5" w:rsidRPr="00C50E31">
        <w:rPr>
          <w:i/>
          <w:iCs/>
          <w:highlight w:val="lightGray"/>
        </w:rPr>
        <w:t>lambin</w:t>
      </w:r>
      <w:proofErr w:type="spellEnd"/>
      <w:r w:rsidR="00EB69B5" w:rsidRPr="00C50E31">
        <w:rPr>
          <w:i/>
          <w:iCs/>
          <w:highlight w:val="lightGray"/>
        </w:rPr>
        <w:t xml:space="preserve"> &amp; </w:t>
      </w:r>
      <w:proofErr w:type="spellStart"/>
      <w:r w:rsidR="00EB69B5" w:rsidRPr="00C50E31">
        <w:rPr>
          <w:i/>
          <w:iCs/>
          <w:highlight w:val="lightGray"/>
        </w:rPr>
        <w:t>Meyfroidt</w:t>
      </w:r>
      <w:proofErr w:type="spellEnd"/>
      <w:r w:rsidR="00EB69B5" w:rsidRPr="00C50E31">
        <w:rPr>
          <w:i/>
          <w:iCs/>
          <w:highlight w:val="lightGray"/>
        </w:rPr>
        <w:t xml:space="preserve"> papers)? </w:t>
      </w:r>
      <w:r w:rsidRPr="00C50E31">
        <w:rPr>
          <w:i/>
          <w:iCs/>
          <w:highlight w:val="lightGray"/>
        </w:rPr>
        <w:t>Linking forest cover and forest loss to economic and social factors is challenging. This is particularly true of a country like Cambodia which has changed and developed extremely rapidly over the last 30 years – does not conform to development trends of the region. The governance of the country also means that natural resource exploitation is difficult to pin down through official metrics – opaque legal mechanisms and processes (</w:t>
      </w:r>
      <w:proofErr w:type="gramStart"/>
      <w:r w:rsidRPr="00C50E31">
        <w:rPr>
          <w:i/>
          <w:iCs/>
          <w:highlight w:val="lightGray"/>
        </w:rPr>
        <w:t>e.g.</w:t>
      </w:r>
      <w:proofErr w:type="gramEnd"/>
      <w:r w:rsidRPr="00C50E31">
        <w:rPr>
          <w:i/>
          <w:iCs/>
          <w:highlight w:val="lightGray"/>
        </w:rPr>
        <w:t xml:space="preserve"> ELC allocation). Nevertheless, there are analytical tools to use. Which ones you choose will depend on the data you have and the questions you are trying to ask. </w:t>
      </w:r>
      <w:r w:rsidRPr="00C50E31">
        <w:rPr>
          <w:i/>
          <w:iCs/>
          <w:highlight w:val="lightGray"/>
        </w:rPr>
        <w:lastRenderedPageBreak/>
        <w:t xml:space="preserve">Final point of </w:t>
      </w:r>
      <w:proofErr w:type="gramStart"/>
      <w:r w:rsidRPr="00C50E31">
        <w:rPr>
          <w:i/>
          <w:iCs/>
          <w:highlight w:val="lightGray"/>
        </w:rPr>
        <w:t>optimism  -</w:t>
      </w:r>
      <w:proofErr w:type="gramEnd"/>
      <w:r w:rsidRPr="00C50E31">
        <w:rPr>
          <w:i/>
          <w:iCs/>
          <w:highlight w:val="lightGray"/>
        </w:rPr>
        <w:t xml:space="preserve"> something about the Environmental </w:t>
      </w:r>
      <w:proofErr w:type="spellStart"/>
      <w:r w:rsidRPr="00C50E31">
        <w:rPr>
          <w:i/>
          <w:iCs/>
          <w:highlight w:val="lightGray"/>
        </w:rPr>
        <w:t>Kuznet</w:t>
      </w:r>
      <w:proofErr w:type="spellEnd"/>
      <w:r w:rsidRPr="00C50E31">
        <w:rPr>
          <w:i/>
          <w:iCs/>
          <w:highlight w:val="lightGray"/>
        </w:rPr>
        <w:t xml:space="preserve"> curve and hoping that Cambodia can reduce forest loss before </w:t>
      </w:r>
      <w:proofErr w:type="spellStart"/>
      <w:r w:rsidRPr="00C50E31">
        <w:rPr>
          <w:i/>
          <w:iCs/>
          <w:highlight w:val="lightGray"/>
        </w:rPr>
        <w:t>its</w:t>
      </w:r>
      <w:proofErr w:type="spellEnd"/>
      <w:r w:rsidRPr="00C50E31">
        <w:rPr>
          <w:i/>
          <w:iCs/>
          <w:highlight w:val="lightGray"/>
        </w:rPr>
        <w:t xml:space="preserve"> too late.</w:t>
      </w:r>
      <w:r w:rsidRPr="00C50E31">
        <w:rPr>
          <w:i/>
          <w:iCs/>
        </w:rPr>
        <w:t xml:space="preserve"> </w:t>
      </w:r>
    </w:p>
    <w:sectPr w:rsidR="00CA0CCD" w:rsidRPr="00C50E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CCD"/>
    <w:rsid w:val="0004482D"/>
    <w:rsid w:val="000467D9"/>
    <w:rsid w:val="00050481"/>
    <w:rsid w:val="000A5E31"/>
    <w:rsid w:val="000C6D7F"/>
    <w:rsid w:val="000D29B7"/>
    <w:rsid w:val="000D6201"/>
    <w:rsid w:val="000F5A08"/>
    <w:rsid w:val="001C2C8C"/>
    <w:rsid w:val="001C6A20"/>
    <w:rsid w:val="00206175"/>
    <w:rsid w:val="002C2427"/>
    <w:rsid w:val="002D5ADC"/>
    <w:rsid w:val="00341503"/>
    <w:rsid w:val="00346437"/>
    <w:rsid w:val="003D7861"/>
    <w:rsid w:val="003F2EEF"/>
    <w:rsid w:val="00455176"/>
    <w:rsid w:val="00471F9F"/>
    <w:rsid w:val="004B48D3"/>
    <w:rsid w:val="005760C1"/>
    <w:rsid w:val="005F1D43"/>
    <w:rsid w:val="006A3F7A"/>
    <w:rsid w:val="006A60AF"/>
    <w:rsid w:val="006E6F32"/>
    <w:rsid w:val="00714B19"/>
    <w:rsid w:val="00783FA8"/>
    <w:rsid w:val="0079410A"/>
    <w:rsid w:val="007B6CAB"/>
    <w:rsid w:val="007E7489"/>
    <w:rsid w:val="007F4665"/>
    <w:rsid w:val="008310E4"/>
    <w:rsid w:val="008B6ED5"/>
    <w:rsid w:val="008D562A"/>
    <w:rsid w:val="00924802"/>
    <w:rsid w:val="00967765"/>
    <w:rsid w:val="0098233C"/>
    <w:rsid w:val="009C1081"/>
    <w:rsid w:val="009E6CDD"/>
    <w:rsid w:val="00A91CB7"/>
    <w:rsid w:val="00B1204A"/>
    <w:rsid w:val="00B35389"/>
    <w:rsid w:val="00B65E3B"/>
    <w:rsid w:val="00BC01A1"/>
    <w:rsid w:val="00BD0E21"/>
    <w:rsid w:val="00BE1454"/>
    <w:rsid w:val="00C00A42"/>
    <w:rsid w:val="00C13023"/>
    <w:rsid w:val="00C26A0C"/>
    <w:rsid w:val="00C50E31"/>
    <w:rsid w:val="00CA0CCD"/>
    <w:rsid w:val="00CE59C3"/>
    <w:rsid w:val="00D250B1"/>
    <w:rsid w:val="00DA3C0A"/>
    <w:rsid w:val="00DD409F"/>
    <w:rsid w:val="00E43E54"/>
    <w:rsid w:val="00EB104C"/>
    <w:rsid w:val="00EB69B5"/>
    <w:rsid w:val="00F3788B"/>
    <w:rsid w:val="00F4456A"/>
    <w:rsid w:val="00F64F35"/>
    <w:rsid w:val="00F919EF"/>
    <w:rsid w:val="00FF42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49E6C"/>
  <w15:chartTrackingRefBased/>
  <w15:docId w15:val="{6CE70A36-E5B3-4D30-AC18-A2B007C1B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843</TotalTime>
  <Pages>5</Pages>
  <Words>12274</Words>
  <Characters>69964</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21</cp:revision>
  <dcterms:created xsi:type="dcterms:W3CDTF">2021-07-26T13:31:00Z</dcterms:created>
  <dcterms:modified xsi:type="dcterms:W3CDTF">2021-08-07T18:55:00Z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id="b6aK1SxK"/&gt;&lt;style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