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3BCBB85C" w:rsidR="00B462AE" w:rsidRDefault="00B462AE"/>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proofErr w:type="gramStart"/>
      <w:r>
        <w:t>Don’t</w:t>
      </w:r>
      <w:proofErr w:type="gramEnd"/>
      <w:r>
        <w:t xml:space="preserve">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4B57EEB3" w14:textId="6D5C30D8" w:rsidR="00B462AE" w:rsidRPr="00B41CFA" w:rsidRDefault="00BD3A49">
      <w:pPr>
        <w:rPr>
          <w:b/>
          <w:bCs/>
          <w:sz w:val="20"/>
          <w:szCs w:val="20"/>
        </w:rPr>
      </w:pPr>
      <w:r w:rsidRPr="00B41CFA">
        <w:rPr>
          <w:b/>
          <w:bCs/>
          <w:sz w:val="20"/>
          <w:szCs w:val="20"/>
        </w:rPr>
        <w:t>Table 3. Parameter coefficients and standard errors from the top model(s) in the macroeconomic analysis.</w:t>
      </w:r>
      <w:r w:rsidR="00A2432B">
        <w:rPr>
          <w:b/>
          <w:bCs/>
          <w:sz w:val="20"/>
          <w:szCs w:val="20"/>
        </w:rPr>
        <w:t xml:space="preserve"> Missing values denote predictor variables that were not selected in the top model(s) for that lag period.</w:t>
      </w:r>
    </w:p>
    <w:tbl>
      <w:tblPr>
        <w:tblW w:w="0" w:type="auto"/>
        <w:tblLook w:val="04A0" w:firstRow="1" w:lastRow="0" w:firstColumn="1" w:lastColumn="0" w:noHBand="0" w:noVBand="1"/>
      </w:tblPr>
      <w:tblGrid>
        <w:gridCol w:w="2609"/>
        <w:gridCol w:w="1116"/>
        <w:gridCol w:w="875"/>
        <w:gridCol w:w="222"/>
        <w:gridCol w:w="1116"/>
        <w:gridCol w:w="875"/>
        <w:gridCol w:w="222"/>
        <w:gridCol w:w="1116"/>
        <w:gridCol w:w="875"/>
      </w:tblGrid>
      <w:tr w:rsidR="00BD3A49" w:rsidRPr="00EC6C01" w14:paraId="2E5C2FB0" w14:textId="77777777" w:rsidTr="00B41CFA">
        <w:trPr>
          <w:trHeight w:val="288"/>
        </w:trPr>
        <w:tc>
          <w:tcPr>
            <w:tcW w:w="0" w:type="auto"/>
            <w:tcBorders>
              <w:top w:val="single" w:sz="12" w:space="0" w:color="000000" w:themeColor="text1"/>
            </w:tcBorders>
            <w:shd w:val="clear" w:color="auto" w:fill="auto"/>
            <w:noWrap/>
            <w:hideMark/>
          </w:tcPr>
          <w:p w14:paraId="1A7D3232"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gridSpan w:val="2"/>
            <w:tcBorders>
              <w:top w:val="single" w:sz="12" w:space="0" w:color="auto"/>
              <w:bottom w:val="single" w:sz="6" w:space="0" w:color="auto"/>
            </w:tcBorders>
            <w:shd w:val="clear" w:color="auto" w:fill="auto"/>
            <w:noWrap/>
            <w:hideMark/>
          </w:tcPr>
          <w:p w14:paraId="4FFB76E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0" w:type="auto"/>
            <w:tcBorders>
              <w:top w:val="single" w:sz="12" w:space="0" w:color="auto"/>
              <w:bottom w:val="single" w:sz="6" w:space="0" w:color="FFFFFF" w:themeColor="background1"/>
            </w:tcBorders>
          </w:tcPr>
          <w:p w14:paraId="404A20B2"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7D0DC52C" w14:textId="33BBA232"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0" w:type="auto"/>
            <w:tcBorders>
              <w:top w:val="single" w:sz="12" w:space="0" w:color="auto"/>
              <w:bottom w:val="single" w:sz="6" w:space="0" w:color="FFFFFF" w:themeColor="background1"/>
            </w:tcBorders>
          </w:tcPr>
          <w:p w14:paraId="7F6708A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145224D8" w14:textId="654767D3"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BD3A49" w:rsidRPr="00EC6C01" w14:paraId="34546336" w14:textId="77777777" w:rsidTr="00B41CFA">
        <w:trPr>
          <w:trHeight w:val="288"/>
        </w:trPr>
        <w:tc>
          <w:tcPr>
            <w:tcW w:w="0" w:type="auto"/>
            <w:tcBorders>
              <w:bottom w:val="single" w:sz="12" w:space="0" w:color="000000" w:themeColor="text1"/>
            </w:tcBorders>
            <w:shd w:val="clear" w:color="auto" w:fill="auto"/>
            <w:noWrap/>
            <w:hideMark/>
          </w:tcPr>
          <w:p w14:paraId="219E35C7"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0" w:type="auto"/>
            <w:tcBorders>
              <w:top w:val="single" w:sz="6" w:space="0" w:color="auto"/>
              <w:bottom w:val="single" w:sz="12" w:space="0" w:color="auto"/>
            </w:tcBorders>
            <w:shd w:val="clear" w:color="auto" w:fill="auto"/>
            <w:noWrap/>
            <w:hideMark/>
          </w:tcPr>
          <w:p w14:paraId="4D81C7AB"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06D5C3B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6935FFEA"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51C1053D" w14:textId="76D51FE8"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4F2C7E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2D005AB9"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20EAF0F6" w14:textId="2EC3EA4D"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02AC855"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r>
      <w:tr w:rsidR="00BD3A49" w:rsidRPr="00EC6C01" w14:paraId="70C1F787" w14:textId="77777777" w:rsidTr="00B41CFA">
        <w:trPr>
          <w:trHeight w:val="288"/>
        </w:trPr>
        <w:tc>
          <w:tcPr>
            <w:tcW w:w="0" w:type="auto"/>
            <w:tcBorders>
              <w:top w:val="single" w:sz="12" w:space="0" w:color="000000" w:themeColor="text1"/>
            </w:tcBorders>
            <w:shd w:val="clear" w:color="auto" w:fill="auto"/>
            <w:noWrap/>
            <w:hideMark/>
          </w:tcPr>
          <w:p w14:paraId="246ECBB0"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0" w:type="auto"/>
            <w:tcBorders>
              <w:top w:val="single" w:sz="12" w:space="0" w:color="auto"/>
            </w:tcBorders>
            <w:shd w:val="clear" w:color="auto" w:fill="auto"/>
            <w:noWrap/>
            <w:hideMark/>
          </w:tcPr>
          <w:p w14:paraId="4988D3D6"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tcBorders>
              <w:top w:val="single" w:sz="12" w:space="0" w:color="auto"/>
            </w:tcBorders>
            <w:shd w:val="clear" w:color="auto" w:fill="auto"/>
            <w:noWrap/>
            <w:hideMark/>
          </w:tcPr>
          <w:p w14:paraId="21339BBA"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5488F204"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53E9E006" w14:textId="57A79EEE"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4E441B8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3BC9D55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25E0B940" w14:textId="01A54161"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392F905C"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05E6EE4A" w14:textId="77777777" w:rsidTr="00BD3A49">
        <w:trPr>
          <w:trHeight w:val="288"/>
        </w:trPr>
        <w:tc>
          <w:tcPr>
            <w:tcW w:w="0" w:type="auto"/>
            <w:shd w:val="clear" w:color="auto" w:fill="auto"/>
            <w:hideMark/>
          </w:tcPr>
          <w:p w14:paraId="5C41FB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0" w:type="auto"/>
            <w:shd w:val="clear" w:color="auto" w:fill="auto"/>
            <w:noWrap/>
            <w:hideMark/>
          </w:tcPr>
          <w:p w14:paraId="6A5F9752" w14:textId="342CA33E"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3D0F56" w14:textId="5A5929D2"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7916F7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1823B51" w14:textId="24B9705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0" w:type="auto"/>
            <w:shd w:val="clear" w:color="auto" w:fill="auto"/>
            <w:noWrap/>
            <w:hideMark/>
          </w:tcPr>
          <w:p w14:paraId="2C2A93F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0" w:type="auto"/>
          </w:tcPr>
          <w:p w14:paraId="53A1A65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7BB9E7" w14:textId="33325AD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0" w:type="auto"/>
            <w:shd w:val="clear" w:color="auto" w:fill="auto"/>
            <w:noWrap/>
            <w:hideMark/>
          </w:tcPr>
          <w:p w14:paraId="3D97DC30" w14:textId="581B329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r>
      <w:tr w:rsidR="00BD3A49" w:rsidRPr="00EC6C01" w14:paraId="1BA6326F" w14:textId="77777777" w:rsidTr="00BD3A49">
        <w:trPr>
          <w:trHeight w:val="420"/>
        </w:trPr>
        <w:tc>
          <w:tcPr>
            <w:tcW w:w="0" w:type="auto"/>
            <w:shd w:val="clear" w:color="auto" w:fill="auto"/>
            <w:hideMark/>
          </w:tcPr>
          <w:p w14:paraId="07503FF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0" w:type="auto"/>
            <w:shd w:val="clear" w:color="auto" w:fill="auto"/>
            <w:noWrap/>
            <w:hideMark/>
          </w:tcPr>
          <w:p w14:paraId="2CB37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0" w:type="auto"/>
            <w:shd w:val="clear" w:color="auto" w:fill="auto"/>
            <w:noWrap/>
            <w:hideMark/>
          </w:tcPr>
          <w:p w14:paraId="7C9EEFA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0" w:type="auto"/>
          </w:tcPr>
          <w:p w14:paraId="0D3739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5CCC61" w14:textId="01113BF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0" w:type="auto"/>
            <w:shd w:val="clear" w:color="auto" w:fill="auto"/>
            <w:noWrap/>
            <w:hideMark/>
          </w:tcPr>
          <w:p w14:paraId="1B19A90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0" w:type="auto"/>
          </w:tcPr>
          <w:p w14:paraId="48BC2BF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276AB97" w14:textId="5CEF67C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0" w:type="auto"/>
            <w:shd w:val="clear" w:color="auto" w:fill="auto"/>
            <w:noWrap/>
            <w:hideMark/>
          </w:tcPr>
          <w:p w14:paraId="5DA19A38" w14:textId="267121F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r>
      <w:tr w:rsidR="00BD3A49" w:rsidRPr="00EC6C01" w14:paraId="5670A7EB" w14:textId="77777777" w:rsidTr="00BD3A49">
        <w:trPr>
          <w:trHeight w:val="456"/>
        </w:trPr>
        <w:tc>
          <w:tcPr>
            <w:tcW w:w="0" w:type="auto"/>
            <w:shd w:val="clear" w:color="auto" w:fill="auto"/>
            <w:hideMark/>
          </w:tcPr>
          <w:p w14:paraId="51E988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0" w:type="auto"/>
            <w:shd w:val="clear" w:color="auto" w:fill="auto"/>
            <w:noWrap/>
            <w:hideMark/>
          </w:tcPr>
          <w:p w14:paraId="07347D80" w14:textId="30D2565C"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03BF4A9B" w14:textId="02332191"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35313F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C9DCB23" w14:textId="2D2F4467"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2C86EBB6" w14:textId="1DE4F13F"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6F3E95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F0D7178" w14:textId="676DF2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0" w:type="auto"/>
            <w:shd w:val="clear" w:color="auto" w:fill="auto"/>
            <w:noWrap/>
            <w:hideMark/>
          </w:tcPr>
          <w:p w14:paraId="51C6E5F4" w14:textId="5D313A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r>
      <w:tr w:rsidR="00BD3A49" w:rsidRPr="00EC6C01" w14:paraId="107ECF85" w14:textId="77777777" w:rsidTr="00BD3A49">
        <w:trPr>
          <w:trHeight w:val="576"/>
        </w:trPr>
        <w:tc>
          <w:tcPr>
            <w:tcW w:w="0" w:type="auto"/>
            <w:shd w:val="clear" w:color="auto" w:fill="auto"/>
            <w:hideMark/>
          </w:tcPr>
          <w:p w14:paraId="3AE6B9E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0" w:type="auto"/>
            <w:shd w:val="clear" w:color="auto" w:fill="auto"/>
            <w:noWrap/>
            <w:hideMark/>
          </w:tcPr>
          <w:p w14:paraId="4076194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0" w:type="auto"/>
            <w:shd w:val="clear" w:color="auto" w:fill="auto"/>
            <w:noWrap/>
            <w:hideMark/>
          </w:tcPr>
          <w:p w14:paraId="0DB55EA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0" w:type="auto"/>
          </w:tcPr>
          <w:p w14:paraId="58D5E19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FD6260" w14:textId="3477AFB4"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B39C58" w14:textId="764692BB"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4247400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581C0E7" w14:textId="000F099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0" w:type="auto"/>
            <w:shd w:val="clear" w:color="auto" w:fill="auto"/>
            <w:noWrap/>
            <w:hideMark/>
          </w:tcPr>
          <w:p w14:paraId="4DD21BBC" w14:textId="448EDFD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r>
      <w:tr w:rsidR="00BD3A49" w:rsidRPr="00EC6C01" w14:paraId="15648A7D" w14:textId="77777777" w:rsidTr="00BD3A49">
        <w:trPr>
          <w:trHeight w:val="288"/>
        </w:trPr>
        <w:tc>
          <w:tcPr>
            <w:tcW w:w="0" w:type="auto"/>
            <w:shd w:val="clear" w:color="auto" w:fill="auto"/>
            <w:hideMark/>
          </w:tcPr>
          <w:p w14:paraId="6BEBDB1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0" w:type="auto"/>
            <w:shd w:val="clear" w:color="auto" w:fill="auto"/>
            <w:noWrap/>
            <w:hideMark/>
          </w:tcPr>
          <w:p w14:paraId="5240B68E" w14:textId="4CED4A0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17A83E3B" w14:textId="6A35C226"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621A9E4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C680C57" w14:textId="203D13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0" w:type="auto"/>
            <w:shd w:val="clear" w:color="auto" w:fill="auto"/>
            <w:noWrap/>
            <w:hideMark/>
          </w:tcPr>
          <w:p w14:paraId="2EAE343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0" w:type="auto"/>
          </w:tcPr>
          <w:p w14:paraId="57069ED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C159D7B" w14:textId="5BEF6BC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0" w:type="auto"/>
            <w:shd w:val="clear" w:color="auto" w:fill="auto"/>
            <w:noWrap/>
            <w:hideMark/>
          </w:tcPr>
          <w:p w14:paraId="14477BC9" w14:textId="382D56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r>
      <w:tr w:rsidR="00BD3A49" w:rsidRPr="00EC6C01" w14:paraId="2DED7B5C" w14:textId="77777777" w:rsidTr="00BD3A49">
        <w:trPr>
          <w:trHeight w:val="288"/>
        </w:trPr>
        <w:tc>
          <w:tcPr>
            <w:tcW w:w="0" w:type="auto"/>
            <w:shd w:val="clear" w:color="auto" w:fill="auto"/>
            <w:hideMark/>
          </w:tcPr>
          <w:p w14:paraId="4D21A74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0" w:type="auto"/>
            <w:shd w:val="clear" w:color="auto" w:fill="auto"/>
            <w:noWrap/>
            <w:hideMark/>
          </w:tcPr>
          <w:p w14:paraId="1F1B9F7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0" w:type="auto"/>
            <w:shd w:val="clear" w:color="auto" w:fill="auto"/>
            <w:noWrap/>
            <w:hideMark/>
          </w:tcPr>
          <w:p w14:paraId="01C193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0" w:type="auto"/>
          </w:tcPr>
          <w:p w14:paraId="054DA46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4114A8" w14:textId="32370F2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0" w:type="auto"/>
            <w:shd w:val="clear" w:color="auto" w:fill="auto"/>
            <w:noWrap/>
            <w:hideMark/>
          </w:tcPr>
          <w:p w14:paraId="2DC278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0" w:type="auto"/>
          </w:tcPr>
          <w:p w14:paraId="2E3CCA7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8900743" w14:textId="0B06723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0" w:type="auto"/>
            <w:shd w:val="clear" w:color="auto" w:fill="auto"/>
            <w:noWrap/>
            <w:hideMark/>
          </w:tcPr>
          <w:p w14:paraId="687364C3" w14:textId="3E4D02F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r>
      <w:tr w:rsidR="00BD3A49" w:rsidRPr="00EC6C01" w14:paraId="27A0E80E" w14:textId="77777777" w:rsidTr="00BD3A49">
        <w:trPr>
          <w:trHeight w:val="288"/>
        </w:trPr>
        <w:tc>
          <w:tcPr>
            <w:tcW w:w="0" w:type="auto"/>
            <w:shd w:val="clear" w:color="auto" w:fill="auto"/>
            <w:hideMark/>
          </w:tcPr>
          <w:p w14:paraId="0AA24F3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0FC4CB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0" w:type="auto"/>
            <w:shd w:val="clear" w:color="auto" w:fill="auto"/>
            <w:noWrap/>
            <w:hideMark/>
          </w:tcPr>
          <w:p w14:paraId="0BB8A4F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65CE439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59D5698" w14:textId="0EA8338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400FEE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8955B9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E3499DE" w14:textId="115741B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02FFBA76" w14:textId="2B78215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r>
      <w:tr w:rsidR="00BD3A49" w:rsidRPr="00EC6C01" w14:paraId="4165E86B" w14:textId="77777777" w:rsidTr="00BD3A49">
        <w:trPr>
          <w:trHeight w:val="288"/>
        </w:trPr>
        <w:tc>
          <w:tcPr>
            <w:tcW w:w="0" w:type="auto"/>
            <w:shd w:val="clear" w:color="auto" w:fill="auto"/>
            <w:noWrap/>
            <w:hideMark/>
          </w:tcPr>
          <w:p w14:paraId="62F33AD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0" w:type="auto"/>
            <w:shd w:val="clear" w:color="auto" w:fill="auto"/>
            <w:noWrap/>
            <w:hideMark/>
          </w:tcPr>
          <w:p w14:paraId="28259E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464DD85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389829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3723676" w14:textId="35031D58"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FA01C11"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603C8C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C6191C9" w14:textId="24E73C5F"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4622D58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77CB183C" w14:textId="77777777" w:rsidTr="00BD3A49">
        <w:trPr>
          <w:trHeight w:val="576"/>
        </w:trPr>
        <w:tc>
          <w:tcPr>
            <w:tcW w:w="0" w:type="auto"/>
            <w:shd w:val="clear" w:color="auto" w:fill="auto"/>
            <w:hideMark/>
          </w:tcPr>
          <w:p w14:paraId="7D9224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0" w:type="auto"/>
            <w:shd w:val="clear" w:color="auto" w:fill="auto"/>
            <w:noWrap/>
            <w:hideMark/>
          </w:tcPr>
          <w:p w14:paraId="6AA003B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0" w:type="auto"/>
            <w:shd w:val="clear" w:color="auto" w:fill="auto"/>
            <w:noWrap/>
            <w:hideMark/>
          </w:tcPr>
          <w:p w14:paraId="17BC9A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0" w:type="auto"/>
          </w:tcPr>
          <w:p w14:paraId="06434C0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977016A" w14:textId="0604D92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0" w:type="auto"/>
            <w:shd w:val="clear" w:color="auto" w:fill="auto"/>
            <w:noWrap/>
            <w:hideMark/>
          </w:tcPr>
          <w:p w14:paraId="257E09C4" w14:textId="15364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0" w:type="auto"/>
          </w:tcPr>
          <w:p w14:paraId="7C58AA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4957E7" w14:textId="213C8A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0" w:type="auto"/>
            <w:shd w:val="clear" w:color="auto" w:fill="auto"/>
            <w:noWrap/>
            <w:hideMark/>
          </w:tcPr>
          <w:p w14:paraId="6BBE1F7E" w14:textId="3AA4BFE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r>
      <w:tr w:rsidR="00BD3A49" w:rsidRPr="00EC6C01" w14:paraId="655DC918" w14:textId="77777777" w:rsidTr="00BD3A49">
        <w:trPr>
          <w:trHeight w:val="576"/>
        </w:trPr>
        <w:tc>
          <w:tcPr>
            <w:tcW w:w="0" w:type="auto"/>
            <w:shd w:val="clear" w:color="auto" w:fill="auto"/>
            <w:hideMark/>
          </w:tcPr>
          <w:p w14:paraId="456DB28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0" w:type="auto"/>
            <w:shd w:val="clear" w:color="auto" w:fill="auto"/>
            <w:noWrap/>
            <w:hideMark/>
          </w:tcPr>
          <w:p w14:paraId="1C67B5B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0" w:type="auto"/>
            <w:shd w:val="clear" w:color="auto" w:fill="auto"/>
            <w:noWrap/>
            <w:hideMark/>
          </w:tcPr>
          <w:p w14:paraId="51B24BC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0" w:type="auto"/>
          </w:tcPr>
          <w:p w14:paraId="3F60BAF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011CA2A" w14:textId="030C394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0" w:type="auto"/>
            <w:shd w:val="clear" w:color="auto" w:fill="auto"/>
            <w:noWrap/>
            <w:hideMark/>
          </w:tcPr>
          <w:p w14:paraId="058581EE" w14:textId="5F1FC00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0" w:type="auto"/>
          </w:tcPr>
          <w:p w14:paraId="7D936F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DD644AD" w14:textId="2AA0686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50158A0C" w14:textId="5D620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r>
      <w:tr w:rsidR="00BD3A49" w:rsidRPr="00EC6C01" w14:paraId="3A0959F2" w14:textId="77777777" w:rsidTr="00BD3A49">
        <w:trPr>
          <w:trHeight w:val="576"/>
        </w:trPr>
        <w:tc>
          <w:tcPr>
            <w:tcW w:w="0" w:type="auto"/>
            <w:shd w:val="clear" w:color="auto" w:fill="auto"/>
            <w:hideMark/>
          </w:tcPr>
          <w:p w14:paraId="59F89C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0" w:type="auto"/>
            <w:shd w:val="clear" w:color="auto" w:fill="auto"/>
            <w:noWrap/>
            <w:hideMark/>
          </w:tcPr>
          <w:p w14:paraId="319E5A9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0" w:type="auto"/>
            <w:shd w:val="clear" w:color="auto" w:fill="auto"/>
            <w:noWrap/>
            <w:hideMark/>
          </w:tcPr>
          <w:p w14:paraId="2306BF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0" w:type="auto"/>
          </w:tcPr>
          <w:p w14:paraId="7B936D1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4DB5DC3" w14:textId="06FD95B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0" w:type="auto"/>
            <w:shd w:val="clear" w:color="auto" w:fill="auto"/>
            <w:noWrap/>
            <w:hideMark/>
          </w:tcPr>
          <w:p w14:paraId="7EA8E318" w14:textId="6015B33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0" w:type="auto"/>
          </w:tcPr>
          <w:p w14:paraId="0684983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01D0715" w14:textId="66D257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64A571BD" w14:textId="1477665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r>
      <w:tr w:rsidR="00BD3A49" w:rsidRPr="00EC6C01" w14:paraId="68FC9C62" w14:textId="77777777" w:rsidTr="00BD3A49">
        <w:trPr>
          <w:trHeight w:val="576"/>
        </w:trPr>
        <w:tc>
          <w:tcPr>
            <w:tcW w:w="0" w:type="auto"/>
            <w:shd w:val="clear" w:color="auto" w:fill="auto"/>
            <w:hideMark/>
          </w:tcPr>
          <w:p w14:paraId="13CC5D2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0" w:type="auto"/>
            <w:shd w:val="clear" w:color="auto" w:fill="auto"/>
            <w:noWrap/>
            <w:hideMark/>
          </w:tcPr>
          <w:p w14:paraId="221F4D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0" w:type="auto"/>
            <w:shd w:val="clear" w:color="auto" w:fill="auto"/>
            <w:noWrap/>
            <w:hideMark/>
          </w:tcPr>
          <w:p w14:paraId="25DB02E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0" w:type="auto"/>
          </w:tcPr>
          <w:p w14:paraId="1806BC3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E0B06F9" w14:textId="496611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0" w:type="auto"/>
            <w:shd w:val="clear" w:color="auto" w:fill="auto"/>
            <w:noWrap/>
            <w:hideMark/>
          </w:tcPr>
          <w:p w14:paraId="68175AFE" w14:textId="3B8A12F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0" w:type="auto"/>
          </w:tcPr>
          <w:p w14:paraId="6937876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30AA8A0" w14:textId="2E610A3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0" w:type="auto"/>
            <w:shd w:val="clear" w:color="auto" w:fill="auto"/>
            <w:noWrap/>
            <w:hideMark/>
          </w:tcPr>
          <w:p w14:paraId="2AF3E09C" w14:textId="439DEA7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r>
      <w:tr w:rsidR="00BD3A49" w:rsidRPr="00EC6C01" w14:paraId="7B2A53A5" w14:textId="77777777" w:rsidTr="00BD3A49">
        <w:trPr>
          <w:trHeight w:val="576"/>
        </w:trPr>
        <w:tc>
          <w:tcPr>
            <w:tcW w:w="0" w:type="auto"/>
            <w:shd w:val="clear" w:color="auto" w:fill="auto"/>
            <w:hideMark/>
          </w:tcPr>
          <w:p w14:paraId="3E08420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0" w:type="auto"/>
            <w:shd w:val="clear" w:color="auto" w:fill="auto"/>
            <w:noWrap/>
            <w:hideMark/>
          </w:tcPr>
          <w:p w14:paraId="5DD9EB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0" w:type="auto"/>
            <w:shd w:val="clear" w:color="auto" w:fill="auto"/>
            <w:noWrap/>
            <w:hideMark/>
          </w:tcPr>
          <w:p w14:paraId="0C3F6D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0" w:type="auto"/>
          </w:tcPr>
          <w:p w14:paraId="38929F8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4E30DE" w14:textId="6BB3D8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0" w:type="auto"/>
            <w:shd w:val="clear" w:color="auto" w:fill="auto"/>
            <w:noWrap/>
            <w:hideMark/>
          </w:tcPr>
          <w:p w14:paraId="6AB5BCF1" w14:textId="3B054A9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0" w:type="auto"/>
          </w:tcPr>
          <w:p w14:paraId="223CDB1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91E52F9" w14:textId="5BD2EBE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0" w:type="auto"/>
            <w:shd w:val="clear" w:color="auto" w:fill="auto"/>
            <w:noWrap/>
            <w:hideMark/>
          </w:tcPr>
          <w:p w14:paraId="7B620A19" w14:textId="1C392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r>
      <w:tr w:rsidR="00BD3A49" w:rsidRPr="00EC6C01" w14:paraId="43419935" w14:textId="77777777" w:rsidTr="00BD3A49">
        <w:trPr>
          <w:trHeight w:val="288"/>
        </w:trPr>
        <w:tc>
          <w:tcPr>
            <w:tcW w:w="0" w:type="auto"/>
            <w:shd w:val="clear" w:color="auto" w:fill="auto"/>
            <w:hideMark/>
          </w:tcPr>
          <w:p w14:paraId="21D7D6CE" w14:textId="1DAF76D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0" w:type="auto"/>
            <w:shd w:val="clear" w:color="auto" w:fill="auto"/>
            <w:noWrap/>
            <w:hideMark/>
          </w:tcPr>
          <w:p w14:paraId="70586C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B356EE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0AD1D9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BEBB73C" w14:textId="6D72D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0" w:type="auto"/>
            <w:shd w:val="clear" w:color="auto" w:fill="auto"/>
            <w:noWrap/>
            <w:hideMark/>
          </w:tcPr>
          <w:p w14:paraId="3CE13830" w14:textId="550C698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0" w:type="auto"/>
          </w:tcPr>
          <w:p w14:paraId="0A583D0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735568A" w14:textId="45B0CE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0" w:type="auto"/>
            <w:shd w:val="clear" w:color="auto" w:fill="auto"/>
            <w:noWrap/>
            <w:hideMark/>
          </w:tcPr>
          <w:p w14:paraId="4445C273" w14:textId="5691D18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r>
      <w:tr w:rsidR="00BD3A49" w:rsidRPr="00EC6C01" w14:paraId="49D44CEA" w14:textId="77777777" w:rsidTr="00BD3A49">
        <w:trPr>
          <w:trHeight w:val="576"/>
        </w:trPr>
        <w:tc>
          <w:tcPr>
            <w:tcW w:w="0" w:type="auto"/>
            <w:shd w:val="clear" w:color="auto" w:fill="auto"/>
            <w:hideMark/>
          </w:tcPr>
          <w:p w14:paraId="469F6184" w14:textId="6F6F708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0" w:type="auto"/>
            <w:shd w:val="clear" w:color="auto" w:fill="auto"/>
            <w:noWrap/>
            <w:hideMark/>
          </w:tcPr>
          <w:p w14:paraId="6B6CE7EE" w14:textId="6D17C275"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4C0A93A4" w14:textId="2C23B2A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56413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CECFEC" w14:textId="6A80479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50B664E" w14:textId="58399A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0" w:type="auto"/>
          </w:tcPr>
          <w:p w14:paraId="5BA4E20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1608273" w14:textId="2AF53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E792D86" w14:textId="3320DF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r>
      <w:tr w:rsidR="00BD3A49" w:rsidRPr="00EC6C01" w14:paraId="1A48B2CA" w14:textId="77777777" w:rsidTr="00BD3A49">
        <w:trPr>
          <w:trHeight w:val="288"/>
        </w:trPr>
        <w:tc>
          <w:tcPr>
            <w:tcW w:w="0" w:type="auto"/>
            <w:shd w:val="clear" w:color="auto" w:fill="auto"/>
            <w:hideMark/>
          </w:tcPr>
          <w:p w14:paraId="709781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7F56AD6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0" w:type="auto"/>
            <w:shd w:val="clear" w:color="auto" w:fill="auto"/>
            <w:noWrap/>
            <w:hideMark/>
          </w:tcPr>
          <w:p w14:paraId="3B4817D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A78A3D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7C8A7CB" w14:textId="5647A35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0" w:type="auto"/>
            <w:shd w:val="clear" w:color="auto" w:fill="auto"/>
            <w:noWrap/>
            <w:hideMark/>
          </w:tcPr>
          <w:p w14:paraId="47D9F229" w14:textId="34E1DE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0" w:type="auto"/>
          </w:tcPr>
          <w:p w14:paraId="6823C42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F2BD974" w14:textId="1B43B90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shd w:val="clear" w:color="auto" w:fill="auto"/>
            <w:noWrap/>
            <w:hideMark/>
          </w:tcPr>
          <w:p w14:paraId="2041E05A" w14:textId="0F3D0D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r>
      <w:tr w:rsidR="00BD3A49" w:rsidRPr="00EC6C01" w14:paraId="45D934C0" w14:textId="77777777" w:rsidTr="00BD3A49">
        <w:trPr>
          <w:trHeight w:val="288"/>
        </w:trPr>
        <w:tc>
          <w:tcPr>
            <w:tcW w:w="0" w:type="auto"/>
            <w:shd w:val="clear" w:color="auto" w:fill="auto"/>
            <w:noWrap/>
            <w:hideMark/>
          </w:tcPr>
          <w:p w14:paraId="71FFBDE8"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0" w:type="auto"/>
            <w:shd w:val="clear" w:color="auto" w:fill="auto"/>
            <w:noWrap/>
            <w:hideMark/>
          </w:tcPr>
          <w:p w14:paraId="7B2554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62372A3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712B4CB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95B430A" w14:textId="11331EA5"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D27C647"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33AFFEB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9EE5E25" w14:textId="3F296FBA"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089E8EC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18F9F175" w14:textId="77777777" w:rsidTr="00BD3A49">
        <w:trPr>
          <w:trHeight w:val="288"/>
        </w:trPr>
        <w:tc>
          <w:tcPr>
            <w:tcW w:w="0" w:type="auto"/>
            <w:shd w:val="clear" w:color="auto" w:fill="auto"/>
            <w:hideMark/>
          </w:tcPr>
          <w:p w14:paraId="38C9814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Producer price of corn</w:t>
            </w:r>
          </w:p>
        </w:tc>
        <w:tc>
          <w:tcPr>
            <w:tcW w:w="0" w:type="auto"/>
            <w:shd w:val="clear" w:color="auto" w:fill="auto"/>
            <w:noWrap/>
            <w:hideMark/>
          </w:tcPr>
          <w:p w14:paraId="2570ED8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0" w:type="auto"/>
            <w:shd w:val="clear" w:color="auto" w:fill="auto"/>
            <w:noWrap/>
            <w:hideMark/>
          </w:tcPr>
          <w:p w14:paraId="785586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0" w:type="auto"/>
          </w:tcPr>
          <w:p w14:paraId="2AC93AB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4220F45" w14:textId="1C99AC7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0" w:type="auto"/>
            <w:shd w:val="clear" w:color="auto" w:fill="auto"/>
            <w:noWrap/>
            <w:hideMark/>
          </w:tcPr>
          <w:p w14:paraId="29B0699D" w14:textId="675D779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0" w:type="auto"/>
          </w:tcPr>
          <w:p w14:paraId="5F391E5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D07191" w14:textId="07C2825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0" w:type="auto"/>
            <w:shd w:val="clear" w:color="auto" w:fill="auto"/>
            <w:noWrap/>
            <w:hideMark/>
          </w:tcPr>
          <w:p w14:paraId="2AA1B71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r>
      <w:tr w:rsidR="00BD3A49" w:rsidRPr="00EC6C01" w14:paraId="5E3F97D6" w14:textId="77777777" w:rsidTr="00BD3A49">
        <w:trPr>
          <w:trHeight w:val="288"/>
        </w:trPr>
        <w:tc>
          <w:tcPr>
            <w:tcW w:w="0" w:type="auto"/>
            <w:shd w:val="clear" w:color="auto" w:fill="auto"/>
            <w:hideMark/>
          </w:tcPr>
          <w:p w14:paraId="47B0D1E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0" w:type="auto"/>
            <w:shd w:val="clear" w:color="auto" w:fill="auto"/>
            <w:noWrap/>
            <w:hideMark/>
          </w:tcPr>
          <w:p w14:paraId="6571277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0" w:type="auto"/>
            <w:shd w:val="clear" w:color="auto" w:fill="auto"/>
            <w:noWrap/>
            <w:hideMark/>
          </w:tcPr>
          <w:p w14:paraId="4103E1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0" w:type="auto"/>
          </w:tcPr>
          <w:p w14:paraId="3E7F001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FF88A2" w14:textId="4E7B5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0" w:type="auto"/>
            <w:shd w:val="clear" w:color="auto" w:fill="auto"/>
            <w:noWrap/>
            <w:hideMark/>
          </w:tcPr>
          <w:p w14:paraId="02297D88" w14:textId="205E93E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0" w:type="auto"/>
          </w:tcPr>
          <w:p w14:paraId="04B2D1E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CC1733F" w14:textId="4C0E7E2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0" w:type="auto"/>
            <w:shd w:val="clear" w:color="auto" w:fill="auto"/>
            <w:noWrap/>
            <w:hideMark/>
          </w:tcPr>
          <w:p w14:paraId="746EEB2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r>
      <w:tr w:rsidR="00BD3A49" w:rsidRPr="00EC6C01" w14:paraId="1040C005" w14:textId="77777777" w:rsidTr="00BD3A49">
        <w:trPr>
          <w:trHeight w:val="288"/>
        </w:trPr>
        <w:tc>
          <w:tcPr>
            <w:tcW w:w="0" w:type="auto"/>
            <w:shd w:val="clear" w:color="auto" w:fill="auto"/>
            <w:hideMark/>
          </w:tcPr>
          <w:p w14:paraId="48B0E0A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0" w:type="auto"/>
            <w:shd w:val="clear" w:color="auto" w:fill="auto"/>
            <w:noWrap/>
            <w:hideMark/>
          </w:tcPr>
          <w:p w14:paraId="44A766C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0" w:type="auto"/>
            <w:shd w:val="clear" w:color="auto" w:fill="auto"/>
            <w:noWrap/>
            <w:hideMark/>
          </w:tcPr>
          <w:p w14:paraId="651F6AD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0" w:type="auto"/>
          </w:tcPr>
          <w:p w14:paraId="43D627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518B14" w14:textId="6C89603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0" w:type="auto"/>
            <w:shd w:val="clear" w:color="auto" w:fill="auto"/>
            <w:noWrap/>
            <w:hideMark/>
          </w:tcPr>
          <w:p w14:paraId="305125C1" w14:textId="0BFA676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0" w:type="auto"/>
          </w:tcPr>
          <w:p w14:paraId="23422EA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4222C64" w14:textId="630A430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0" w:type="auto"/>
            <w:shd w:val="clear" w:color="auto" w:fill="auto"/>
            <w:noWrap/>
            <w:hideMark/>
          </w:tcPr>
          <w:p w14:paraId="1E0DBE0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r>
      <w:tr w:rsidR="00BD3A49" w:rsidRPr="00EC6C01" w14:paraId="7208F1B5" w14:textId="77777777" w:rsidTr="00BD3A49">
        <w:trPr>
          <w:trHeight w:val="288"/>
        </w:trPr>
        <w:tc>
          <w:tcPr>
            <w:tcW w:w="0" w:type="auto"/>
            <w:shd w:val="clear" w:color="auto" w:fill="auto"/>
            <w:hideMark/>
          </w:tcPr>
          <w:p w14:paraId="1F133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0" w:type="auto"/>
            <w:shd w:val="clear" w:color="auto" w:fill="auto"/>
            <w:noWrap/>
            <w:hideMark/>
          </w:tcPr>
          <w:p w14:paraId="408AC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285A4E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0" w:type="auto"/>
          </w:tcPr>
          <w:p w14:paraId="20A85E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B77EE79" w14:textId="6D3DC0A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0" w:type="auto"/>
            <w:shd w:val="clear" w:color="auto" w:fill="auto"/>
            <w:noWrap/>
            <w:hideMark/>
          </w:tcPr>
          <w:p w14:paraId="330464E9" w14:textId="3F03B31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0" w:type="auto"/>
          </w:tcPr>
          <w:p w14:paraId="0A362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AA00706" w14:textId="1BBA71D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783A5CD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r>
      <w:tr w:rsidR="00BD3A49" w:rsidRPr="00EC6C01" w14:paraId="6A83C76B" w14:textId="77777777" w:rsidTr="00BD3A49">
        <w:trPr>
          <w:trHeight w:val="288"/>
        </w:trPr>
        <w:tc>
          <w:tcPr>
            <w:tcW w:w="0" w:type="auto"/>
            <w:shd w:val="clear" w:color="auto" w:fill="auto"/>
            <w:hideMark/>
          </w:tcPr>
          <w:p w14:paraId="5C2D96C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0" w:type="auto"/>
            <w:shd w:val="clear" w:color="auto" w:fill="auto"/>
            <w:noWrap/>
            <w:hideMark/>
          </w:tcPr>
          <w:p w14:paraId="5BFE2B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0" w:type="auto"/>
            <w:shd w:val="clear" w:color="auto" w:fill="auto"/>
            <w:noWrap/>
            <w:hideMark/>
          </w:tcPr>
          <w:p w14:paraId="40C5AA7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0" w:type="auto"/>
          </w:tcPr>
          <w:p w14:paraId="63A206F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29B241" w14:textId="7513AA7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0" w:type="auto"/>
            <w:shd w:val="clear" w:color="auto" w:fill="auto"/>
            <w:noWrap/>
            <w:hideMark/>
          </w:tcPr>
          <w:p w14:paraId="2CA860B3" w14:textId="4521DC0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0" w:type="auto"/>
          </w:tcPr>
          <w:p w14:paraId="2D25DC3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2927AE2" w14:textId="5AADCFB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0" w:type="auto"/>
            <w:shd w:val="clear" w:color="auto" w:fill="auto"/>
            <w:noWrap/>
            <w:hideMark/>
          </w:tcPr>
          <w:p w14:paraId="588111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r>
      <w:tr w:rsidR="00BD3A49" w:rsidRPr="00EC6C01" w14:paraId="6F94D2B6" w14:textId="77777777" w:rsidTr="00B41CFA">
        <w:trPr>
          <w:trHeight w:val="288"/>
        </w:trPr>
        <w:tc>
          <w:tcPr>
            <w:tcW w:w="0" w:type="auto"/>
            <w:tcBorders>
              <w:bottom w:val="single" w:sz="12" w:space="0" w:color="000000" w:themeColor="text1"/>
            </w:tcBorders>
            <w:shd w:val="clear" w:color="auto" w:fill="auto"/>
            <w:hideMark/>
          </w:tcPr>
          <w:p w14:paraId="5C863B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tcBorders>
              <w:bottom w:val="single" w:sz="12" w:space="0" w:color="000000" w:themeColor="text1"/>
            </w:tcBorders>
            <w:shd w:val="clear" w:color="auto" w:fill="auto"/>
            <w:noWrap/>
            <w:hideMark/>
          </w:tcPr>
          <w:p w14:paraId="249CB96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0" w:type="auto"/>
            <w:tcBorders>
              <w:bottom w:val="single" w:sz="12" w:space="0" w:color="000000" w:themeColor="text1"/>
            </w:tcBorders>
            <w:shd w:val="clear" w:color="auto" w:fill="auto"/>
            <w:noWrap/>
            <w:hideMark/>
          </w:tcPr>
          <w:p w14:paraId="2B80AC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43DE4E8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27904DC" w14:textId="0E7E95A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77BC2012" w14:textId="4E5F9D4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03A069C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7273C92" w14:textId="5907A44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074B51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r>
    </w:tbl>
    <w:p w14:paraId="07B725E8" w14:textId="7DB6E457" w:rsidR="00EC6C01" w:rsidRPr="00B41CFA" w:rsidRDefault="00B41CFA" w:rsidP="00B41CFA">
      <w:pPr>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6603575" w14:textId="77777777" w:rsidR="00EC6C01" w:rsidRDefault="00EC6C01"/>
    <w:p w14:paraId="028E9CED" w14:textId="08393094" w:rsidR="00B462AE" w:rsidRDefault="00B462AE"/>
    <w:p w14:paraId="523D585A" w14:textId="35816F28" w:rsidR="00B462AE" w:rsidRDefault="0030773A">
      <w:r>
        <w:rPr>
          <w:noProof/>
        </w:rPr>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D1FD4"/>
    <w:rsid w:val="001439C5"/>
    <w:rsid w:val="0026328A"/>
    <w:rsid w:val="0030773A"/>
    <w:rsid w:val="005760C1"/>
    <w:rsid w:val="00584060"/>
    <w:rsid w:val="00591618"/>
    <w:rsid w:val="005A672B"/>
    <w:rsid w:val="00841E81"/>
    <w:rsid w:val="008B6ED5"/>
    <w:rsid w:val="00920DF9"/>
    <w:rsid w:val="00A2432B"/>
    <w:rsid w:val="00A61FBD"/>
    <w:rsid w:val="00B41CFA"/>
    <w:rsid w:val="00B462AE"/>
    <w:rsid w:val="00BA3DF2"/>
    <w:rsid w:val="00BD3A49"/>
    <w:rsid w:val="00C94B5D"/>
    <w:rsid w:val="00CC10DE"/>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9</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2021-04-29T16:16:00Z</dcterms:created>
  <dcterms:modified xsi:type="dcterms:W3CDTF">2021-07-07T10:58:00Z</dcterms:modified>
</cp:coreProperties>
</file>