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Tables Sx – Sx</w:t>
      </w:r>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3127A837" w14:textId="77777777" w:rsidR="007D0709" w:rsidRDefault="007D0709">
      <w:r>
        <w:t>There were 287 new ELCs allocated within the study period, with the majority (51%) being designated for rubber production (</w:t>
      </w:r>
      <w:r w:rsidRPr="007D0709">
        <w:rPr>
          <w:highlight w:val="yellow"/>
        </w:rPr>
        <w:t xml:space="preserve">Table </w:t>
      </w:r>
      <w:proofErr w:type="spellStart"/>
      <w:r w:rsidRPr="007D0709">
        <w:rPr>
          <w:highlight w:val="yellow"/>
        </w:rPr>
        <w:t>Sx</w:t>
      </w:r>
      <w:proofErr w:type="spellEnd"/>
      <w:r>
        <w:t xml:space="preserve">). The most valuable crop in terms of commodity price during the study period was rubber, with a mean market price of $1743/ton, followed by rice ($348/ton) and sugar ($282/ton, </w:t>
      </w:r>
      <w:r w:rsidRPr="007D0709">
        <w:rPr>
          <w:highlight w:val="yellow"/>
        </w:rPr>
        <w:t xml:space="preserve">Table </w:t>
      </w:r>
      <w:proofErr w:type="spellStart"/>
      <w:r w:rsidRPr="007D0709">
        <w:rPr>
          <w:highlight w:val="yellow"/>
        </w:rPr>
        <w:t>Sx</w:t>
      </w:r>
      <w:proofErr w:type="spellEnd"/>
      <w:r>
        <w:t xml:space="preserve">). The most valuable crop in terms of producer (farmgate) prices was sugar with a mean price over the study period of $2115/ton, followed by rubber ($317/ton) and corn ($197/ton, </w:t>
      </w:r>
      <w:r w:rsidRPr="007D0709">
        <w:rPr>
          <w:highlight w:val="yellow"/>
        </w:rPr>
        <w:t xml:space="preserve">Table </w:t>
      </w:r>
      <w:proofErr w:type="spellStart"/>
      <w:r w:rsidRPr="007D0709">
        <w:rPr>
          <w:highlight w:val="yellow"/>
        </w:rPr>
        <w:t>Sx</w:t>
      </w:r>
      <w:proofErr w:type="spellEnd"/>
      <w:r>
        <w:t xml:space="preserve">). </w:t>
      </w:r>
      <w:r w:rsidR="00AB4208">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The largest overall effect excluding control variables was for changes in agricultural proportion of GDP with no time lag and a one-year time lag (no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 xml:space="preserve">). </w:t>
      </w:r>
    </w:p>
    <w:p w14:paraId="09F9BE31" w14:textId="718908E8" w:rsidR="00D20D94" w:rsidRDefault="00275B68">
      <w:r>
        <w:t>From an economic perspective there were positive relationships between the allocation of new ELCs and increases in the agricultural proportion of GDP</w:t>
      </w:r>
      <w:r w:rsidR="00BF6195">
        <w:t xml:space="preserve"> and</w:t>
      </w:r>
      <w:r>
        <w:t xml:space="preserve"> increases in foreign direct investment (one-year time lag</w:t>
      </w:r>
      <w:r w:rsidR="00BF6195">
        <w:t xml:space="preserve"> rate ratio = 1.004, </w:t>
      </w:r>
      <w:r w:rsidR="00BF6195" w:rsidRPr="00BF6195">
        <w:rPr>
          <w:highlight w:val="yellow"/>
        </w:rPr>
        <w:t>Table X, Figure X</w:t>
      </w:r>
      <w:r>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w:t>
      </w:r>
      <w:proofErr w:type="gramStart"/>
      <w:r w:rsidR="0076544F">
        <w:t>in a given year</w:t>
      </w:r>
      <w:proofErr w:type="gramEnd"/>
      <w:r w:rsidR="0076544F">
        <w:t xml:space="preserve">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rsidR="0076544F">
        <w:t>in a given year</w:t>
      </w:r>
      <w:proofErr w:type="gramEnd"/>
      <w:r w:rsidR="0076544F">
        <w:t xml:space="preserve">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was also a </w:t>
      </w:r>
      <w:r w:rsidR="00A63341">
        <w:t>positive</w:t>
      </w:r>
      <w:r w:rsidR="00D20D94">
        <w:t xml:space="preserve"> relationship between new ELC allocation and increases in development flows to the environment sector (no time lag rate ratio = 1.031). This suggests that in the short-term, investments into the environment sector via </w:t>
      </w:r>
      <w:r w:rsidR="00D20D94">
        <w:lastRenderedPageBreak/>
        <w:t xml:space="preserve">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w:t>
      </w:r>
      <w:proofErr w:type="gramStart"/>
      <w:r w:rsidR="00274974">
        <w:t>in a given year</w:t>
      </w:r>
      <w:proofErr w:type="gramEnd"/>
      <w:r w:rsidR="00274974">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71AAAD23" w:rsidR="00AB4208" w:rsidRDefault="00F77CC7">
      <w:r>
        <w:t>The largest effect within the commodity set was for the change in market price of rice in the same year as the response (no time lag) with a rate ratio of 1.009 (</w:t>
      </w:r>
      <w:r w:rsidRPr="00F77CC7">
        <w:rPr>
          <w:highlight w:val="yellow"/>
        </w:rPr>
        <w:t>Table X</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w:t>
      </w:r>
      <w:r w:rsidR="00DD4363">
        <w:t>relationships</w:t>
      </w:r>
      <w:r>
        <w:t xml:space="preserve"> between the market price of agricultural commodities</w:t>
      </w:r>
      <w:r w:rsidR="00DD4363">
        <w:t xml:space="preserve"> and new ELC allocations is not surprising. Rubber</w:t>
      </w:r>
      <w:r w:rsidR="00043A01">
        <w:t xml:space="preserve"> and rice</w:t>
      </w:r>
      <w:r w:rsidR="00DD4363">
        <w:t xml:space="preserve"> </w:t>
      </w:r>
      <w:r w:rsidR="00043A01">
        <w:t>are</w:t>
      </w:r>
      <w:r w:rsidR="00DD4363">
        <w:t xml:space="preserve"> the most valuable market commodit</w:t>
      </w:r>
      <w:r w:rsidR="00043A01">
        <w:t>ies</w:t>
      </w:r>
      <w:r w:rsidR="00DD4363">
        <w:t xml:space="preserve"> within the variable set, and we can see this reflected in the model;</w:t>
      </w:r>
      <w:r w:rsidR="00043A01">
        <w:t xml:space="preserve"> if rubber market prices do not change between years </w:t>
      </w:r>
      <w:r w:rsidR="00043A01">
        <w:rPr>
          <w:i/>
          <w:iCs/>
        </w:rPr>
        <w:t>t</w:t>
      </w:r>
      <w:r w:rsidR="00043A01">
        <w:t xml:space="preserve"> and </w:t>
      </w:r>
      <w:r w:rsidR="00043A01">
        <w:rPr>
          <w:i/>
          <w:iCs/>
        </w:rPr>
        <w:t>t+1</w:t>
      </w:r>
      <w:r w:rsidR="00043A01">
        <w:t xml:space="preserve"> then approximately </w:t>
      </w:r>
      <w:r w:rsidR="006421F0">
        <w:t>4</w:t>
      </w:r>
      <w:r w:rsidR="00043A01">
        <w:t xml:space="preserve"> new ELCs are predicted in year </w:t>
      </w:r>
      <w:r w:rsidR="00043A01">
        <w:rPr>
          <w:i/>
          <w:iCs/>
        </w:rPr>
        <w:t>t+1</w:t>
      </w:r>
      <w:r w:rsidR="00043A01">
        <w:t xml:space="preserve">, whereas if the price of rubber </w:t>
      </w:r>
      <w:r w:rsidR="00136283">
        <w:t>increases</w:t>
      </w:r>
      <w:r w:rsidR="00043A01">
        <w:t xml:space="preserve"> by $1500/ton</w:t>
      </w:r>
      <w:r w:rsidR="00DD4363">
        <w:t xml:space="preserve"> </w:t>
      </w:r>
      <w:r w:rsidR="00043A01">
        <w:t xml:space="preserve">in year </w:t>
      </w:r>
      <w:r w:rsidR="00043A01">
        <w:rPr>
          <w:i/>
          <w:iCs/>
        </w:rPr>
        <w:t>t</w:t>
      </w:r>
      <w:r w:rsidR="00043A01">
        <w:t xml:space="preserve">, then approximately 29 new ELCs are predicted in year </w:t>
      </w:r>
      <w:r w:rsidR="00043A01">
        <w:rPr>
          <w:i/>
          <w:iCs/>
        </w:rPr>
        <w:t>t+1</w:t>
      </w:r>
      <w:r w:rsidR="00043A01">
        <w:t xml:space="preserve">. Similarly, if there is no change in the market price of rice between two given years, then approximately </w:t>
      </w:r>
      <w:r w:rsidR="006421F0">
        <w:t>5</w:t>
      </w:r>
      <w:r w:rsidR="00043A01">
        <w:t xml:space="preserve"> new ELCs are predicted. If the market value increases by $300/ton then in year </w:t>
      </w:r>
      <w:r w:rsidR="00043A01">
        <w:rPr>
          <w:i/>
          <w:iCs/>
        </w:rPr>
        <w:t>t+1</w:t>
      </w:r>
      <w:r w:rsidR="00043A01">
        <w:t xml:space="preserve"> approximately 80 new ELCs are predicted. Interestingly the effect of changes in sugar price were weak when there was no time </w:t>
      </w:r>
      <w:r w:rsidR="006421F0">
        <w:t>lag,</w:t>
      </w:r>
      <w:r w:rsidR="00043A01">
        <w:t xml:space="preserve"> but the effect was stronger</w:t>
      </w:r>
      <w:r w:rsidR="00170512">
        <w:t xml:space="preserve"> when both a one-year and two-year time lag were introduced</w:t>
      </w:r>
      <w:r w:rsidR="00136283">
        <w:t xml:space="preserve"> (</w:t>
      </w:r>
      <w:r w:rsidR="00136283" w:rsidRPr="00043A01">
        <w:rPr>
          <w:highlight w:val="yellow"/>
        </w:rPr>
        <w:t>Figure X</w:t>
      </w:r>
      <w:r w:rsidR="00136283">
        <w:t>)</w:t>
      </w:r>
      <w:r w:rsidR="00170512">
        <w:t>.</w:t>
      </w:r>
      <w:r w:rsidR="00136283">
        <w:t xml:space="preserve"> </w:t>
      </w:r>
      <w:r w:rsidR="00170512">
        <w:t xml:space="preserve"> </w:t>
      </w:r>
    </w:p>
    <w:p w14:paraId="7CDFB353" w14:textId="77777777" w:rsidR="00BF2049" w:rsidRDefault="00136283">
      <w:r>
        <w:t xml:space="preserve">There were three negative relationships between ELC allocation and commodity variables, all of which were in the same year as the response (no time lag, </w:t>
      </w:r>
      <w:r w:rsidRPr="00136283">
        <w:rPr>
          <w:highlight w:val="yellow"/>
        </w:rPr>
        <w:t>Figure X</w:t>
      </w:r>
      <w:r>
        <w:t>).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w:t>
      </w:r>
      <w:r w:rsidR="00BF2049">
        <w:t xml:space="preserve"> with no time lag</w:t>
      </w:r>
      <w:r>
        <w:t xml:space="preserve"> is meaningful.</w:t>
      </w:r>
      <w:r w:rsidR="00BF2049">
        <w:t xml:space="preserve">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A12093D" w14:textId="1B34FCFD" w:rsidR="00170512" w:rsidRDefault="00BF2049">
      <w:r>
        <w:t>The producer price variable set, which reflects the farmgate prices of the commodities</w:t>
      </w:r>
      <w:r w:rsidR="0012371B">
        <w:t>,</w:t>
      </w:r>
      <w:r>
        <w:t xml:space="preserve"> had both positive and negative relationships with ELC allocation (</w:t>
      </w:r>
      <w:r w:rsidRPr="00BF2049">
        <w:rPr>
          <w:highlight w:val="yellow"/>
        </w:rPr>
        <w:t>Figure X, Table X</w:t>
      </w:r>
      <w:r>
        <w:t>).</w:t>
      </w:r>
      <w:r w:rsidR="00136283">
        <w:t xml:space="preserve"> </w:t>
      </w:r>
      <w:r>
        <w:t>The strongest positive relationship was with changes in the producer price of rubber (no time lag rate ratio = 1.035). The effect of positive changes (i.e., net increases) in the price a farmer will get for rubber production can be seen in the</w:t>
      </w:r>
      <w:r w:rsidR="001F291C">
        <w:t xml:space="preserve"> predictions of new ELCs (</w:t>
      </w:r>
      <w:r w:rsidR="001F291C" w:rsidRPr="001F291C">
        <w:rPr>
          <w:highlight w:val="yellow"/>
        </w:rPr>
        <w:t>Figure X</w:t>
      </w:r>
      <w:r w:rsidR="001F291C">
        <w:t xml:space="preserve">). The difference between the number of ELC allocations when the producer price of rubber changes from a decrease of $30/ton (from year </w:t>
      </w:r>
      <w:r w:rsidR="001F291C">
        <w:rPr>
          <w:i/>
          <w:iCs/>
        </w:rPr>
        <w:t xml:space="preserve">t </w:t>
      </w:r>
      <w:r w:rsidR="001F291C">
        <w:t xml:space="preserve">to year </w:t>
      </w:r>
      <w:r w:rsidR="001F291C">
        <w:rPr>
          <w:i/>
          <w:iCs/>
        </w:rPr>
        <w:t>t+1</w:t>
      </w:r>
      <w:r w:rsidR="001F291C">
        <w:t>) to no change at all (i.e., the price remains constant) is approximately 3. In contrast, the difference in ELC allocation between no change in price and a positive change of $30/ton</w:t>
      </w:r>
      <w:r w:rsidR="00BE4DE5">
        <w:t xml:space="preserve"> is more than 12. This suggests that producers are highly influenced by sale prices of commodities, </w:t>
      </w:r>
      <w:r w:rsidR="00BE4DE5">
        <w:lastRenderedPageBreak/>
        <w:t xml:space="preserve">particularly of high value products such as rubber, and that they will act quickly when there is the potential for financial gain. </w:t>
      </w:r>
      <w:r w:rsidR="003C3771">
        <w:t xml:space="preserve">There were also positive relationships between ELC allocation and changes in the producer price of corn (one-year time lag rate ratio = 1.011) and the producer price of rice (two-year time lag rate ratio = 1.013, </w:t>
      </w:r>
      <w:r w:rsidR="003C3771" w:rsidRPr="003C3771">
        <w:rPr>
          <w:highlight w:val="yellow"/>
        </w:rPr>
        <w:t>Figure X, Table X</w:t>
      </w:r>
      <w:r w:rsidR="003C3771">
        <w:t xml:space="preserve">). Corn and rice are less valuable in terms of absolute producer prices than sugar and rubber, and this may be reflected in the time lag that exists between positive changes in the prices and increases in new ELCs. </w:t>
      </w:r>
    </w:p>
    <w:p w14:paraId="5ADA3DC4" w14:textId="3BC10D94" w:rsidR="003C3771" w:rsidRDefault="003C3771">
      <w:r>
        <w:t>There were two negative relationships between producer price variables and new ELC allocations (</w:t>
      </w:r>
      <w:r w:rsidRPr="003C3771">
        <w:rPr>
          <w:highlight w:val="yellow"/>
        </w:rPr>
        <w:t>Figure X</w:t>
      </w:r>
      <w:r>
        <w:t xml:space="preserve">). Increases in the producer prices of rice and cassava </w:t>
      </w:r>
      <w:r w:rsidR="00202E0D">
        <w:t>resulted in fewer predicted ELCs in the same year</w:t>
      </w:r>
      <w:r>
        <w:t xml:space="preserve"> (no time lag rate ratio = 0.976</w:t>
      </w:r>
      <w:r w:rsidR="00202E0D">
        <w:t>) and two years later (</w:t>
      </w:r>
      <w:r>
        <w:t>two-year time lag rate ratio = 0.982)</w:t>
      </w:r>
      <w:r w:rsidR="00202E0D">
        <w:t xml:space="preserve">, respectively. The difference in the direction of the effect of rice producer prices in year </w:t>
      </w:r>
      <w:r w:rsidR="00202E0D">
        <w:rPr>
          <w:i/>
          <w:iCs/>
        </w:rPr>
        <w:t>t</w:t>
      </w:r>
      <w:r w:rsidR="00202E0D">
        <w:t xml:space="preserve"> and year </w:t>
      </w:r>
      <w:r w:rsidR="00202E0D">
        <w:rPr>
          <w:i/>
          <w:iCs/>
        </w:rPr>
        <w:t>t+2</w:t>
      </w:r>
      <w:r w:rsidR="00202E0D">
        <w:t xml:space="preserve"> (</w:t>
      </w:r>
      <w:r w:rsidR="00202E0D" w:rsidRPr="00202E0D">
        <w:rPr>
          <w:highlight w:val="yellow"/>
        </w:rPr>
        <w:t>Figure X</w:t>
      </w:r>
      <w:r w:rsidR="00202E0D">
        <w:t xml:space="preserve">) suggests that there is a complex relationship between rice production and new ELC allocation. </w:t>
      </w:r>
      <w:r w:rsidR="007D0709">
        <w:t>Rice production is the dominant agricultural crop in Cambodia and</w:t>
      </w:r>
      <w:r w:rsidR="001F5A52">
        <w:t xml:space="preserve"> is the second most valuable commodity in terms of market value (</w:t>
      </w:r>
      <w:r w:rsidR="001F5A52" w:rsidRPr="001F5A52">
        <w:rPr>
          <w:highlight w:val="yellow"/>
        </w:rPr>
        <w:t xml:space="preserve">Table </w:t>
      </w:r>
      <w:proofErr w:type="spellStart"/>
      <w:r w:rsidR="001F5A52" w:rsidRPr="001F5A52">
        <w:rPr>
          <w:highlight w:val="yellow"/>
        </w:rPr>
        <w:t>Sx</w:t>
      </w:r>
      <w:proofErr w:type="spellEnd"/>
      <w:r w:rsidR="001F5A52">
        <w:t>). Yet</w:t>
      </w:r>
      <w:r w:rsidR="007D0709">
        <w:t xml:space="preserve"> o</w:t>
      </w:r>
      <w:r w:rsidR="00202E0D">
        <w:t>nly 1.7% of ELCs created during the study period were designated for rice production</w:t>
      </w:r>
      <w:r w:rsidR="001F5A52">
        <w:t xml:space="preserve"> (</w:t>
      </w:r>
      <w:r w:rsidR="001F5A52" w:rsidRPr="001F5A52">
        <w:rPr>
          <w:highlight w:val="yellow"/>
        </w:rPr>
        <w:t xml:space="preserve">Table </w:t>
      </w:r>
      <w:proofErr w:type="spellStart"/>
      <w:r w:rsidR="001F5A52" w:rsidRPr="001F5A52">
        <w:rPr>
          <w:highlight w:val="yellow"/>
        </w:rPr>
        <w:t>Sx</w:t>
      </w:r>
      <w:proofErr w:type="spellEnd"/>
      <w:r w:rsidR="006421F0">
        <w:t>)</w:t>
      </w:r>
      <w:r w:rsidR="001F5A52">
        <w:t>, suggesting that rice production and price were not driving forces behind ELC allocation</w:t>
      </w:r>
      <w:r w:rsidR="007D0709">
        <w:t>.</w:t>
      </w:r>
      <w:r w:rsidR="00636B83">
        <w:t xml:space="preserve"> The negative relationship between the producer price of cassava and new ELC allocation was strong (two-year time lag rate ratio = 0.982, </w:t>
      </w:r>
      <w:r w:rsidR="00636B83" w:rsidRPr="00636B83">
        <w:rPr>
          <w:highlight w:val="yellow"/>
        </w:rPr>
        <w:t>Figure X</w:t>
      </w:r>
      <w:r w:rsidR="00636B83">
        <w:t xml:space="preserve">). Cassava is not a particularly valuable crop, yet it was the third </w:t>
      </w:r>
      <w:proofErr w:type="gramStart"/>
      <w:r w:rsidR="00636B83">
        <w:t>most commonly designated</w:t>
      </w:r>
      <w:proofErr w:type="gramEnd"/>
      <w:r w:rsidR="00636B83">
        <w:t xml:space="preserve"> crop for new ELCs during the study period (4.9% of new ELCs, </w:t>
      </w:r>
      <w:r w:rsidR="00636B83" w:rsidRPr="00636B83">
        <w:rPr>
          <w:highlight w:val="yellow"/>
        </w:rPr>
        <w:t xml:space="preserve">Table </w:t>
      </w:r>
      <w:proofErr w:type="spellStart"/>
      <w:r w:rsidR="00636B83" w:rsidRPr="00636B83">
        <w:rPr>
          <w:highlight w:val="yellow"/>
        </w:rPr>
        <w:t>Sx</w:t>
      </w:r>
      <w:proofErr w:type="spellEnd"/>
      <w:r w:rsidR="00636B83">
        <w:t>).</w:t>
      </w:r>
      <w:r w:rsidR="007D0709">
        <w:t xml:space="preserve"> </w:t>
      </w:r>
      <w:r w:rsidR="00636B83">
        <w:t xml:space="preserve">It is unclear what is driving the negative relationship between cassava and new ELCs after two years. </w:t>
      </w:r>
    </w:p>
    <w:p w14:paraId="2D29884D" w14:textId="54CA41DA" w:rsidR="00A66892" w:rsidRDefault="00A66892">
      <w:pPr>
        <w:rPr>
          <w:b/>
          <w:bCs/>
          <w:i/>
          <w:iCs/>
        </w:rPr>
      </w:pPr>
      <w:r>
        <w:rPr>
          <w:b/>
          <w:bCs/>
          <w:i/>
          <w:iCs/>
        </w:rPr>
        <w:t>Socioeconomic analysis</w:t>
      </w:r>
    </w:p>
    <w:p w14:paraId="6E4D385C" w14:textId="2A271E87" w:rsidR="00A66892" w:rsidRDefault="007B6A95">
      <w:pPr>
        <w:rPr>
          <w:i/>
          <w:iCs/>
        </w:rPr>
      </w:pPr>
      <w:r>
        <w:rPr>
          <w:i/>
          <w:iCs/>
        </w:rPr>
        <w:t>Commune-level model</w:t>
      </w:r>
    </w:p>
    <w:p w14:paraId="39CAD7D1" w14:textId="795EDEB6" w:rsidR="007B6A95" w:rsidRDefault="00AE36D9">
      <w:r>
        <w:t xml:space="preserve">Initial within-set model selection </w:t>
      </w:r>
      <w:r w:rsidR="00313324">
        <w:t>resulted in a final candidate set with 10 models and 13 unique variables (</w:t>
      </w:r>
      <w:r w:rsidR="00313324" w:rsidRPr="00313324">
        <w:rPr>
          <w:highlight w:val="yellow"/>
        </w:rPr>
        <w:t xml:space="preserve">Table </w:t>
      </w:r>
      <w:proofErr w:type="spellStart"/>
      <w:r w:rsidR="00313324" w:rsidRPr="00313324">
        <w:rPr>
          <w:highlight w:val="yellow"/>
        </w:rPr>
        <w:t>Sx</w:t>
      </w:r>
      <w:proofErr w:type="spellEnd"/>
      <w:r w:rsidR="00313324">
        <w:t>). The</w:t>
      </w:r>
      <w:r w:rsidR="0017629D">
        <w:t>re was a single</w:t>
      </w:r>
      <w:r w:rsidR="00313324">
        <w:t xml:space="preserve"> top model according to AIC</w:t>
      </w:r>
      <w:r w:rsidR="0017629D">
        <w:t xml:space="preserve"> (</w:t>
      </w:r>
      <w:r w:rsidR="00313324">
        <w:t>m1</w:t>
      </w:r>
      <w:r w:rsidR="0017629D">
        <w:t>)</w:t>
      </w:r>
      <w:r w:rsidR="00313324">
        <w:t>,</w:t>
      </w:r>
      <w:r w:rsidR="0017629D">
        <w:t xml:space="preserve"> with all other models having delta AIC values of more than 18 (</w:t>
      </w:r>
      <w:r w:rsidR="0017629D" w:rsidRPr="0017629D">
        <w:rPr>
          <w:highlight w:val="yellow"/>
        </w:rPr>
        <w:t xml:space="preserve">Table </w:t>
      </w:r>
      <w:proofErr w:type="spellStart"/>
      <w:r w:rsidR="0017629D" w:rsidRPr="0017629D">
        <w:rPr>
          <w:highlight w:val="yellow"/>
        </w:rPr>
        <w:t>Sx</w:t>
      </w:r>
      <w:proofErr w:type="spellEnd"/>
      <w:r w:rsidR="0017629D">
        <w:t>). The top model</w:t>
      </w:r>
      <w:r w:rsidR="00313324">
        <w:t xml:space="preserve"> only</w:t>
      </w:r>
      <w:r w:rsidR="0017629D">
        <w:t xml:space="preserve"> had one</w:t>
      </w:r>
      <w:r w:rsidR="00313324">
        <w:t xml:space="preserve"> non-control variable</w:t>
      </w:r>
      <w:r w:rsidR="0017629D">
        <w:t xml:space="preserve"> -</w:t>
      </w:r>
      <w:r w:rsidR="00313324">
        <w:t xml:space="preserve"> population density</w:t>
      </w:r>
      <w:r w:rsidR="001C1DFD">
        <w:t xml:space="preserve"> (Table 4)</w:t>
      </w:r>
      <w:r w:rsidR="00313324">
        <w:t>.</w:t>
      </w:r>
      <w:r w:rsidR="001C1DFD">
        <w:t xml:space="preserve"> The random effects term with the highest variance was Commune (10.45 [SD = 3.23]</w:t>
      </w:r>
      <w:r w:rsidR="00171E4B">
        <w:t>, 60% of the total random effect variance</w:t>
      </w:r>
      <w:r w:rsidR="001C1DFD">
        <w:t>), followed by Province (6.77 [SD = 2.60],</w:t>
      </w:r>
      <w:r w:rsidR="00171E4B">
        <w:t xml:space="preserve"> 39% of the total random effect variance,</w:t>
      </w:r>
      <w:r w:rsidR="001C1DFD">
        <w:t xml:space="preserve"> </w:t>
      </w:r>
      <w:r w:rsidR="001C1DFD" w:rsidRPr="00F10EA9">
        <w:rPr>
          <w:highlight w:val="yellow"/>
        </w:rPr>
        <w:t>Table 4</w:t>
      </w:r>
      <w:r w:rsidR="001C1DFD">
        <w:t>). The variance explained by year at both the commune and province level was low (0.005 [SD = 0.068] and 0.0005 [SD = 0.022] respectively)</w:t>
      </w:r>
      <w:r w:rsidR="00171E4B">
        <w:t>, contributing approximately 1% of the total random effect variance (</w:t>
      </w:r>
      <w:r w:rsidR="00171E4B" w:rsidRPr="00F10EA9">
        <w:rPr>
          <w:highlight w:val="yellow"/>
        </w:rPr>
        <w:t>Table 4</w:t>
      </w:r>
      <w:r w:rsidR="00171E4B">
        <w:t>)</w:t>
      </w:r>
      <w:r w:rsidR="001C1DFD">
        <w:t>.</w:t>
      </w:r>
      <w:r w:rsidR="00171E4B">
        <w:t xml:space="preserve"> The marginal R</w:t>
      </w:r>
      <w:r w:rsidR="00171E4B" w:rsidRPr="00DC5403">
        <w:rPr>
          <w:vertAlign w:val="superscript"/>
        </w:rPr>
        <w:t>2</w:t>
      </w:r>
      <w:r w:rsidR="00171E4B">
        <w:t xml:space="preserve"> (fixed effects only) was 0.78 (78%), and the conditional R</w:t>
      </w:r>
      <w:r w:rsidR="00171E4B" w:rsidRPr="00DC5403">
        <w:rPr>
          <w:vertAlign w:val="superscript"/>
        </w:rPr>
        <w:t>2</w:t>
      </w:r>
      <w:r w:rsidR="00171E4B">
        <w:t xml:space="preserve"> (fixed and random effects) was</w:t>
      </w:r>
      <w:r w:rsidR="00C17101">
        <w:t xml:space="preserve"> 1, suggesting that </w:t>
      </w:r>
      <w:proofErr w:type="gramStart"/>
      <w:r w:rsidR="00C17101">
        <w:t>the majority of</w:t>
      </w:r>
      <w:proofErr w:type="gramEnd"/>
      <w:r w:rsidR="00C17101">
        <w:t xml:space="preserve"> the model variance was explained by the fixed effects. </w:t>
      </w:r>
      <w:r w:rsidR="00854536">
        <w:t xml:space="preserve">The largest positive effect was from mean elevation (rate ratio = 2.861, </w:t>
      </w:r>
      <w:r w:rsidR="00854536" w:rsidRPr="00F10EA9">
        <w:rPr>
          <w:highlight w:val="yellow"/>
        </w:rPr>
        <w:t>Table 4</w:t>
      </w:r>
      <w:r w:rsidR="00854536">
        <w:t>)</w:t>
      </w:r>
      <w:r w:rsidR="00F10EA9">
        <w:t xml:space="preserve"> which relates to 0.6 forest pixels (0.06 km</w:t>
      </w:r>
      <w:r w:rsidR="00F10EA9" w:rsidRPr="00F10EA9">
        <w:rPr>
          <w:vertAlign w:val="superscript"/>
        </w:rPr>
        <w:t>2</w:t>
      </w:r>
      <w:r w:rsidR="00F10EA9">
        <w:t>)</w:t>
      </w:r>
      <w:r w:rsidR="00171E4B">
        <w:t xml:space="preserve"> </w:t>
      </w:r>
      <w:r w:rsidR="00F10EA9">
        <w:t>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00F10EA9" w:rsidRPr="00F10EA9">
        <w:rPr>
          <w:vertAlign w:val="superscript"/>
        </w:rPr>
        <w:t>2</w:t>
      </w:r>
      <w:r w:rsidR="00F10EA9">
        <w:t>). This highlights that higher elevation areas of Cambodia are much more likely to be forested than lower elevation areas.</w:t>
      </w:r>
      <w:r w:rsidR="001C1DFD">
        <w:t xml:space="preserve"> </w:t>
      </w:r>
      <w:r w:rsidR="00F10EA9">
        <w:t xml:space="preserve">The strongest negative effect was from population density (rate ratio = 0.001, </w:t>
      </w:r>
      <w:r w:rsidR="00F10EA9" w:rsidRPr="00F10EA9">
        <w:rPr>
          <w:highlight w:val="yellow"/>
        </w:rPr>
        <w:t>Table 4</w:t>
      </w:r>
      <w:r w:rsidR="00F10EA9">
        <w:t xml:space="preserve">) which relates to </w:t>
      </w:r>
      <w:r w:rsidR="005B6361">
        <w:t>approximately 1.5 predicted forest pixels (0.14 km</w:t>
      </w:r>
      <w:r w:rsidR="005B6361" w:rsidRPr="005B6361">
        <w:rPr>
          <w:vertAlign w:val="superscript"/>
        </w:rPr>
        <w:t>2</w:t>
      </w:r>
      <w:r w:rsidR="005B6361">
        <w:t>)</w:t>
      </w:r>
      <w:r w:rsidR="0017629D">
        <w:t xml:space="preserve"> </w:t>
      </w:r>
      <w:r w:rsidR="005B6361">
        <w:t xml:space="preserve">at the minimum value of population density found within the country, contrasting with a prediction of effectively zero (2.22 </w:t>
      </w:r>
      <w:r w:rsidR="005B6361">
        <w:rPr>
          <w:rFonts w:cstheme="minorHAnsi"/>
        </w:rPr>
        <w:t>×</w:t>
      </w:r>
      <w:r w:rsidR="005B6361">
        <w:t xml:space="preserve"> 10</w:t>
      </w:r>
      <w:r w:rsidR="005B6361" w:rsidRPr="005B6361">
        <w:rPr>
          <w:vertAlign w:val="superscript"/>
        </w:rPr>
        <w:t>-16</w:t>
      </w:r>
      <w:r w:rsidR="005B6361">
        <w:t>) forest pixels at the highest value of population density within the country. All other model terms, excluding the presence of ELCs, had positive effects on forest cover (</w:t>
      </w:r>
      <w:r w:rsidR="005B6361" w:rsidRPr="005B6361">
        <w:rPr>
          <w:highlight w:val="yellow"/>
        </w:rPr>
        <w:t>Table 4</w:t>
      </w:r>
      <w:r w:rsidR="005B6361">
        <w:t xml:space="preserve">). These 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w:t>
      </w:r>
      <w:r w:rsidR="005B6361">
        <w:lastRenderedPageBreak/>
        <w:t xml:space="preserve">communes with protected areas are predicted to have higher forest cover than those without (Table 4).  </w:t>
      </w:r>
    </w:p>
    <w:p w14:paraId="5A89D1D5" w14:textId="77777777" w:rsidR="00A31B5B" w:rsidRDefault="00F23FAA">
      <w:r>
        <w:t xml:space="preserve">The results from the final commune-level model </w:t>
      </w:r>
      <w:r w:rsidR="00064B72">
        <w:t>must,</w:t>
      </w:r>
      <w:r>
        <w:t xml:space="preserve"> however, be viewed with extreme caution because model validation revealed some serious underlying issues. As is suggested by the variance associated with the commune-level random effect term, there was extreme variation </w:t>
      </w:r>
      <w:r w:rsidR="00064B72">
        <w:t>between</w:t>
      </w:r>
      <w:r>
        <w:t xml:space="preserve"> communes for all variables (predictors and response, Figure 4). </w:t>
      </w:r>
      <w:r w:rsidR="00064B72">
        <w:t xml:space="preserve">This between-group variance results in the model being unsuitable for generalised (i.e., ‘global’) predictions (Figure 4). Intercept and slope </w:t>
      </w:r>
      <w:proofErr w:type="gramStart"/>
      <w:r w:rsidR="00064B72">
        <w:t>estimates</w:t>
      </w:r>
      <w:proofErr w:type="gramEnd"/>
      <w:r w:rsidR="00064B72">
        <w:t xml:space="preserve"> between communes, even within the same province, varied hugely (Figure 5), and this issue </w:t>
      </w:r>
      <w:r w:rsidR="003F085E">
        <w:t xml:space="preserve">was highlighted in </w:t>
      </w:r>
      <w:r w:rsidR="00064B72">
        <w:t xml:space="preserve">diagnostic plots </w:t>
      </w:r>
      <w:r w:rsidR="003F085E">
        <w:t>where we see</w:t>
      </w:r>
      <w:r w:rsidR="00064B72">
        <w:t xml:space="preserve"> that the assumption of normality of deviations of the conditional means of the random effects (for commune) from the global intercept is violated (Figure </w:t>
      </w:r>
      <w:proofErr w:type="spellStart"/>
      <w:r w:rsidR="00064B72" w:rsidRPr="00064B72">
        <w:rPr>
          <w:highlight w:val="yellow"/>
        </w:rPr>
        <w:t>Sx</w:t>
      </w:r>
      <w:proofErr w:type="spellEnd"/>
      <w:r w:rsidR="00064B72">
        <w:t xml:space="preserve">). Furthermore, the model residuals displayed heteroskedasticity, with the model </w:t>
      </w:r>
      <w:r w:rsidR="003F085E">
        <w:t xml:space="preserve">predicting particularly poorly for lower values of the response (Figure </w:t>
      </w:r>
      <w:proofErr w:type="spellStart"/>
      <w:r w:rsidR="003F085E" w:rsidRPr="003F085E">
        <w:rPr>
          <w:highlight w:val="yellow"/>
        </w:rPr>
        <w:t>Sx</w:t>
      </w:r>
      <w:proofErr w:type="spellEnd"/>
      <w:r w:rsidR="003F085E">
        <w:t>).</w:t>
      </w:r>
      <w:r w:rsidR="00644CED">
        <w:t xml:space="preserve"> Therefore, drawing </w:t>
      </w:r>
      <w:r w:rsidR="007440A9">
        <w:t xml:space="preserve">general inferences about the relationships between forest cover and socioeconomics at the country level using this model is inappropriate. </w:t>
      </w:r>
    </w:p>
    <w:p w14:paraId="1B477A03" w14:textId="77777777" w:rsidR="00A31B5B" w:rsidRDefault="00A31B5B">
      <w:pPr>
        <w:rPr>
          <w:i/>
          <w:iCs/>
        </w:rPr>
      </w:pPr>
      <w:r>
        <w:rPr>
          <w:i/>
          <w:iCs/>
        </w:rPr>
        <w:t>Province-level model</w:t>
      </w:r>
    </w:p>
    <w:p w14:paraId="084918D0" w14:textId="113F3E18" w:rsidR="00064B72" w:rsidRDefault="00A31B5B">
      <w:r>
        <w:t xml:space="preserve">The province-level models were run to eliminate the commune-level variation and to identify any broader relationships between forest cover and socioeconomics. </w:t>
      </w:r>
      <w:r w:rsidR="00FF3EB5">
        <w:t xml:space="preserve">A candidate set of 19 models was built and </w:t>
      </w:r>
      <w:r w:rsidR="00DB45C8">
        <w:t xml:space="preserve">an </w:t>
      </w:r>
      <w:r w:rsidR="00FF3EB5">
        <w:t>evaluation of AIC selected a single model (m8) as the top model (</w:t>
      </w:r>
      <w:r w:rsidR="00FF3EB5" w:rsidRPr="00FF3EB5">
        <w:rPr>
          <w:highlight w:val="yellow"/>
        </w:rPr>
        <w:t xml:space="preserve">Table </w:t>
      </w:r>
      <w:proofErr w:type="spellStart"/>
      <w:r w:rsidR="00FF3EB5" w:rsidRPr="00FF3EB5">
        <w:rPr>
          <w:highlight w:val="yellow"/>
        </w:rPr>
        <w:t>Sx</w:t>
      </w:r>
      <w:proofErr w:type="spellEnd"/>
      <w:r w:rsidR="00FF3EB5">
        <w:t>).</w:t>
      </w:r>
      <w:r w:rsidR="007440A9">
        <w:t xml:space="preserve"> </w:t>
      </w:r>
      <w:r w:rsidR="00FF3EB5">
        <w:t xml:space="preserve">Model m5 had some support (delta AIC = 5, </w:t>
      </w:r>
      <w:r w:rsidR="00FF3EB5" w:rsidRPr="00FF3EB5">
        <w:rPr>
          <w:highlight w:val="yellow"/>
        </w:rPr>
        <w:t xml:space="preserve">Table </w:t>
      </w:r>
      <w:proofErr w:type="spellStart"/>
      <w:r w:rsidR="00FF3EB5" w:rsidRPr="00FF3EB5">
        <w:rPr>
          <w:highlight w:val="yellow"/>
        </w:rPr>
        <w:t>Sx</w:t>
      </w:r>
      <w:proofErr w:type="spellEnd"/>
      <w:r w:rsidR="00FF3EB5">
        <w:t xml:space="preserve">) but was a simpler version of m8 and therefore inferences were drawn from m8 alone. </w:t>
      </w:r>
      <w:r w:rsidR="00DB45C8">
        <w:t xml:space="preserve">The random effects term with the highest variance was Province (1.18 [SD = 1.08], which constituted </w:t>
      </w:r>
      <w:r w:rsidR="00DB45C8" w:rsidRPr="00DB45C8">
        <w:rPr>
          <w:highlight w:val="yellow"/>
        </w:rPr>
        <w:t>XX%</w:t>
      </w:r>
      <w:r w:rsidR="00DB45C8">
        <w:t xml:space="preserve"> of the total random effects variance), followed by year (0.006 [SD = 0.077], which was </w:t>
      </w:r>
      <w:r w:rsidR="00DB45C8" w:rsidRPr="00DB45C8">
        <w:rPr>
          <w:highlight w:val="yellow"/>
        </w:rPr>
        <w:t>XX%</w:t>
      </w:r>
      <w:r w:rsidR="00DB45C8">
        <w:t xml:space="preserve"> of the total random effects variance). </w:t>
      </w:r>
      <w:r w:rsidR="00DB45C8" w:rsidRPr="00DB45C8">
        <w:rPr>
          <w:highlight w:val="yellow"/>
        </w:rPr>
        <w:t>Sentence about the marginal and conditional R2</w:t>
      </w:r>
      <w:r w:rsidR="00DB45C8">
        <w:t xml:space="preserve">. </w:t>
      </w:r>
      <w:r w:rsidR="00CC2103">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w:t>
      </w:r>
      <w:r w:rsidR="004F4C3A">
        <w:t xml:space="preserve"> and</w:t>
      </w:r>
      <w:r w:rsidR="00CC2103">
        <w:t xml:space="preserve"> distance to school</w:t>
      </w:r>
      <w:r w:rsidR="004F4C3A">
        <w:t xml:space="preserve">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w:t>
      </w:r>
      <w:r w:rsidR="005A6A9C">
        <w:t>all</w:t>
      </w:r>
      <w:r w:rsidR="004F4C3A">
        <w:t xml:space="preserve"> the above effects are very weak (Figures 6 &amp; 7). For example, the difference in the predicted number of forest pixels between a province with </w:t>
      </w:r>
      <w:r w:rsidR="005A6A9C">
        <w:t xml:space="preserve">a low proportion of males in school and a province with a high proportion (with all other variables set to low), is </w:t>
      </w:r>
      <w:r w:rsidR="005A6A9C" w:rsidRPr="005A6A9C">
        <w:rPr>
          <w:highlight w:val="yellow"/>
        </w:rPr>
        <w:t>XX</w:t>
      </w:r>
      <w:r w:rsidR="005A6A9C">
        <w:t xml:space="preserve">. The difference in the number of predicted forest pixels between a province with low median distances to schools and a province with high median distances (with all other variables set to low), is </w:t>
      </w:r>
      <w:r w:rsidR="005A6A9C" w:rsidRPr="005A6A9C">
        <w:rPr>
          <w:highlight w:val="yellow"/>
        </w:rPr>
        <w:t>XX</w:t>
      </w:r>
      <w:r w:rsidR="005A6A9C">
        <w:t>.</w:t>
      </w:r>
      <w:r w:rsidR="00CC2103">
        <w:t xml:space="preserve"> </w:t>
      </w:r>
      <w:r w:rsidR="005A6A9C">
        <w:t xml:space="preserve">Presence of PAs had the largest effect on predicted forest pixels. The number of forest pixels predicted for a province with PA presence is </w:t>
      </w:r>
      <w:r w:rsidR="005A6A9C" w:rsidRPr="005A6A9C">
        <w:rPr>
          <w:highlight w:val="yellow"/>
        </w:rPr>
        <w:t>XX</w:t>
      </w:r>
      <w:r w:rsidR="005A6A9C">
        <w:t xml:space="preserve"> higher than for a province with no PA presence. The size of the effects in the top model, particularly for the two socioeconomic predictors (proportion of males in school, and distance to school), suggest that these variables have very little power to predict forest cover at the provincial level in Cambodia. </w:t>
      </w:r>
    </w:p>
    <w:p w14:paraId="423DC7B4" w14:textId="7E86D758" w:rsidR="00F57D77" w:rsidRDefault="00F57D77">
      <w:r>
        <w:rPr>
          <w:b/>
          <w:bCs/>
          <w:i/>
          <w:iCs/>
        </w:rPr>
        <w:t>Cluster analysis</w:t>
      </w:r>
    </w:p>
    <w:p w14:paraId="1600566A" w14:textId="057F18DC" w:rsidR="00F57D77" w:rsidRPr="00F57D77" w:rsidRDefault="00763869">
      <w:r>
        <w:t>The UPGMA clustering had the highest cophenetic correlation (0.79) and the lowest Gower distance (254.14) and was therefore selected.</w:t>
      </w:r>
      <w:r w:rsidR="00F258E7">
        <w:t xml:space="preserve"> The matrix correlation statistic suggested that 4 clusters were optimal, however with 4 clusters a large number (1</w:t>
      </w:r>
      <w:r w:rsidR="00582F0A">
        <w:t>6</w:t>
      </w:r>
      <w:r w:rsidR="00F258E7">
        <w:t>) of provinces were grouped into a single cluster</w:t>
      </w:r>
      <w:r w:rsidR="00582F0A">
        <w:t xml:space="preserve">. To further </w:t>
      </w:r>
    </w:p>
    <w:p w14:paraId="4792D850" w14:textId="78B174EE" w:rsidR="00DC5403" w:rsidRPr="007B6A95" w:rsidRDefault="00064B72">
      <w:r>
        <w:lastRenderedPageBreak/>
        <w:t xml:space="preserve"> </w:t>
      </w:r>
    </w:p>
    <w:p w14:paraId="6BA15F35" w14:textId="77777777" w:rsidR="001439C5" w:rsidRDefault="001439C5"/>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9E1F0E7"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5BE39972" w:rsidR="005A672B" w:rsidRDefault="005A672B"/>
    <w:p w14:paraId="458287DA" w14:textId="77777777" w:rsidR="00A63341" w:rsidRDefault="00A63341"/>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BB4BFEF" w:rsidR="0091672C" w:rsidRDefault="00A63341" w:rsidP="00EC6C01">
      <w:pPr>
        <w:rPr>
          <w:b/>
          <w:bCs/>
          <w:sz w:val="20"/>
          <w:szCs w:val="20"/>
        </w:rPr>
      </w:pPr>
      <w:r>
        <w:rPr>
          <w:noProof/>
        </w:rPr>
        <w:lastRenderedPageBreak/>
        <w:drawing>
          <wp:anchor distT="0" distB="0" distL="114300" distR="114300" simplePos="0" relativeHeight="251663360" behindDoc="1" locked="0" layoutInCell="1" allowOverlap="1" wp14:anchorId="432F961E" wp14:editId="28E3920F">
            <wp:simplePos x="0" y="0"/>
            <wp:positionH relativeFrom="column">
              <wp:posOffset>-279401</wp:posOffset>
            </wp:positionH>
            <wp:positionV relativeFrom="paragraph">
              <wp:posOffset>152399</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8870C" w14:textId="02F7E910" w:rsidR="0091672C" w:rsidRDefault="0091672C" w:rsidP="00EC6C01">
      <w:pPr>
        <w:rPr>
          <w:b/>
          <w:bCs/>
          <w:sz w:val="20"/>
          <w:szCs w:val="20"/>
        </w:rPr>
      </w:pP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34077600" w14:textId="77777777" w:rsidR="00A63341" w:rsidRDefault="00A63341" w:rsidP="00EC6C01">
      <w:pPr>
        <w:rPr>
          <w:b/>
          <w:bCs/>
          <w:sz w:val="20"/>
          <w:szCs w:val="20"/>
        </w:rPr>
      </w:pPr>
    </w:p>
    <w:p w14:paraId="76EFB2E9" w14:textId="5878B5C3"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11B7E7C7" w:rsidR="00EC6C01" w:rsidRPr="00B41CFA" w:rsidRDefault="00EC6C01" w:rsidP="00EC6C01">
      <w:pPr>
        <w:rPr>
          <w:b/>
          <w:bCs/>
          <w:sz w:val="20"/>
          <w:szCs w:val="20"/>
        </w:rPr>
      </w:pPr>
      <w:r w:rsidRPr="00B41CFA">
        <w:rPr>
          <w:b/>
          <w:bCs/>
          <w:sz w:val="20"/>
          <w:szCs w:val="20"/>
        </w:rPr>
        <w:t xml:space="preserve">Figure 3. Modelled relationships between producer price predictors and the allocation of new economic land concessions Cambodia between 1993 – 2015. Top row: no time lag between predictor and response; </w:t>
      </w:r>
      <w:r w:rsidR="00A63341">
        <w:rPr>
          <w:b/>
          <w:bCs/>
          <w:sz w:val="20"/>
          <w:szCs w:val="20"/>
        </w:rPr>
        <w:t>middle</w:t>
      </w:r>
      <w:r w:rsidRPr="00B41CFA">
        <w:rPr>
          <w:b/>
          <w:bCs/>
          <w:sz w:val="20"/>
          <w:szCs w:val="20"/>
        </w:rPr>
        <w:t xml:space="preserve">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0461AAE0" w14:textId="0C2C0707" w:rsidR="00A2432B" w:rsidRPr="00A2432B" w:rsidRDefault="00A2432B">
      <w:pPr>
        <w:rPr>
          <w:b/>
          <w:bCs/>
          <w:sz w:val="20"/>
          <w:szCs w:val="20"/>
        </w:rPr>
      </w:pPr>
      <w:r w:rsidRPr="00A2432B">
        <w:rPr>
          <w:b/>
          <w:bCs/>
          <w:sz w:val="20"/>
          <w:szCs w:val="20"/>
        </w:rPr>
        <w:lastRenderedPageBreak/>
        <w:t>Table 4. Model outputs</w:t>
      </w:r>
      <w:r w:rsidR="004B5D31">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sidR="00A66892">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A66892" w:rsidRPr="00A2432B" w14:paraId="10E28A09" w14:textId="5476464E" w:rsidTr="00A66892">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7E49FB24"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77348A76"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5B0D0C5"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255A3651"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5874092F" w14:textId="3A4C18D8" w:rsidR="00A66892" w:rsidRPr="00A2432B" w:rsidRDefault="00A66892" w:rsidP="00A2432B">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A66892" w:rsidRPr="00A2432B" w14:paraId="1257A225" w14:textId="76912AA9" w:rsidTr="00A66892">
        <w:trPr>
          <w:trHeight w:val="288"/>
        </w:trPr>
        <w:tc>
          <w:tcPr>
            <w:tcW w:w="3402" w:type="dxa"/>
            <w:tcBorders>
              <w:top w:val="single" w:sz="12" w:space="0" w:color="auto"/>
              <w:left w:val="nil"/>
              <w:bottom w:val="nil"/>
              <w:right w:val="nil"/>
            </w:tcBorders>
            <w:shd w:val="clear" w:color="auto" w:fill="auto"/>
            <w:noWrap/>
            <w:hideMark/>
          </w:tcPr>
          <w:p w14:paraId="5DD62F1E"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7CDA8669"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6663554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BCBEE7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2989463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3A1E866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DD77424" w14:textId="40165A82" w:rsidTr="00A66892">
        <w:trPr>
          <w:trHeight w:val="288"/>
        </w:trPr>
        <w:tc>
          <w:tcPr>
            <w:tcW w:w="3402" w:type="dxa"/>
            <w:tcBorders>
              <w:top w:val="nil"/>
              <w:left w:val="nil"/>
              <w:bottom w:val="nil"/>
              <w:right w:val="nil"/>
            </w:tcBorders>
            <w:shd w:val="clear" w:color="auto" w:fill="auto"/>
            <w:noWrap/>
            <w:hideMark/>
          </w:tcPr>
          <w:p w14:paraId="46F42A1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1FFF036E" w14:textId="1E5A3617" w:rsidR="00A66892" w:rsidRPr="00A2432B" w:rsidRDefault="00A66892" w:rsidP="00A2432B">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1533555A" w14:textId="7B29A82A"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D5E0E9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C63DB0E"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349AFF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4A90BEB" w14:textId="393D166D" w:rsidTr="00A66892">
        <w:trPr>
          <w:trHeight w:val="288"/>
        </w:trPr>
        <w:tc>
          <w:tcPr>
            <w:tcW w:w="3402" w:type="dxa"/>
            <w:tcBorders>
              <w:top w:val="nil"/>
              <w:left w:val="nil"/>
              <w:bottom w:val="nil"/>
              <w:right w:val="nil"/>
            </w:tcBorders>
            <w:shd w:val="clear" w:color="auto" w:fill="auto"/>
            <w:noWrap/>
            <w:hideMark/>
          </w:tcPr>
          <w:p w14:paraId="3D8F4A9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3D2C6D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C6147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6B10F04A" w14:textId="05D9DE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3DF32B5" w14:textId="123FA5C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79237B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D9DD16E" w14:textId="3F6FC1A4" w:rsidTr="00A66892">
        <w:trPr>
          <w:trHeight w:val="288"/>
        </w:trPr>
        <w:tc>
          <w:tcPr>
            <w:tcW w:w="3402" w:type="dxa"/>
            <w:tcBorders>
              <w:top w:val="nil"/>
              <w:left w:val="nil"/>
              <w:bottom w:val="nil"/>
              <w:right w:val="nil"/>
            </w:tcBorders>
            <w:shd w:val="clear" w:color="auto" w:fill="auto"/>
            <w:noWrap/>
            <w:hideMark/>
          </w:tcPr>
          <w:p w14:paraId="043AF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656601C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155EAD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6C32AD30" w14:textId="2EC6A4F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F2AF249" w14:textId="15B39F5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494E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A69E411" w14:textId="56B16A70" w:rsidTr="00A66892">
        <w:trPr>
          <w:trHeight w:val="288"/>
        </w:trPr>
        <w:tc>
          <w:tcPr>
            <w:tcW w:w="3402" w:type="dxa"/>
            <w:tcBorders>
              <w:top w:val="nil"/>
              <w:left w:val="nil"/>
              <w:bottom w:val="nil"/>
              <w:right w:val="nil"/>
            </w:tcBorders>
            <w:shd w:val="clear" w:color="auto" w:fill="auto"/>
            <w:noWrap/>
            <w:hideMark/>
          </w:tcPr>
          <w:p w14:paraId="0A784CF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442E728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4ED9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6A384D2E" w14:textId="26F510B2"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CF5BD3F" w14:textId="228E3DB4"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6F4D229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02D5EE4" w14:textId="7D346413" w:rsidTr="00A66892">
        <w:trPr>
          <w:trHeight w:val="288"/>
        </w:trPr>
        <w:tc>
          <w:tcPr>
            <w:tcW w:w="3402" w:type="dxa"/>
            <w:tcBorders>
              <w:top w:val="nil"/>
              <w:left w:val="nil"/>
              <w:bottom w:val="nil"/>
              <w:right w:val="nil"/>
            </w:tcBorders>
            <w:shd w:val="clear" w:color="auto" w:fill="auto"/>
            <w:noWrap/>
            <w:hideMark/>
          </w:tcPr>
          <w:p w14:paraId="5B5F334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E3EC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79A8D3D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CD44B81" w14:textId="45E1EF5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576170B3" w14:textId="07A7CB5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DF024B6"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7E3BBE18" w14:textId="60BD450A" w:rsidTr="00A66892">
        <w:trPr>
          <w:trHeight w:val="288"/>
        </w:trPr>
        <w:tc>
          <w:tcPr>
            <w:tcW w:w="3402" w:type="dxa"/>
            <w:tcBorders>
              <w:top w:val="nil"/>
              <w:left w:val="nil"/>
              <w:bottom w:val="nil"/>
              <w:right w:val="nil"/>
            </w:tcBorders>
            <w:shd w:val="clear" w:color="auto" w:fill="auto"/>
            <w:noWrap/>
            <w:hideMark/>
          </w:tcPr>
          <w:p w14:paraId="779E1ED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811883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23A3F16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37128E7"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73B050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80E723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69E264F" w14:textId="3D3F884F" w:rsidTr="00A66892">
        <w:trPr>
          <w:trHeight w:val="288"/>
        </w:trPr>
        <w:tc>
          <w:tcPr>
            <w:tcW w:w="3402" w:type="dxa"/>
            <w:tcBorders>
              <w:top w:val="nil"/>
              <w:left w:val="nil"/>
              <w:bottom w:val="nil"/>
              <w:right w:val="nil"/>
            </w:tcBorders>
            <w:shd w:val="clear" w:color="auto" w:fill="auto"/>
            <w:noWrap/>
            <w:hideMark/>
          </w:tcPr>
          <w:p w14:paraId="54F88A8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5DE7B8A8" w14:textId="4B31010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DA3EDC9" w14:textId="095523C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4E5E8F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73267D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495D159E" w14:textId="17576719"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7D8DC512" w14:textId="13131CDA" w:rsidTr="00A66892">
        <w:trPr>
          <w:trHeight w:val="288"/>
        </w:trPr>
        <w:tc>
          <w:tcPr>
            <w:tcW w:w="3402" w:type="dxa"/>
            <w:tcBorders>
              <w:top w:val="nil"/>
              <w:left w:val="nil"/>
              <w:bottom w:val="nil"/>
              <w:right w:val="nil"/>
            </w:tcBorders>
            <w:shd w:val="clear" w:color="auto" w:fill="auto"/>
            <w:noWrap/>
            <w:hideMark/>
          </w:tcPr>
          <w:p w14:paraId="1C30664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07CFEFB6" w14:textId="32005DE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F2BC4A6" w14:textId="224AD2D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D2402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49848FC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5F46917D" w14:textId="0F1AF10B"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A66892" w:rsidRPr="00A2432B" w14:paraId="1C4C6EEA" w14:textId="31484E64" w:rsidTr="00A66892">
        <w:trPr>
          <w:trHeight w:val="288"/>
        </w:trPr>
        <w:tc>
          <w:tcPr>
            <w:tcW w:w="3402" w:type="dxa"/>
            <w:tcBorders>
              <w:top w:val="nil"/>
              <w:left w:val="nil"/>
              <w:bottom w:val="nil"/>
              <w:right w:val="nil"/>
            </w:tcBorders>
            <w:shd w:val="clear" w:color="auto" w:fill="auto"/>
            <w:noWrap/>
            <w:hideMark/>
          </w:tcPr>
          <w:p w14:paraId="42CE51A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002049B8" w14:textId="531E4466"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71B8D296" w14:textId="2B87C033"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A73AD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22E3E81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3DF40DF9" w14:textId="2FEC96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A66892" w:rsidRPr="00A2432B" w14:paraId="173223FE" w14:textId="56C8D369" w:rsidTr="00A66892">
        <w:trPr>
          <w:trHeight w:val="288"/>
        </w:trPr>
        <w:tc>
          <w:tcPr>
            <w:tcW w:w="3402" w:type="dxa"/>
            <w:tcBorders>
              <w:top w:val="nil"/>
              <w:left w:val="nil"/>
              <w:bottom w:val="nil"/>
              <w:right w:val="nil"/>
            </w:tcBorders>
            <w:shd w:val="clear" w:color="auto" w:fill="auto"/>
            <w:noWrap/>
            <w:hideMark/>
          </w:tcPr>
          <w:p w14:paraId="3B47BA5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49C438FA" w14:textId="4B32D7B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7CAB075" w14:textId="11E5378D"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05E01F9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0229C33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716347B2" w14:textId="746E0C7C"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A66892" w:rsidRPr="00A2432B" w14:paraId="36B3AF20" w14:textId="08C26EBB" w:rsidTr="00A66892">
        <w:trPr>
          <w:trHeight w:val="288"/>
        </w:trPr>
        <w:tc>
          <w:tcPr>
            <w:tcW w:w="3402" w:type="dxa"/>
            <w:tcBorders>
              <w:top w:val="nil"/>
              <w:left w:val="nil"/>
              <w:bottom w:val="nil"/>
              <w:right w:val="nil"/>
            </w:tcBorders>
            <w:shd w:val="clear" w:color="auto" w:fill="auto"/>
            <w:noWrap/>
            <w:hideMark/>
          </w:tcPr>
          <w:p w14:paraId="799B7E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5D3F7ABC" w14:textId="788A7F70"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54592F" w14:textId="2190D997"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9EE46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351661D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261EA12D" w14:textId="78E91803"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A66892" w:rsidRPr="00A2432B" w14:paraId="5B68546C" w14:textId="0019F964" w:rsidTr="00A66892">
        <w:trPr>
          <w:trHeight w:val="288"/>
        </w:trPr>
        <w:tc>
          <w:tcPr>
            <w:tcW w:w="3402" w:type="dxa"/>
            <w:tcBorders>
              <w:top w:val="nil"/>
              <w:left w:val="nil"/>
              <w:bottom w:val="nil"/>
              <w:right w:val="nil"/>
            </w:tcBorders>
            <w:shd w:val="clear" w:color="auto" w:fill="auto"/>
            <w:noWrap/>
            <w:hideMark/>
          </w:tcPr>
          <w:p w14:paraId="26521F7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378CEA19" w14:textId="7447E47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FD95D4" w14:textId="4CF846A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269AA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AB34B9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7F813416" w14:textId="4A38D94E" w:rsidR="00A66892" w:rsidRPr="00A2432B" w:rsidRDefault="005B6361"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66892" w:rsidRPr="00A2432B" w14:paraId="03B0C996" w14:textId="1AB82A21" w:rsidTr="00A66892">
        <w:trPr>
          <w:trHeight w:val="288"/>
        </w:trPr>
        <w:tc>
          <w:tcPr>
            <w:tcW w:w="3402" w:type="dxa"/>
            <w:tcBorders>
              <w:top w:val="nil"/>
              <w:left w:val="nil"/>
              <w:bottom w:val="single" w:sz="4" w:space="0" w:color="auto"/>
              <w:right w:val="nil"/>
            </w:tcBorders>
            <w:shd w:val="clear" w:color="auto" w:fill="auto"/>
            <w:noWrap/>
            <w:hideMark/>
          </w:tcPr>
          <w:p w14:paraId="4C7B884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3A27EBDA" w14:textId="0514C84F"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288FDECB" w14:textId="6BBA60F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3262C7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129F48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2634F81A" w14:textId="01FE0A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66892" w:rsidRPr="00A2432B" w14:paraId="71CF1BCA" w14:textId="591EB531" w:rsidTr="00A66892">
        <w:trPr>
          <w:trHeight w:val="288"/>
        </w:trPr>
        <w:tc>
          <w:tcPr>
            <w:tcW w:w="3402" w:type="dxa"/>
            <w:tcBorders>
              <w:top w:val="nil"/>
              <w:left w:val="nil"/>
              <w:bottom w:val="nil"/>
              <w:right w:val="nil"/>
            </w:tcBorders>
            <w:shd w:val="clear" w:color="auto" w:fill="auto"/>
            <w:noWrap/>
            <w:hideMark/>
          </w:tcPr>
          <w:p w14:paraId="30323538"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113061E4"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0828125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0453608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DAAF03D"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0A19F80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365CF815" w14:textId="214D45F1" w:rsidTr="00A66892">
        <w:trPr>
          <w:trHeight w:val="288"/>
        </w:trPr>
        <w:tc>
          <w:tcPr>
            <w:tcW w:w="3402" w:type="dxa"/>
            <w:tcBorders>
              <w:top w:val="nil"/>
              <w:left w:val="nil"/>
              <w:bottom w:val="nil"/>
              <w:right w:val="nil"/>
            </w:tcBorders>
            <w:shd w:val="clear" w:color="auto" w:fill="auto"/>
            <w:noWrap/>
            <w:hideMark/>
          </w:tcPr>
          <w:p w14:paraId="316A0719"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4B9F278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3BBE0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994D7EC"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2C58F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C80EBC5"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1A28FDD6" w14:textId="68E1A766" w:rsidTr="00A66892">
        <w:trPr>
          <w:trHeight w:val="288"/>
        </w:trPr>
        <w:tc>
          <w:tcPr>
            <w:tcW w:w="3402" w:type="dxa"/>
            <w:tcBorders>
              <w:top w:val="nil"/>
              <w:left w:val="nil"/>
              <w:bottom w:val="nil"/>
              <w:right w:val="nil"/>
            </w:tcBorders>
            <w:shd w:val="clear" w:color="auto" w:fill="auto"/>
            <w:noWrap/>
            <w:hideMark/>
          </w:tcPr>
          <w:p w14:paraId="27A612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291031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6D4AC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6932E258" w14:textId="4C3EA1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0222D19" w14:textId="1525445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3DFF52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FE1C0DA" w14:textId="31CCD819" w:rsidTr="00A66892">
        <w:trPr>
          <w:trHeight w:val="288"/>
        </w:trPr>
        <w:tc>
          <w:tcPr>
            <w:tcW w:w="3402" w:type="dxa"/>
            <w:tcBorders>
              <w:top w:val="nil"/>
              <w:left w:val="nil"/>
              <w:bottom w:val="nil"/>
              <w:right w:val="nil"/>
            </w:tcBorders>
            <w:shd w:val="clear" w:color="auto" w:fill="auto"/>
            <w:noWrap/>
            <w:hideMark/>
          </w:tcPr>
          <w:p w14:paraId="319EC7D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33657FC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57E4257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667D880A" w14:textId="19CCAA03"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78D8CA9C" w14:textId="51BA7E2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1A8B056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D8A841" w14:textId="625A5352" w:rsidTr="00A66892">
        <w:trPr>
          <w:trHeight w:val="288"/>
        </w:trPr>
        <w:tc>
          <w:tcPr>
            <w:tcW w:w="3402" w:type="dxa"/>
            <w:tcBorders>
              <w:top w:val="nil"/>
              <w:left w:val="nil"/>
              <w:bottom w:val="nil"/>
              <w:right w:val="nil"/>
            </w:tcBorders>
            <w:shd w:val="clear" w:color="auto" w:fill="auto"/>
            <w:noWrap/>
            <w:hideMark/>
          </w:tcPr>
          <w:p w14:paraId="02B0408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3EA8C3B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6B68948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615E79D" w14:textId="5BA2F1D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31634847" w14:textId="7A86E79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E3B5F0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8F1A79" w14:textId="06B8B0FD" w:rsidTr="00A66892">
        <w:trPr>
          <w:trHeight w:val="288"/>
        </w:trPr>
        <w:tc>
          <w:tcPr>
            <w:tcW w:w="3402" w:type="dxa"/>
            <w:tcBorders>
              <w:top w:val="nil"/>
              <w:left w:val="nil"/>
              <w:bottom w:val="nil"/>
              <w:right w:val="nil"/>
            </w:tcBorders>
            <w:shd w:val="clear" w:color="auto" w:fill="auto"/>
            <w:noWrap/>
            <w:hideMark/>
          </w:tcPr>
          <w:p w14:paraId="3ABBA4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BB5AD3E" w14:textId="160579B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3C3FEDD" w14:textId="6B1B6BF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1152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03A769B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66A848B" w14:textId="71031F5B"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1E2B3C99" w14:textId="6F6BAFE5" w:rsidTr="00A66892">
        <w:trPr>
          <w:trHeight w:val="288"/>
        </w:trPr>
        <w:tc>
          <w:tcPr>
            <w:tcW w:w="3402" w:type="dxa"/>
            <w:tcBorders>
              <w:top w:val="nil"/>
              <w:left w:val="nil"/>
              <w:bottom w:val="nil"/>
              <w:right w:val="nil"/>
            </w:tcBorders>
            <w:shd w:val="clear" w:color="auto" w:fill="auto"/>
            <w:noWrap/>
            <w:hideMark/>
          </w:tcPr>
          <w:p w14:paraId="34F7660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12110A3C" w14:textId="1609168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2596B" w14:textId="6A83606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4ED2B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79AA8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1147D782" w14:textId="653053A6"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C13310" w14:textId="0C235EB0" w:rsidTr="00A66892">
        <w:trPr>
          <w:trHeight w:val="288"/>
        </w:trPr>
        <w:tc>
          <w:tcPr>
            <w:tcW w:w="3402" w:type="dxa"/>
            <w:tcBorders>
              <w:top w:val="nil"/>
              <w:left w:val="nil"/>
              <w:bottom w:val="nil"/>
              <w:right w:val="nil"/>
            </w:tcBorders>
            <w:shd w:val="clear" w:color="auto" w:fill="auto"/>
            <w:noWrap/>
            <w:hideMark/>
          </w:tcPr>
          <w:p w14:paraId="7BC0714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20C5A2E2" w14:textId="75B21D5E"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9066AAD" w14:textId="4D17535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6375FF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756A516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43F42BDA" w14:textId="0A0605C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2F263D" w14:textId="09432097" w:rsidTr="00A66892">
        <w:trPr>
          <w:trHeight w:val="288"/>
        </w:trPr>
        <w:tc>
          <w:tcPr>
            <w:tcW w:w="3402" w:type="dxa"/>
            <w:tcBorders>
              <w:top w:val="nil"/>
              <w:left w:val="nil"/>
              <w:bottom w:val="nil"/>
              <w:right w:val="nil"/>
            </w:tcBorders>
            <w:shd w:val="clear" w:color="auto" w:fill="auto"/>
            <w:noWrap/>
            <w:hideMark/>
          </w:tcPr>
          <w:p w14:paraId="30D0961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4D1B1A24" w14:textId="4D1DA7A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3C6C7D9" w14:textId="12E4583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BED917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03F286E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F4604E3" w14:textId="2418BAE0"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941A8FA" w14:textId="6C3675F8" w:rsidTr="00A66892">
        <w:trPr>
          <w:trHeight w:val="288"/>
        </w:trPr>
        <w:tc>
          <w:tcPr>
            <w:tcW w:w="3402" w:type="dxa"/>
            <w:tcBorders>
              <w:top w:val="nil"/>
              <w:left w:val="nil"/>
              <w:bottom w:val="nil"/>
              <w:right w:val="nil"/>
            </w:tcBorders>
            <w:shd w:val="clear" w:color="auto" w:fill="auto"/>
            <w:noWrap/>
            <w:hideMark/>
          </w:tcPr>
          <w:p w14:paraId="4DDABA7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5B304BEF" w14:textId="05B6232A"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6DDEE75" w14:textId="5D181CC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11E82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2903FE5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00588E87" w14:textId="63C5E87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410C3B44" w14:textId="60608604" w:rsidTr="00A66892">
        <w:trPr>
          <w:trHeight w:val="288"/>
        </w:trPr>
        <w:tc>
          <w:tcPr>
            <w:tcW w:w="3402" w:type="dxa"/>
            <w:tcBorders>
              <w:top w:val="nil"/>
              <w:left w:val="nil"/>
              <w:bottom w:val="nil"/>
              <w:right w:val="nil"/>
            </w:tcBorders>
            <w:shd w:val="clear" w:color="auto" w:fill="auto"/>
            <w:noWrap/>
            <w:hideMark/>
          </w:tcPr>
          <w:p w14:paraId="06FC2FF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13C9434B" w14:textId="376FC625"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B2753F0" w14:textId="0113E08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ECBE0C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0E7BDE4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023167" w14:textId="3A73BC7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7888637F" w14:textId="592E1E7F" w:rsidTr="00A66892">
        <w:trPr>
          <w:trHeight w:val="205"/>
        </w:trPr>
        <w:tc>
          <w:tcPr>
            <w:tcW w:w="3402" w:type="dxa"/>
            <w:tcBorders>
              <w:top w:val="nil"/>
              <w:left w:val="nil"/>
              <w:bottom w:val="nil"/>
              <w:right w:val="nil"/>
            </w:tcBorders>
            <w:shd w:val="clear" w:color="auto" w:fill="auto"/>
            <w:hideMark/>
          </w:tcPr>
          <w:p w14:paraId="0D4A6CE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7B3FD105" w14:textId="35BE8F1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A42B27D" w14:textId="72982D7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4BC641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0FBA48D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5954E57F" w14:textId="7C0487E7"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A66892" w:rsidRPr="00A2432B" w14:paraId="610C16D2" w14:textId="28F5208A" w:rsidTr="00A66892">
        <w:trPr>
          <w:trHeight w:val="288"/>
        </w:trPr>
        <w:tc>
          <w:tcPr>
            <w:tcW w:w="3402" w:type="dxa"/>
            <w:tcBorders>
              <w:top w:val="nil"/>
              <w:left w:val="nil"/>
              <w:bottom w:val="single" w:sz="12" w:space="0" w:color="auto"/>
              <w:right w:val="nil"/>
            </w:tcBorders>
            <w:shd w:val="clear" w:color="auto" w:fill="auto"/>
            <w:noWrap/>
            <w:hideMark/>
          </w:tcPr>
          <w:p w14:paraId="235DFCB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67B4E2CD" w14:textId="6F369F8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16DC903" w14:textId="531448E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0BC5393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283053D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5EEE1B15" w14:textId="03FBD7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3589768A" w14:textId="40F84237" w:rsidR="005A672B" w:rsidRPr="00A66892" w:rsidRDefault="00A66892">
      <w:pPr>
        <w:rPr>
          <w:sz w:val="18"/>
          <w:szCs w:val="18"/>
        </w:rPr>
      </w:pPr>
      <w:r w:rsidRPr="00A66892">
        <w:rPr>
          <w:i/>
          <w:iCs/>
          <w:sz w:val="24"/>
          <w:szCs w:val="24"/>
          <w:vertAlign w:val="superscript"/>
        </w:rPr>
        <w:t>a</w:t>
      </w:r>
      <w:r w:rsidRPr="00A66892">
        <w:rPr>
          <w:sz w:val="18"/>
          <w:szCs w:val="18"/>
        </w:rPr>
        <w:t xml:space="preserve"> Rate ratio = exp(coefficient) </w:t>
      </w:r>
    </w:p>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commentRangeStart w:id="1"/>
      <w:r w:rsidRPr="00591618">
        <w:rPr>
          <w:b/>
          <w:bCs/>
          <w:sz w:val="20"/>
          <w:szCs w:val="20"/>
        </w:rPr>
        <w:t>Figure 4</w:t>
      </w:r>
      <w:commentRangeEnd w:id="1"/>
      <w:r w:rsidR="00F10EA9">
        <w:rPr>
          <w:rStyle w:val="CommentReference"/>
        </w:rPr>
        <w:commentReference w:id="1"/>
      </w:r>
      <w:r w:rsidRPr="00591618">
        <w:rPr>
          <w:b/>
          <w:bCs/>
          <w:sz w:val="20"/>
          <w:szCs w:val="20"/>
        </w:rPr>
        <w:t>.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3A3764C7"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distances to the near</w:t>
      </w:r>
      <w:r w:rsidR="00A66892">
        <w:rPr>
          <w:b/>
          <w:bCs/>
          <w:sz w:val="20"/>
          <w:szCs w:val="20"/>
        </w:rPr>
        <w:t>e</w:t>
      </w:r>
      <w:r>
        <w:rPr>
          <w:b/>
          <w:bCs/>
          <w:sz w:val="20"/>
          <w:szCs w:val="20"/>
        </w:rPr>
        <w:t xml:space="preserv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7:11:00Z" w:initials="MN">
    <w:p w14:paraId="52AAF58C" w14:textId="633A83AD" w:rsidR="00D20D94" w:rsidRDefault="00D20D94">
      <w:pPr>
        <w:pStyle w:val="CommentText"/>
      </w:pPr>
      <w:r>
        <w:rPr>
          <w:rStyle w:val="CommentReference"/>
        </w:rPr>
        <w:annotationRef/>
      </w:r>
      <w:r>
        <w:t xml:space="preserve">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w:t>
      </w:r>
      <w:proofErr w:type="gramStart"/>
      <w:r>
        <w:t>I’m</w:t>
      </w:r>
      <w:proofErr w:type="gramEnd"/>
      <w:r>
        <w:t xml:space="preserve"> a bit confused….</w:t>
      </w:r>
    </w:p>
  </w:comment>
  <w:comment w:id="1" w:author="Matthew Nuttall" w:date="2021-07-09T14:35:00Z" w:initials="MN">
    <w:p w14:paraId="000E1CE7" w14:textId="3E8CEDA0" w:rsidR="00F10EA9" w:rsidRDefault="00F10EA9">
      <w:pPr>
        <w:pStyle w:val="CommentText"/>
      </w:pPr>
      <w:r>
        <w:rPr>
          <w:rStyle w:val="CommentReference"/>
        </w:rPr>
        <w:annotationRef/>
      </w:r>
      <w:r>
        <w:t>Need to check/change y axis labels (</w:t>
      </w:r>
      <w:proofErr w:type="gramStart"/>
      <w:r>
        <w:t>can’t</w:t>
      </w:r>
      <w:proofErr w:type="gramEnd"/>
      <w:r>
        <w:t xml:space="preserve"> be both pixels and km2)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AF58C" w15:done="0"/>
  <w15:commentEx w15:paraId="000E1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056" w16cex:dateUtc="2021-07-08T16:11:00Z"/>
  <w16cex:commentExtensible w16cex:durableId="2492DD44" w16cex:dateUtc="2021-07-09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AF58C" w16cid:durableId="2491B056"/>
  <w16cid:commentId w16cid:paraId="000E1CE7" w16cid:durableId="2492D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43A01"/>
    <w:rsid w:val="00064B72"/>
    <w:rsid w:val="000D1FD4"/>
    <w:rsid w:val="0012371B"/>
    <w:rsid w:val="00136283"/>
    <w:rsid w:val="001439C5"/>
    <w:rsid w:val="00170512"/>
    <w:rsid w:val="00171E4B"/>
    <w:rsid w:val="0017629D"/>
    <w:rsid w:val="001C1DFD"/>
    <w:rsid w:val="001F291C"/>
    <w:rsid w:val="001F5A52"/>
    <w:rsid w:val="00202E0D"/>
    <w:rsid w:val="0026328A"/>
    <w:rsid w:val="00274974"/>
    <w:rsid w:val="00275B68"/>
    <w:rsid w:val="0030773A"/>
    <w:rsid w:val="00313324"/>
    <w:rsid w:val="003C3771"/>
    <w:rsid w:val="003F085E"/>
    <w:rsid w:val="00471E08"/>
    <w:rsid w:val="00495FED"/>
    <w:rsid w:val="004B5D31"/>
    <w:rsid w:val="004F3410"/>
    <w:rsid w:val="004F4C3A"/>
    <w:rsid w:val="005760C1"/>
    <w:rsid w:val="00582F0A"/>
    <w:rsid w:val="00584060"/>
    <w:rsid w:val="00591618"/>
    <w:rsid w:val="005A672B"/>
    <w:rsid w:val="005A6A9C"/>
    <w:rsid w:val="005B6361"/>
    <w:rsid w:val="00622CC5"/>
    <w:rsid w:val="0063447D"/>
    <w:rsid w:val="00636B83"/>
    <w:rsid w:val="006421F0"/>
    <w:rsid w:val="00644CED"/>
    <w:rsid w:val="00651B5B"/>
    <w:rsid w:val="00694F27"/>
    <w:rsid w:val="007440A9"/>
    <w:rsid w:val="00763869"/>
    <w:rsid w:val="0076544F"/>
    <w:rsid w:val="007B6A95"/>
    <w:rsid w:val="007D0709"/>
    <w:rsid w:val="00841E81"/>
    <w:rsid w:val="00854536"/>
    <w:rsid w:val="008B6ED5"/>
    <w:rsid w:val="008F570F"/>
    <w:rsid w:val="0091672C"/>
    <w:rsid w:val="00920DF9"/>
    <w:rsid w:val="00932796"/>
    <w:rsid w:val="00997F7C"/>
    <w:rsid w:val="00A2432B"/>
    <w:rsid w:val="00A31B5B"/>
    <w:rsid w:val="00A5454C"/>
    <w:rsid w:val="00A61FBD"/>
    <w:rsid w:val="00A63341"/>
    <w:rsid w:val="00A66892"/>
    <w:rsid w:val="00AB4208"/>
    <w:rsid w:val="00AD3B7A"/>
    <w:rsid w:val="00AE36D9"/>
    <w:rsid w:val="00B23C5E"/>
    <w:rsid w:val="00B41CFA"/>
    <w:rsid w:val="00B462AE"/>
    <w:rsid w:val="00BA3DF2"/>
    <w:rsid w:val="00BA5281"/>
    <w:rsid w:val="00BD3A49"/>
    <w:rsid w:val="00BE4DE5"/>
    <w:rsid w:val="00BF2049"/>
    <w:rsid w:val="00BF6195"/>
    <w:rsid w:val="00C17101"/>
    <w:rsid w:val="00C94B5D"/>
    <w:rsid w:val="00CC10DE"/>
    <w:rsid w:val="00CC2103"/>
    <w:rsid w:val="00D05083"/>
    <w:rsid w:val="00D11DD0"/>
    <w:rsid w:val="00D20D94"/>
    <w:rsid w:val="00D913D7"/>
    <w:rsid w:val="00DB45C8"/>
    <w:rsid w:val="00DC5403"/>
    <w:rsid w:val="00DD4363"/>
    <w:rsid w:val="00E5139C"/>
    <w:rsid w:val="00E92ACF"/>
    <w:rsid w:val="00EC6C01"/>
    <w:rsid w:val="00F10EA9"/>
    <w:rsid w:val="00F23FAA"/>
    <w:rsid w:val="00F258E7"/>
    <w:rsid w:val="00F35D3B"/>
    <w:rsid w:val="00F57D77"/>
    <w:rsid w:val="00F77CC7"/>
    <w:rsid w:val="00FF3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15</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23</cp:revision>
  <dcterms:created xsi:type="dcterms:W3CDTF">2021-04-29T16:16:00Z</dcterms:created>
  <dcterms:modified xsi:type="dcterms:W3CDTF">2021-07-15T16:51:00Z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