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Supporting Information </w:t>
      </w:r>
    </w:p>
    <w:p>
      <w:pPr>
        <w:pStyle w:val="Normal"/>
        <w:rPr>
          <w:b/>
          <w:b/>
          <w:bCs/>
          <w:i/>
          <w:i/>
          <w:iCs/>
        </w:rPr>
      </w:pPr>
      <w:r>
        <w:rPr>
          <w:b/>
          <w:bCs/>
          <w:i/>
          <w:iCs/>
        </w:rPr>
        <w:t xml:space="preserve">Methods </w:t>
      </w:r>
    </w:p>
    <w:p>
      <w:pPr>
        <w:pStyle w:val="Normal"/>
        <w:rPr>
          <w:i/>
          <w:i/>
          <w:iCs/>
        </w:rPr>
      </w:pPr>
      <w:r>
        <w:rPr>
          <w:i/>
          <w:iCs/>
        </w:rPr>
        <w:t xml:space="preserve">Macroeconomic predictors </w:t>
      </w:r>
    </w:p>
    <w:p>
      <w:pPr>
        <w:pStyle w:val="Normal"/>
        <w:rPr>
          <w:b/>
          <w:b/>
          <w:bCs/>
          <w:sz w:val="18"/>
          <w:szCs w:val="18"/>
        </w:rPr>
      </w:pPr>
      <w:r>
        <w:rPr>
          <w:b/>
          <w:bCs/>
          <w:sz w:val="18"/>
          <w:szCs w:val="18"/>
          <w:highlight w:val="yellow"/>
        </w:rPr>
        <w:t>Table S1.</w:t>
      </w:r>
      <w:r>
        <w:rPr>
          <w:b/>
          <w:bCs/>
          <w:sz w:val="18"/>
          <w:szCs w:val="18"/>
        </w:rPr>
        <w:t xml:space="preserve"> Full list of macroeconomic predictor variables. Some variables were removed from the analysis prior to modelling due to collinearity.</w:t>
      </w:r>
    </w:p>
    <w:tbl>
      <w:tblPr>
        <w:tblW w:w="9923" w:type="dxa"/>
        <w:jc w:val="left"/>
        <w:tblInd w:w="0" w:type="dxa"/>
        <w:tblCellMar>
          <w:top w:w="0" w:type="dxa"/>
          <w:left w:w="108" w:type="dxa"/>
          <w:bottom w:w="0" w:type="dxa"/>
          <w:right w:w="108" w:type="dxa"/>
        </w:tblCellMar>
        <w:tblLook w:val="04a0" w:noHBand="0" w:noVBand="1" w:firstColumn="1" w:lastRow="0" w:lastColumn="0" w:firstRow="1"/>
      </w:tblPr>
      <w:tblGrid>
        <w:gridCol w:w="2127"/>
        <w:gridCol w:w="1275"/>
        <w:gridCol w:w="1133"/>
        <w:gridCol w:w="1135"/>
        <w:gridCol w:w="4253"/>
      </w:tblGrid>
      <w:tr>
        <w:trPr>
          <w:trHeight w:val="288" w:hRule="atLeast"/>
        </w:trPr>
        <w:tc>
          <w:tcPr>
            <w:tcW w:w="2127" w:type="dxa"/>
            <w:tcBorders>
              <w:top w:val="single" w:sz="12" w:space="0" w:color="000000"/>
              <w:bottom w:val="single" w:sz="12"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18"/>
                <w:szCs w:val="18"/>
                <w:lang w:eastAsia="en-GB"/>
              </w:rPr>
            </w:pPr>
            <w:r>
              <w:rPr>
                <w:rFonts w:eastAsia="Times New Roman" w:cs="Calibri"/>
                <w:b/>
                <w:bCs/>
                <w:color w:val="000000"/>
                <w:sz w:val="18"/>
                <w:szCs w:val="18"/>
                <w:lang w:eastAsia="en-GB"/>
              </w:rPr>
              <w:t>Predictor variable</w:t>
            </w:r>
          </w:p>
        </w:tc>
        <w:tc>
          <w:tcPr>
            <w:tcW w:w="1275" w:type="dxa"/>
            <w:tcBorders>
              <w:top w:val="single" w:sz="12" w:space="0" w:color="000000"/>
              <w:bottom w:val="single" w:sz="12"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18"/>
                <w:szCs w:val="18"/>
                <w:lang w:eastAsia="en-GB"/>
              </w:rPr>
            </w:pPr>
            <w:r>
              <w:rPr>
                <w:rFonts w:eastAsia="Times New Roman" w:cs="Calibri"/>
                <w:b/>
                <w:bCs/>
                <w:color w:val="000000"/>
                <w:sz w:val="18"/>
                <w:szCs w:val="18"/>
                <w:lang w:eastAsia="en-GB"/>
              </w:rPr>
              <w:t>Units</w:t>
            </w:r>
          </w:p>
        </w:tc>
        <w:tc>
          <w:tcPr>
            <w:tcW w:w="1133" w:type="dxa"/>
            <w:tcBorders>
              <w:top w:val="single" w:sz="12" w:space="0" w:color="000000"/>
              <w:bottom w:val="single" w:sz="12"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18"/>
                <w:szCs w:val="18"/>
                <w:lang w:eastAsia="en-GB"/>
              </w:rPr>
            </w:pPr>
            <w:r>
              <w:rPr>
                <w:rFonts w:eastAsia="Times New Roman" w:cs="Calibri"/>
                <w:b/>
                <w:bCs/>
                <w:color w:val="000000"/>
                <w:sz w:val="18"/>
                <w:szCs w:val="18"/>
                <w:lang w:eastAsia="en-GB"/>
              </w:rPr>
              <w:t>Resolution</w:t>
            </w:r>
          </w:p>
        </w:tc>
        <w:tc>
          <w:tcPr>
            <w:tcW w:w="1135" w:type="dxa"/>
            <w:tcBorders>
              <w:top w:val="single" w:sz="12" w:space="0" w:color="000000"/>
              <w:bottom w:val="single" w:sz="12"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18"/>
                <w:szCs w:val="18"/>
                <w:lang w:eastAsia="en-GB"/>
              </w:rPr>
            </w:pPr>
            <w:r>
              <w:rPr>
                <w:rFonts w:eastAsia="Times New Roman" w:cs="Calibri"/>
                <w:b/>
                <w:bCs/>
                <w:color w:val="000000"/>
                <w:sz w:val="18"/>
                <w:szCs w:val="18"/>
                <w:lang w:eastAsia="en-GB"/>
              </w:rPr>
              <w:t>Source</w:t>
            </w:r>
          </w:p>
        </w:tc>
        <w:tc>
          <w:tcPr>
            <w:tcW w:w="4253" w:type="dxa"/>
            <w:tcBorders>
              <w:top w:val="single" w:sz="12" w:space="0" w:color="000000"/>
              <w:bottom w:val="single" w:sz="12"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18"/>
                <w:szCs w:val="18"/>
                <w:lang w:eastAsia="en-GB"/>
              </w:rPr>
            </w:pPr>
            <w:r>
              <w:rPr>
                <w:rFonts w:eastAsia="Times New Roman" w:cs="Calibri"/>
                <w:b/>
                <w:bCs/>
                <w:color w:val="000000"/>
                <w:sz w:val="18"/>
                <w:szCs w:val="18"/>
                <w:lang w:eastAsia="en-GB"/>
              </w:rPr>
              <w:t>Details</w:t>
            </w:r>
          </w:p>
        </w:tc>
      </w:tr>
      <w:tr>
        <w:trPr>
          <w:trHeight w:val="288" w:hRule="atLeast"/>
        </w:trPr>
        <w:tc>
          <w:tcPr>
            <w:tcW w:w="2127" w:type="dxa"/>
            <w:tcBorders>
              <w:top w:val="single" w:sz="12"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t>Economy</w:t>
            </w:r>
          </w:p>
        </w:tc>
        <w:tc>
          <w:tcPr>
            <w:tcW w:w="1275" w:type="dxa"/>
            <w:tcBorders>
              <w:top w:val="single" w:sz="12"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r>
          </w:p>
        </w:tc>
        <w:tc>
          <w:tcPr>
            <w:tcW w:w="1133" w:type="dxa"/>
            <w:tcBorders>
              <w:top w:val="single" w:sz="12"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1135" w:type="dxa"/>
            <w:tcBorders>
              <w:top w:val="single" w:sz="12"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4253" w:type="dxa"/>
            <w:tcBorders>
              <w:top w:val="single" w:sz="12"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 xml:space="preserve">GDP per capita </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Billions USD</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World Bank</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Constant 2010 rates</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GPD growth</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World Bank</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Constant 2010 rates</w:t>
            </w:r>
          </w:p>
        </w:tc>
      </w:tr>
      <w:tr>
        <w:trPr>
          <w:trHeight w:val="576"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GNI per capita</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 xml:space="preserve">USD </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World Bank</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Gross National Income per capita. Calculated as gross national income divded by the mid-year population at current USD rates</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Foreign Direct Investment</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Millions USD</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UNCTAD</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Inward and outward flows and stock</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Agricultural sector value of GDP</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CNIS</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Proportion of national GDP</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Industrial sector value of GDP</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CNIS</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Proportion of national GDP</w:t>
            </w:r>
          </w:p>
        </w:tc>
      </w:tr>
      <w:tr>
        <w:trPr>
          <w:trHeight w:val="672"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Development flows to agriculture</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Millions USD</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Donor development investment flows, other official flows, and private donor flows at constant 2016 prices to all agriculture and forestry sub-sectors</w:t>
            </w:r>
          </w:p>
        </w:tc>
      </w:tr>
      <w:tr>
        <w:trPr>
          <w:trHeight w:val="576" w:hRule="atLeast"/>
        </w:trPr>
        <w:tc>
          <w:tcPr>
            <w:tcW w:w="2127"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Development flows to environment</w:t>
            </w:r>
          </w:p>
        </w:tc>
        <w:tc>
          <w:tcPr>
            <w:tcW w:w="1275"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Millions USD</w:t>
            </w:r>
          </w:p>
        </w:tc>
        <w:tc>
          <w:tcPr>
            <w:tcW w:w="1133"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Donor development investment flows, other official flows, and private donor flows at constant 2016 prices to general environment protection</w:t>
            </w:r>
          </w:p>
        </w:tc>
      </w:tr>
      <w:tr>
        <w:trPr>
          <w:trHeight w:val="288" w:hRule="atLeast"/>
        </w:trPr>
        <w:tc>
          <w:tcPr>
            <w:tcW w:w="2127" w:type="dxa"/>
            <w:tcBorders>
              <w:top w:val="single" w:sz="6"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t>Commodity prices</w:t>
            </w:r>
          </w:p>
        </w:tc>
        <w:tc>
          <w:tcPr>
            <w:tcW w:w="1275" w:type="dxa"/>
            <w:tcBorders>
              <w:top w:val="single" w:sz="6"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r>
          </w:p>
        </w:tc>
        <w:tc>
          <w:tcPr>
            <w:tcW w:w="1133"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1135"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4253"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r>
      <w:tr>
        <w:trPr>
          <w:trHeight w:val="576"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 xml:space="preserve">Agricultural Raw Materials </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Index</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Global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IMF</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Price index for global agricultural raw materials including timber, cotton, wool, rubber, and hides</w:t>
            </w:r>
          </w:p>
        </w:tc>
      </w:tr>
      <w:tr>
        <w:trPr>
          <w:trHeight w:val="576"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 xml:space="preserve">Crop Production </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Index</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Relative level of the aggregate volume of agricultural production for each year in comparison with the base period 2004-2006</w:t>
            </w:r>
          </w:p>
        </w:tc>
      </w:tr>
      <w:tr>
        <w:trPr>
          <w:trHeight w:val="576"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 xml:space="preserve">Non-food agricultural production </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Index</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Relative level of the aggregate volume of non-food agricultural production for each year in comparison with the base period 2004-2006</w:t>
            </w:r>
          </w:p>
        </w:tc>
      </w:tr>
      <w:tr>
        <w:trPr>
          <w:trHeight w:val="864"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Forestry production</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m3</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Total production values for industrial roundwood, non-coniferous tropical wood, other industrial roundwood, sawlogs and veneer logs (coniferous and non-coniferous), and sawnwood (coniferous and non-coniferous</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Price of rice</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Global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World Bank</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Median annual global market price of rice</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Price of corn</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Global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World Bank</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Annual global market price of corn</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Price of rubber</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Regional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RASCE</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Monthly regional market value of rubber on the Singapore Exchange</w:t>
            </w:r>
          </w:p>
        </w:tc>
      </w:tr>
      <w:tr>
        <w:trPr>
          <w:trHeight w:val="288" w:hRule="atLeast"/>
        </w:trPr>
        <w:tc>
          <w:tcPr>
            <w:tcW w:w="2127"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Price of sugar</w:t>
            </w:r>
          </w:p>
        </w:tc>
        <w:tc>
          <w:tcPr>
            <w:tcW w:w="1275"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Global</w:t>
            </w:r>
          </w:p>
        </w:tc>
        <w:tc>
          <w:tcPr>
            <w:tcW w:w="1135"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World Bank</w:t>
            </w:r>
          </w:p>
        </w:tc>
        <w:tc>
          <w:tcPr>
            <w:tcW w:w="4253"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Annual global market price of sugar</w:t>
            </w:r>
          </w:p>
        </w:tc>
      </w:tr>
      <w:tr>
        <w:trPr>
          <w:trHeight w:val="288" w:hRule="atLeast"/>
        </w:trPr>
        <w:tc>
          <w:tcPr>
            <w:tcW w:w="2127" w:type="dxa"/>
            <w:tcBorders>
              <w:top w:val="single" w:sz="6"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t>Producer prices</w:t>
            </w:r>
          </w:p>
        </w:tc>
        <w:tc>
          <w:tcPr>
            <w:tcW w:w="1275" w:type="dxa"/>
            <w:tcBorders>
              <w:top w:val="single" w:sz="6"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r>
          </w:p>
        </w:tc>
        <w:tc>
          <w:tcPr>
            <w:tcW w:w="1133"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1135"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4253"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Producer price of Rice</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Farmgate prices for Cambodian producers</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Producer price of rubber</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Farmgate prices for Cambodian producers</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Producer price of cassava</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Farmgate prices for Cambodian producers</w:t>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Producer price of corn</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Farmgate prices for Cambodian producers</w:t>
            </w:r>
          </w:p>
        </w:tc>
      </w:tr>
      <w:tr>
        <w:trPr>
          <w:trHeight w:val="288" w:hRule="atLeast"/>
        </w:trPr>
        <w:tc>
          <w:tcPr>
            <w:tcW w:w="2127"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Producer price of sugar</w:t>
            </w:r>
          </w:p>
        </w:tc>
        <w:tc>
          <w:tcPr>
            <w:tcW w:w="1275"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USD/ton</w:t>
            </w:r>
          </w:p>
        </w:tc>
        <w:tc>
          <w:tcPr>
            <w:tcW w:w="1133"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bottom w:val="single" w:sz="6"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Farmgate prices for Cambodian producers</w:t>
            </w:r>
          </w:p>
        </w:tc>
      </w:tr>
      <w:tr>
        <w:trPr>
          <w:trHeight w:val="288" w:hRule="atLeast"/>
        </w:trPr>
        <w:tc>
          <w:tcPr>
            <w:tcW w:w="2127" w:type="dxa"/>
            <w:tcBorders>
              <w:top w:val="single" w:sz="6"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t>Control</w:t>
            </w:r>
          </w:p>
        </w:tc>
        <w:tc>
          <w:tcPr>
            <w:tcW w:w="1275" w:type="dxa"/>
            <w:tcBorders>
              <w:top w:val="single" w:sz="6" w:space="0" w:color="000000"/>
            </w:tcBorders>
            <w:shd w:color="auto" w:fill="auto" w:val="clear"/>
            <w:vAlign w:val="bottom"/>
          </w:tcPr>
          <w:p>
            <w:pPr>
              <w:pStyle w:val="Normal"/>
              <w:spacing w:lineRule="auto" w:line="240" w:before="0" w:after="0"/>
              <w:rPr>
                <w:rFonts w:ascii="Calibri" w:hAnsi="Calibri" w:eastAsia="Times New Roman" w:cs="Calibri"/>
                <w:i/>
                <w:i/>
                <w:iCs/>
                <w:color w:val="000000"/>
                <w:sz w:val="18"/>
                <w:szCs w:val="18"/>
                <w:lang w:eastAsia="en-GB"/>
              </w:rPr>
            </w:pPr>
            <w:r>
              <w:rPr>
                <w:rFonts w:eastAsia="Times New Roman" w:cs="Calibri"/>
                <w:i/>
                <w:iCs/>
                <w:color w:val="000000"/>
                <w:sz w:val="18"/>
                <w:szCs w:val="18"/>
                <w:lang w:eastAsia="en-GB"/>
              </w:rPr>
            </w:r>
          </w:p>
        </w:tc>
        <w:tc>
          <w:tcPr>
            <w:tcW w:w="1133"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1135"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c>
          <w:tcPr>
            <w:tcW w:w="4253" w:type="dxa"/>
            <w:tcBorders>
              <w:top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8"/>
                <w:szCs w:val="18"/>
                <w:lang w:eastAsia="en-GB"/>
              </w:rPr>
            </w:pPr>
            <w:r>
              <w:rPr>
                <w:rFonts w:eastAsia="Times New Roman" w:cs="Times New Roman" w:ascii="Times New Roman" w:hAnsi="Times New Roman"/>
                <w:sz w:val="18"/>
                <w:szCs w:val="18"/>
                <w:lang w:eastAsia="en-GB"/>
              </w:rPr>
            </w:r>
          </w:p>
        </w:tc>
      </w:tr>
      <w:tr>
        <w:trPr>
          <w:trHeight w:val="288" w:hRule="atLeast"/>
        </w:trPr>
        <w:tc>
          <w:tcPr>
            <w:tcW w:w="2127"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Forest remaining</w:t>
            </w:r>
          </w:p>
        </w:tc>
        <w:tc>
          <w:tcPr>
            <w:tcW w:w="127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km2</w:t>
            </w:r>
          </w:p>
        </w:tc>
        <w:tc>
          <w:tcPr>
            <w:tcW w:w="113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ESACCI</w:t>
            </w:r>
          </w:p>
        </w:tc>
        <w:tc>
          <w:tcPr>
            <w:tcW w:w="4253"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Total forested area</w:t>
            </w:r>
          </w:p>
        </w:tc>
      </w:tr>
      <w:tr>
        <w:trPr>
          <w:trHeight w:val="288" w:hRule="atLeast"/>
        </w:trPr>
        <w:tc>
          <w:tcPr>
            <w:tcW w:w="2127" w:type="dxa"/>
            <w:tcBorders>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Population density</w:t>
            </w:r>
          </w:p>
        </w:tc>
        <w:tc>
          <w:tcPr>
            <w:tcW w:w="1275" w:type="dxa"/>
            <w:tcBorders>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pax/km2</w:t>
            </w:r>
          </w:p>
        </w:tc>
        <w:tc>
          <w:tcPr>
            <w:tcW w:w="1133" w:type="dxa"/>
            <w:tcBorders>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National</w:t>
            </w:r>
          </w:p>
        </w:tc>
        <w:tc>
          <w:tcPr>
            <w:tcW w:w="1135" w:type="dxa"/>
            <w:tcBorders>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FAO</w:t>
            </w:r>
          </w:p>
        </w:tc>
        <w:tc>
          <w:tcPr>
            <w:tcW w:w="4253" w:type="dxa"/>
            <w:tcBorders>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r>
          </w:p>
        </w:tc>
      </w:tr>
    </w:tbl>
    <w:p>
      <w:pPr>
        <w:pStyle w:val="Normal"/>
        <w:rPr/>
      </w:pPr>
      <w:r>
        <w:rPr/>
      </w:r>
    </w:p>
    <w:p>
      <w:pPr>
        <w:pStyle w:val="Normal"/>
        <w:rPr/>
      </w:pPr>
      <w:r>
        <w:rPr/>
        <w:t>Each of the predictors in the three model sets were selected because they were hypothesised to be potential drivers or effective predictors of forest loss.</w:t>
      </w:r>
    </w:p>
    <w:p>
      <w:pPr>
        <w:pStyle w:val="Normal"/>
        <w:rPr>
          <w:b/>
          <w:b/>
          <w:bCs/>
          <w:sz w:val="18"/>
          <w:szCs w:val="18"/>
        </w:rPr>
      </w:pPr>
      <w:r>
        <w:rPr>
          <w:b/>
          <w:bCs/>
          <w:sz w:val="18"/>
          <w:szCs w:val="18"/>
        </w:rPr>
        <w:t>Table S2. Hypothesised relationships between macroeconomic variables and forest loss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122"/>
        <w:gridCol w:w="6893"/>
      </w:tblGrid>
      <w:tr>
        <w:trPr/>
        <w:tc>
          <w:tcPr>
            <w:tcW w:w="2122" w:type="dxa"/>
            <w:tcBorders>
              <w:top w:val="single" w:sz="12" w:space="0" w:color="000000"/>
              <w:left w:val="nil"/>
              <w:bottom w:val="single" w:sz="12" w:space="0" w:color="000000"/>
              <w:right w:val="nil"/>
            </w:tcBorders>
          </w:tcPr>
          <w:p>
            <w:pPr>
              <w:pStyle w:val="Normal"/>
              <w:spacing w:lineRule="auto" w:line="240" w:before="0" w:after="0"/>
              <w:rPr>
                <w:rFonts w:cs="Calibri" w:cstheme="minorHAnsi"/>
                <w:b/>
                <w:b/>
                <w:bCs/>
                <w:sz w:val="18"/>
                <w:szCs w:val="18"/>
              </w:rPr>
            </w:pPr>
            <w:r>
              <w:rPr>
                <w:rFonts w:cs="Calibri" w:cstheme="minorHAnsi"/>
                <w:b/>
                <w:bCs/>
                <w:sz w:val="18"/>
                <w:szCs w:val="18"/>
              </w:rPr>
              <w:t>Variable</w:t>
            </w:r>
          </w:p>
        </w:tc>
        <w:tc>
          <w:tcPr>
            <w:tcW w:w="6893" w:type="dxa"/>
            <w:tcBorders>
              <w:top w:val="single" w:sz="12" w:space="0" w:color="000000"/>
              <w:left w:val="nil"/>
              <w:bottom w:val="single" w:sz="12" w:space="0" w:color="000000"/>
              <w:right w:val="nil"/>
            </w:tcBorders>
          </w:tcPr>
          <w:p>
            <w:pPr>
              <w:pStyle w:val="Normal"/>
              <w:spacing w:lineRule="auto" w:line="240" w:before="0" w:after="0"/>
              <w:rPr>
                <w:rFonts w:cs="Calibri" w:cstheme="minorHAnsi"/>
                <w:b/>
                <w:b/>
                <w:bCs/>
                <w:sz w:val="18"/>
                <w:szCs w:val="18"/>
              </w:rPr>
            </w:pPr>
            <w:r>
              <w:rPr>
                <w:rFonts w:cs="Calibri" w:cstheme="minorHAnsi"/>
                <w:b/>
                <w:bCs/>
                <w:sz w:val="18"/>
                <w:szCs w:val="18"/>
              </w:rPr>
              <w:t>Hypothesis</w:t>
            </w:r>
          </w:p>
        </w:tc>
      </w:tr>
      <w:tr>
        <w:trPr/>
        <w:tc>
          <w:tcPr>
            <w:tcW w:w="2122" w:type="dxa"/>
            <w:tcBorders>
              <w:top w:val="single" w:sz="12" w:space="0" w:color="000000"/>
              <w:left w:val="nil"/>
              <w:bottom w:val="nil"/>
              <w:right w:val="nil"/>
            </w:tcBorders>
            <w:shd w:color="auto" w:fill="FFFFFF" w:themeFill="background1" w:val="clear"/>
          </w:tcPr>
          <w:p>
            <w:pPr>
              <w:pStyle w:val="Normal"/>
              <w:spacing w:lineRule="auto" w:line="240" w:before="0" w:after="0"/>
              <w:rPr>
                <w:rFonts w:cs="Calibri" w:cstheme="minorHAnsi"/>
                <w:i/>
                <w:i/>
                <w:iCs/>
                <w:sz w:val="18"/>
                <w:szCs w:val="18"/>
              </w:rPr>
            </w:pPr>
            <w:r>
              <w:rPr>
                <w:rFonts w:cs="Calibri" w:cstheme="minorHAnsi"/>
                <w:i/>
                <w:iCs/>
                <w:sz w:val="18"/>
                <w:szCs w:val="18"/>
              </w:rPr>
              <w:t>Economic development</w:t>
            </w:r>
          </w:p>
        </w:tc>
        <w:tc>
          <w:tcPr>
            <w:tcW w:w="6893" w:type="dxa"/>
            <w:tcBorders>
              <w:top w:val="single" w:sz="12" w:space="0" w:color="000000"/>
              <w:left w:val="nil"/>
              <w:bottom w:val="nil"/>
              <w:right w:val="nil"/>
            </w:tcBorders>
            <w:shd w:color="auto" w:fill="FFFFFF" w:themeFill="background1" w:val="clear"/>
          </w:tcPr>
          <w:p>
            <w:pPr>
              <w:pStyle w:val="Normal"/>
              <w:spacing w:lineRule="auto" w:line="240" w:before="0" w:after="0"/>
              <w:rPr>
                <w:rFonts w:cs="Calibri" w:cstheme="minorHAnsi"/>
                <w:b/>
                <w:b/>
                <w:bCs/>
                <w:sz w:val="18"/>
                <w:szCs w:val="18"/>
              </w:rPr>
            </w:pPr>
            <w:r>
              <w:rPr>
                <w:rFonts w:cs="Calibri" w:cstheme="minorHAnsi"/>
                <w:b/>
                <w:bCs/>
                <w:sz w:val="18"/>
                <w:szCs w:val="18"/>
              </w:rPr>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GDP</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national economic development and wealth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GDP growth</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 xml:space="preserve">The rate of GDP growth will affect the rate of forest loss </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FDI</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Increased foreign investment will increase forest loss (e.g. through economic land concessions)</w:t>
            </w:r>
          </w:p>
        </w:tc>
      </w:tr>
      <w:tr>
        <w:trPr/>
        <w:tc>
          <w:tcPr>
            <w:tcW w:w="2122" w:type="dxa"/>
            <w:vMerge w:val="restart"/>
            <w:tcBorders>
              <w:top w:val="nil"/>
              <w:left w:val="nil"/>
              <w:bottom w:val="nil"/>
              <w:right w:val="nil"/>
            </w:tcBorders>
            <w:vAlign w:val="center"/>
          </w:tcPr>
          <w:p>
            <w:pPr>
              <w:pStyle w:val="Normal"/>
              <w:spacing w:lineRule="auto" w:line="240" w:before="0" w:after="0"/>
              <w:rPr>
                <w:rFonts w:cs="Calibri" w:cstheme="minorHAnsi"/>
                <w:sz w:val="18"/>
                <w:szCs w:val="18"/>
              </w:rPr>
            </w:pPr>
            <w:r>
              <w:rPr>
                <w:rFonts w:cs="Calibri" w:cstheme="minorHAnsi"/>
                <w:sz w:val="18"/>
                <w:szCs w:val="18"/>
              </w:rPr>
              <w:t>Agricultural sector proportion of GDP</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As the agricultural sector’s contribution to GDP increases, so will forest loss (reflecting increases in agro-industrial concessions).</w:t>
            </w:r>
          </w:p>
        </w:tc>
      </w:tr>
      <w:tr>
        <w:trPr/>
        <w:tc>
          <w:tcPr>
            <w:tcW w:w="2122" w:type="dxa"/>
            <w:vMerge w:val="continue"/>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Alternative hypothesis: as the agricultural sector’s contribution to GDP decreases forest loss will increase (reflecting urbanisation and urban expansion)</w:t>
            </w:r>
          </w:p>
        </w:tc>
      </w:tr>
      <w:tr>
        <w:trPr/>
        <w:tc>
          <w:tcPr>
            <w:tcW w:w="2122" w:type="dxa"/>
            <w:vMerge w:val="restart"/>
            <w:tcBorders>
              <w:top w:val="nil"/>
              <w:left w:val="nil"/>
              <w:bottom w:val="nil"/>
              <w:right w:val="nil"/>
            </w:tcBorders>
            <w:vAlign w:val="center"/>
          </w:tcPr>
          <w:p>
            <w:pPr>
              <w:pStyle w:val="Normal"/>
              <w:spacing w:lineRule="auto" w:line="240" w:before="0" w:after="0"/>
              <w:rPr>
                <w:rFonts w:cs="Calibri" w:cstheme="minorHAnsi"/>
                <w:sz w:val="18"/>
                <w:szCs w:val="18"/>
              </w:rPr>
            </w:pPr>
            <w:r>
              <w:rPr>
                <w:rFonts w:cs="Calibri" w:cstheme="minorHAnsi"/>
                <w:sz w:val="18"/>
                <w:szCs w:val="18"/>
              </w:rPr>
              <w:t>Development flows to agriculture</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Increased investment into the agricultural sector will increase forest loss (agricultural expansion)</w:t>
            </w:r>
          </w:p>
        </w:tc>
      </w:tr>
      <w:tr>
        <w:trPr/>
        <w:tc>
          <w:tcPr>
            <w:tcW w:w="2122" w:type="dxa"/>
            <w:vMerge w:val="continue"/>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Alternative hypothesis: Increased investment into the agricultural sector will decrease forest loss (increased productivity and intensification of existing agricultural land)</w:t>
            </w:r>
          </w:p>
        </w:tc>
      </w:tr>
      <w:tr>
        <w:trPr/>
        <w:tc>
          <w:tcPr>
            <w:tcW w:w="2122" w:type="dxa"/>
            <w:tcBorders>
              <w:top w:val="nil"/>
              <w:left w:val="nil"/>
              <w:bottom w:val="single" w:sz="6"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Development flows to the environment</w:t>
            </w:r>
          </w:p>
        </w:tc>
        <w:tc>
          <w:tcPr>
            <w:tcW w:w="6893" w:type="dxa"/>
            <w:tcBorders>
              <w:top w:val="nil"/>
              <w:left w:val="nil"/>
              <w:bottom w:val="single" w:sz="6"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Increased investment into the environment sector will decrease forest loss</w:t>
            </w:r>
          </w:p>
        </w:tc>
      </w:tr>
      <w:tr>
        <w:trPr/>
        <w:tc>
          <w:tcPr>
            <w:tcW w:w="2122" w:type="dxa"/>
            <w:tcBorders>
              <w:top w:val="single" w:sz="6" w:space="0" w:color="000000"/>
              <w:left w:val="nil"/>
              <w:bottom w:val="nil"/>
              <w:right w:val="nil"/>
            </w:tcBorders>
            <w:shd w:color="auto" w:fill="FFFFFF" w:themeFill="background1" w:val="clear"/>
          </w:tcPr>
          <w:p>
            <w:pPr>
              <w:pStyle w:val="Normal"/>
              <w:spacing w:lineRule="auto" w:line="240" w:before="0" w:after="0"/>
              <w:rPr>
                <w:rFonts w:cs="Calibri" w:cstheme="minorHAnsi"/>
                <w:i/>
                <w:i/>
                <w:iCs/>
                <w:sz w:val="18"/>
                <w:szCs w:val="18"/>
              </w:rPr>
            </w:pPr>
            <w:r>
              <w:rPr>
                <w:rFonts w:cs="Calibri" w:cstheme="minorHAnsi"/>
                <w:i/>
                <w:iCs/>
                <w:sz w:val="18"/>
                <w:szCs w:val="18"/>
              </w:rPr>
              <w:t>Commodities</w:t>
            </w:r>
          </w:p>
        </w:tc>
        <w:tc>
          <w:tcPr>
            <w:tcW w:w="6893" w:type="dxa"/>
            <w:tcBorders>
              <w:top w:val="single" w:sz="6" w:space="0" w:color="000000"/>
              <w:left w:val="nil"/>
              <w:bottom w:val="nil"/>
              <w:right w:val="nil"/>
            </w:tcBorders>
            <w:shd w:color="auto" w:fill="FFFFFF" w:themeFill="background1" w:val="clear"/>
          </w:tcPr>
          <w:p>
            <w:pPr>
              <w:pStyle w:val="Normal"/>
              <w:spacing w:lineRule="auto" w:line="240" w:before="0" w:after="0"/>
              <w:rPr>
                <w:rFonts w:cs="Calibri" w:cstheme="minorHAnsi"/>
                <w:sz w:val="18"/>
                <w:szCs w:val="18"/>
              </w:rPr>
            </w:pPr>
            <w:r>
              <w:rPr>
                <w:rFonts w:cs="Calibri" w:cstheme="minorHAnsi"/>
                <w:sz w:val="18"/>
                <w:szCs w:val="18"/>
              </w:rPr>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Crop production index</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crop production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Non-food production index</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non-food agricultural production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Median rice price</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price of rice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Median rubber price</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price of rubber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Median corn price</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price of corn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Median sugar price</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price of sugar will increase forest loss</w:t>
            </w:r>
          </w:p>
        </w:tc>
      </w:tr>
      <w:tr>
        <w:trPr/>
        <w:tc>
          <w:tcPr>
            <w:tcW w:w="2122" w:type="dxa"/>
            <w:tcBorders>
              <w:top w:val="nil"/>
              <w:left w:val="nil"/>
              <w:bottom w:val="single" w:sz="6"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Production value from forestry</w:t>
            </w:r>
          </w:p>
        </w:tc>
        <w:tc>
          <w:tcPr>
            <w:tcW w:w="6893" w:type="dxa"/>
            <w:tcBorders>
              <w:top w:val="nil"/>
              <w:left w:val="nil"/>
              <w:bottom w:val="single" w:sz="6"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production of forestry products will increase forest loss</w:t>
            </w:r>
          </w:p>
        </w:tc>
      </w:tr>
      <w:tr>
        <w:trPr/>
        <w:tc>
          <w:tcPr>
            <w:tcW w:w="2122" w:type="dxa"/>
            <w:tcBorders>
              <w:top w:val="single" w:sz="6" w:space="0" w:color="000000"/>
              <w:left w:val="nil"/>
              <w:bottom w:val="nil"/>
              <w:right w:val="nil"/>
            </w:tcBorders>
            <w:shd w:color="auto" w:fill="FFFFFF" w:themeFill="background1" w:val="clear"/>
          </w:tcPr>
          <w:p>
            <w:pPr>
              <w:pStyle w:val="Normal"/>
              <w:spacing w:lineRule="auto" w:line="240" w:before="0" w:after="0"/>
              <w:rPr>
                <w:rFonts w:cs="Calibri" w:cstheme="minorHAnsi"/>
                <w:i/>
                <w:i/>
                <w:iCs/>
                <w:sz w:val="18"/>
                <w:szCs w:val="18"/>
              </w:rPr>
            </w:pPr>
            <w:r>
              <w:rPr>
                <w:rFonts w:cs="Calibri" w:cstheme="minorHAnsi"/>
                <w:i/>
                <w:iCs/>
                <w:sz w:val="18"/>
                <w:szCs w:val="18"/>
              </w:rPr>
              <w:t>Producer prices</w:t>
            </w:r>
          </w:p>
        </w:tc>
        <w:tc>
          <w:tcPr>
            <w:tcW w:w="6893" w:type="dxa"/>
            <w:tcBorders>
              <w:top w:val="single" w:sz="6" w:space="0" w:color="000000"/>
              <w:left w:val="nil"/>
              <w:bottom w:val="nil"/>
              <w:right w:val="nil"/>
            </w:tcBorders>
            <w:shd w:color="auto" w:fill="FFFFFF" w:themeFill="background1" w:val="clear"/>
          </w:tcPr>
          <w:p>
            <w:pPr>
              <w:pStyle w:val="Normal"/>
              <w:spacing w:lineRule="auto" w:line="240" w:before="0" w:after="0"/>
              <w:rPr>
                <w:rFonts w:cs="Calibri" w:cstheme="minorHAnsi"/>
                <w:sz w:val="18"/>
                <w:szCs w:val="18"/>
              </w:rPr>
            </w:pPr>
            <w:r>
              <w:rPr>
                <w:rFonts w:cs="Calibri" w:cstheme="minorHAnsi"/>
                <w:sz w:val="18"/>
                <w:szCs w:val="18"/>
              </w:rPr>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Producer price, rubber</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producer price of rubber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Producer price, cassava</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producer price of cassava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Producer price, corn</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producer price of corn will increase forest loss</w:t>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Producer price, sugar</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producer price of sugar will increase forest loss</w:t>
            </w:r>
          </w:p>
        </w:tc>
      </w:tr>
      <w:tr>
        <w:trPr/>
        <w:tc>
          <w:tcPr>
            <w:tcW w:w="2122" w:type="dxa"/>
            <w:tcBorders>
              <w:top w:val="nil"/>
              <w:left w:val="nil"/>
              <w:bottom w:val="single" w:sz="6"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Producer price, rice</w:t>
            </w:r>
          </w:p>
        </w:tc>
        <w:tc>
          <w:tcPr>
            <w:tcW w:w="6893" w:type="dxa"/>
            <w:tcBorders>
              <w:top w:val="nil"/>
              <w:left w:val="nil"/>
              <w:bottom w:val="single" w:sz="6"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Increases in the producer price of rice will increase forest loss</w:t>
            </w:r>
          </w:p>
        </w:tc>
      </w:tr>
      <w:tr>
        <w:trPr/>
        <w:tc>
          <w:tcPr>
            <w:tcW w:w="2122" w:type="dxa"/>
            <w:tcBorders>
              <w:top w:val="single" w:sz="6" w:space="0" w:color="000000"/>
              <w:left w:val="nil"/>
              <w:bottom w:val="nil"/>
              <w:right w:val="nil"/>
            </w:tcBorders>
            <w:shd w:color="auto" w:fill="FFFFFF" w:themeFill="background1" w:val="clear"/>
          </w:tcPr>
          <w:p>
            <w:pPr>
              <w:pStyle w:val="Normal"/>
              <w:spacing w:lineRule="auto" w:line="240" w:before="0" w:after="0"/>
              <w:rPr>
                <w:rFonts w:cs="Calibri" w:cstheme="minorHAnsi"/>
                <w:i/>
                <w:i/>
                <w:iCs/>
                <w:sz w:val="18"/>
                <w:szCs w:val="18"/>
              </w:rPr>
            </w:pPr>
            <w:r>
              <w:rPr>
                <w:rFonts w:cs="Calibri" w:cstheme="minorHAnsi"/>
                <w:i/>
                <w:iCs/>
                <w:sz w:val="18"/>
                <w:szCs w:val="18"/>
              </w:rPr>
              <w:t>Control</w:t>
            </w:r>
          </w:p>
        </w:tc>
        <w:tc>
          <w:tcPr>
            <w:tcW w:w="6893" w:type="dxa"/>
            <w:tcBorders>
              <w:top w:val="single" w:sz="6" w:space="0" w:color="000000"/>
              <w:left w:val="nil"/>
              <w:bottom w:val="nil"/>
              <w:right w:val="nil"/>
            </w:tcBorders>
            <w:shd w:color="auto" w:fill="FFFFFF" w:themeFill="background1" w:val="clear"/>
          </w:tcPr>
          <w:p>
            <w:pPr>
              <w:pStyle w:val="Normal"/>
              <w:spacing w:lineRule="auto" w:line="240" w:before="0" w:after="0"/>
              <w:rPr>
                <w:rFonts w:cs="Calibri" w:cstheme="minorHAnsi"/>
                <w:sz w:val="18"/>
                <w:szCs w:val="18"/>
              </w:rPr>
            </w:pPr>
            <w:r>
              <w:rPr>
                <w:rFonts w:cs="Calibri" w:cstheme="minorHAnsi"/>
                <w:sz w:val="18"/>
                <w:szCs w:val="18"/>
              </w:rPr>
            </w:r>
          </w:p>
        </w:tc>
      </w:tr>
      <w:tr>
        <w:trPr/>
        <w:tc>
          <w:tcPr>
            <w:tcW w:w="2122"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Population density</w:t>
            </w:r>
          </w:p>
        </w:tc>
        <w:tc>
          <w:tcPr>
            <w:tcW w:w="6893"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Human population density will affect forest loss</w:t>
            </w:r>
          </w:p>
        </w:tc>
      </w:tr>
      <w:tr>
        <w:trPr/>
        <w:tc>
          <w:tcPr>
            <w:tcW w:w="2122" w:type="dxa"/>
            <w:tcBorders>
              <w:top w:val="nil"/>
              <w:left w:val="nil"/>
              <w:bottom w:val="single" w:sz="12"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Forest remaining</w:t>
            </w:r>
          </w:p>
        </w:tc>
        <w:tc>
          <w:tcPr>
            <w:tcW w:w="6893" w:type="dxa"/>
            <w:tcBorders>
              <w:top w:val="nil"/>
              <w:left w:val="nil"/>
              <w:bottom w:val="single" w:sz="12"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Forest loss will be affected by the raw quantity of forest remaining – i.e., forest loss will decrease as the total amount of forest remaining decreases</w:t>
            </w:r>
          </w:p>
        </w:tc>
      </w:tr>
    </w:tbl>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t>Socioeconomic predictors</w:t>
      </w:r>
    </w:p>
    <w:p>
      <w:pPr>
        <w:pStyle w:val="Normal"/>
        <w:rPr/>
      </w:pPr>
      <w:r>
        <w:rPr/>
        <w:t xml:space="preserve">Each of the eight model sets were selected because they were hypothesised to be potential drivers or effective predictors of forest cover (Table S3). The predictors within each of the sets were selected as proxies for the set because of their relevance, or because they were the best quality data that related to the set. </w:t>
      </w:r>
    </w:p>
    <w:p>
      <w:pPr>
        <w:pStyle w:val="Normal"/>
        <w:rPr/>
      </w:pPr>
      <w:r>
        <w:rPr/>
      </w:r>
    </w:p>
    <w:p>
      <w:pPr>
        <w:pStyle w:val="Normal"/>
        <w:rPr>
          <w:b/>
          <w:b/>
          <w:bCs/>
          <w:sz w:val="18"/>
          <w:szCs w:val="18"/>
        </w:rPr>
      </w:pPr>
      <w:r>
        <w:rPr>
          <w:b/>
          <w:bCs/>
          <w:sz w:val="18"/>
          <w:szCs w:val="18"/>
        </w:rPr>
        <w:t>Table S3. Hypothesised relationships between socioeconomic variables and forest cover.</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695"/>
        <w:gridCol w:w="4315"/>
        <w:gridCol w:w="3006"/>
      </w:tblGrid>
      <w:tr>
        <w:trPr/>
        <w:tc>
          <w:tcPr>
            <w:tcW w:w="1695" w:type="dxa"/>
            <w:tcBorders>
              <w:top w:val="single" w:sz="12" w:space="0" w:color="000000"/>
              <w:left w:val="nil"/>
              <w:bottom w:val="single" w:sz="12" w:space="0" w:color="000000"/>
              <w:right w:val="nil"/>
            </w:tcBorders>
          </w:tcPr>
          <w:p>
            <w:pPr>
              <w:pStyle w:val="Normal"/>
              <w:spacing w:lineRule="auto" w:line="240" w:before="0" w:after="0"/>
              <w:rPr>
                <w:b/>
                <w:b/>
                <w:bCs/>
                <w:sz w:val="18"/>
                <w:szCs w:val="18"/>
              </w:rPr>
            </w:pPr>
            <w:r>
              <w:rPr>
                <w:b/>
                <w:bCs/>
                <w:sz w:val="18"/>
                <w:szCs w:val="18"/>
              </w:rPr>
              <w:t>Set</w:t>
            </w:r>
          </w:p>
        </w:tc>
        <w:tc>
          <w:tcPr>
            <w:tcW w:w="4315" w:type="dxa"/>
            <w:tcBorders>
              <w:top w:val="single" w:sz="12" w:space="0" w:color="000000"/>
              <w:left w:val="nil"/>
              <w:bottom w:val="single" w:sz="12" w:space="0" w:color="000000"/>
              <w:right w:val="nil"/>
            </w:tcBorders>
          </w:tcPr>
          <w:p>
            <w:pPr>
              <w:pStyle w:val="Normal"/>
              <w:spacing w:lineRule="auto" w:line="240" w:before="0" w:after="0"/>
              <w:rPr>
                <w:b/>
                <w:b/>
                <w:bCs/>
                <w:sz w:val="18"/>
                <w:szCs w:val="18"/>
              </w:rPr>
            </w:pPr>
            <w:r>
              <w:rPr>
                <w:b/>
                <w:bCs/>
                <w:sz w:val="18"/>
                <w:szCs w:val="18"/>
              </w:rPr>
              <w:t>Hypotheses</w:t>
            </w:r>
          </w:p>
        </w:tc>
        <w:tc>
          <w:tcPr>
            <w:tcW w:w="3006" w:type="dxa"/>
            <w:tcBorders>
              <w:top w:val="single" w:sz="12" w:space="0" w:color="000000"/>
              <w:left w:val="nil"/>
              <w:bottom w:val="single" w:sz="12" w:space="0" w:color="000000"/>
              <w:right w:val="nil"/>
            </w:tcBorders>
          </w:tcPr>
          <w:p>
            <w:pPr>
              <w:pStyle w:val="Normal"/>
              <w:spacing w:lineRule="auto" w:line="240" w:before="0" w:after="0"/>
              <w:rPr>
                <w:b/>
                <w:b/>
                <w:bCs/>
                <w:sz w:val="18"/>
                <w:szCs w:val="18"/>
              </w:rPr>
            </w:pPr>
            <w:r>
              <w:rPr>
                <w:b/>
                <w:bCs/>
                <w:sz w:val="18"/>
                <w:szCs w:val="18"/>
              </w:rPr>
              <w:t>Variable(s)</w:t>
            </w:r>
          </w:p>
        </w:tc>
      </w:tr>
      <w:tr>
        <w:trPr>
          <w:trHeight w:val="643" w:hRule="atLeast"/>
        </w:trPr>
        <w:tc>
          <w:tcPr>
            <w:tcW w:w="1695" w:type="dxa"/>
            <w:vMerge w:val="restart"/>
            <w:tcBorders>
              <w:top w:val="single" w:sz="12" w:space="0" w:color="000000"/>
              <w:left w:val="nil"/>
              <w:bottom w:val="nil"/>
              <w:right w:val="nil"/>
            </w:tcBorders>
          </w:tcPr>
          <w:p>
            <w:pPr>
              <w:pStyle w:val="Normal"/>
              <w:spacing w:lineRule="auto" w:line="240" w:before="0" w:after="0"/>
              <w:rPr>
                <w:sz w:val="18"/>
                <w:szCs w:val="18"/>
              </w:rPr>
            </w:pPr>
            <w:r>
              <w:rPr>
                <w:sz w:val="18"/>
                <w:szCs w:val="18"/>
              </w:rPr>
              <w:t xml:space="preserve">Demographics </w:t>
            </w:r>
          </w:p>
        </w:tc>
        <w:tc>
          <w:tcPr>
            <w:tcW w:w="4315" w:type="dxa"/>
            <w:vMerge w:val="restart"/>
            <w:tcBorders>
              <w:top w:val="single" w:sz="12" w:space="0" w:color="000000"/>
              <w:left w:val="nil"/>
              <w:bottom w:val="nil"/>
              <w:right w:val="nil"/>
            </w:tcBorders>
          </w:tcPr>
          <w:p>
            <w:pPr>
              <w:pStyle w:val="Normal"/>
              <w:spacing w:lineRule="auto" w:line="240" w:before="0" w:after="0"/>
              <w:rPr>
                <w:sz w:val="18"/>
                <w:szCs w:val="18"/>
              </w:rPr>
            </w:pPr>
            <w:r>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000000"/>
              <w:left w:val="nil"/>
              <w:bottom w:val="nil"/>
              <w:right w:val="nil"/>
            </w:tcBorders>
          </w:tcPr>
          <w:p>
            <w:pPr>
              <w:pStyle w:val="Normal"/>
              <w:spacing w:lineRule="auto" w:line="240" w:before="0" w:after="0"/>
              <w:rPr>
                <w:sz w:val="18"/>
                <w:szCs w:val="18"/>
              </w:rPr>
            </w:pPr>
            <w:r>
              <w:rPr>
                <w:sz w:val="18"/>
                <w:szCs w:val="18"/>
              </w:rPr>
              <w:t>Total population</w:t>
            </w:r>
          </w:p>
        </w:tc>
      </w:tr>
      <w:tr>
        <w:trPr>
          <w:trHeight w:val="836" w:hRule="atLeast"/>
        </w:trPr>
        <w:tc>
          <w:tcPr>
            <w:tcW w:w="169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3006" w:type="dxa"/>
            <w:tcBorders>
              <w:top w:val="nil"/>
              <w:left w:val="nil"/>
              <w:bottom w:val="nil"/>
              <w:right w:val="nil"/>
            </w:tcBorders>
          </w:tcPr>
          <w:p>
            <w:pPr>
              <w:pStyle w:val="Normal"/>
              <w:spacing w:lineRule="auto" w:line="240" w:before="0" w:after="0"/>
              <w:rPr>
                <w:sz w:val="18"/>
                <w:szCs w:val="18"/>
              </w:rPr>
            </w:pPr>
            <w:r>
              <w:rPr>
                <w:sz w:val="18"/>
                <w:szCs w:val="18"/>
              </w:rPr>
              <w:t>Population density</w:t>
            </w:r>
          </w:p>
        </w:tc>
      </w:tr>
      <w:tr>
        <w:trPr/>
        <w:tc>
          <w:tcPr>
            <w:tcW w:w="169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3006"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Proportion indigenous</w:t>
            </w:r>
          </w:p>
        </w:tc>
      </w:tr>
      <w:tr>
        <w:trPr/>
        <w:tc>
          <w:tcPr>
            <w:tcW w:w="1695" w:type="dxa"/>
            <w:tcBorders>
              <w:top w:val="single" w:sz="6" w:space="0" w:color="000000"/>
              <w:left w:val="nil"/>
              <w:bottom w:val="single" w:sz="6" w:space="0" w:color="000000"/>
              <w:right w:val="nil"/>
            </w:tcBorders>
          </w:tcPr>
          <w:p>
            <w:pPr>
              <w:pStyle w:val="Normal"/>
              <w:spacing w:lineRule="auto" w:line="240" w:before="0" w:after="0"/>
              <w:rPr>
                <w:sz w:val="18"/>
                <w:szCs w:val="18"/>
              </w:rPr>
            </w:pPr>
            <w:r>
              <w:rPr>
                <w:sz w:val="18"/>
                <w:szCs w:val="18"/>
              </w:rPr>
              <w:t>Education</w:t>
            </w:r>
          </w:p>
        </w:tc>
        <w:tc>
          <w:tcPr>
            <w:tcW w:w="4315" w:type="dxa"/>
            <w:tcBorders>
              <w:top w:val="single" w:sz="6" w:space="0" w:color="000000"/>
              <w:left w:val="nil"/>
              <w:bottom w:val="single" w:sz="6" w:space="0" w:color="000000"/>
              <w:right w:val="nil"/>
            </w:tcBorders>
          </w:tcPr>
          <w:p>
            <w:pPr>
              <w:pStyle w:val="Normal"/>
              <w:spacing w:lineRule="auto" w:line="240" w:before="0" w:after="0"/>
              <w:rPr>
                <w:sz w:val="18"/>
                <w:szCs w:val="18"/>
              </w:rPr>
            </w:pPr>
            <w:r>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000000"/>
              <w:left w:val="nil"/>
              <w:bottom w:val="single" w:sz="6" w:space="0" w:color="000000"/>
              <w:right w:val="nil"/>
            </w:tcBorders>
          </w:tcPr>
          <w:p>
            <w:pPr>
              <w:pStyle w:val="Normal"/>
              <w:spacing w:lineRule="auto" w:line="240" w:before="0" w:after="0"/>
              <w:rPr>
                <w:sz w:val="18"/>
                <w:szCs w:val="18"/>
              </w:rPr>
            </w:pPr>
            <w:r>
              <w:rPr>
                <w:sz w:val="18"/>
                <w:szCs w:val="18"/>
              </w:rPr>
              <w:t>Proportion of males aged 6 – 24 in full time education</w:t>
            </w:r>
          </w:p>
        </w:tc>
      </w:tr>
      <w:tr>
        <w:trPr>
          <w:trHeight w:val="1325" w:hRule="atLeast"/>
        </w:trPr>
        <w:tc>
          <w:tcPr>
            <w:tcW w:w="169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Employment</w:t>
            </w:r>
          </w:p>
        </w:tc>
        <w:tc>
          <w:tcPr>
            <w:tcW w:w="431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000000"/>
              <w:left w:val="nil"/>
              <w:bottom w:val="nil"/>
              <w:right w:val="nil"/>
            </w:tcBorders>
          </w:tcPr>
          <w:p>
            <w:pPr>
              <w:pStyle w:val="Normal"/>
              <w:spacing w:lineRule="auto" w:line="240" w:before="0" w:after="0"/>
              <w:rPr>
                <w:sz w:val="18"/>
                <w:szCs w:val="18"/>
              </w:rPr>
            </w:pPr>
            <w:r>
              <w:rPr>
                <w:sz w:val="18"/>
                <w:szCs w:val="18"/>
              </w:rPr>
              <w:t>Proportion of adults employed in the primary sector</w:t>
            </w:r>
          </w:p>
        </w:tc>
      </w:tr>
      <w:tr>
        <w:trPr/>
        <w:tc>
          <w:tcPr>
            <w:tcW w:w="169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3006"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Proportion of adults employed in the secondary sector</w:t>
            </w:r>
          </w:p>
        </w:tc>
      </w:tr>
      <w:tr>
        <w:trPr>
          <w:trHeight w:val="896" w:hRule="atLeast"/>
        </w:trPr>
        <w:tc>
          <w:tcPr>
            <w:tcW w:w="169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Economic security</w:t>
            </w:r>
          </w:p>
        </w:tc>
        <w:tc>
          <w:tcPr>
            <w:tcW w:w="431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000000"/>
              <w:left w:val="nil"/>
              <w:bottom w:val="nil"/>
              <w:right w:val="nil"/>
            </w:tcBorders>
          </w:tcPr>
          <w:p>
            <w:pPr>
              <w:pStyle w:val="Normal"/>
              <w:spacing w:lineRule="auto" w:line="240" w:before="0" w:after="0"/>
              <w:rPr>
                <w:sz w:val="18"/>
                <w:szCs w:val="18"/>
              </w:rPr>
            </w:pPr>
            <w:r>
              <w:rPr>
                <w:sz w:val="18"/>
                <w:szCs w:val="18"/>
              </w:rPr>
              <w:t>Proportion of families with &lt;1ha of rice land</w:t>
            </w:r>
          </w:p>
        </w:tc>
      </w:tr>
      <w:tr>
        <w:trPr/>
        <w:tc>
          <w:tcPr>
            <w:tcW w:w="169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3006"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Proportion of families who keep pigs</w:t>
            </w:r>
          </w:p>
        </w:tc>
      </w:tr>
      <w:tr>
        <w:trPr>
          <w:trHeight w:val="994" w:hRule="atLeast"/>
        </w:trPr>
        <w:tc>
          <w:tcPr>
            <w:tcW w:w="169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Access to services</w:t>
            </w:r>
          </w:p>
        </w:tc>
        <w:tc>
          <w:tcPr>
            <w:tcW w:w="431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000000"/>
              <w:left w:val="nil"/>
              <w:bottom w:val="nil"/>
              <w:right w:val="nil"/>
            </w:tcBorders>
          </w:tcPr>
          <w:p>
            <w:pPr>
              <w:pStyle w:val="Normal"/>
              <w:spacing w:lineRule="auto" w:line="240" w:before="0" w:after="0"/>
              <w:rPr>
                <w:sz w:val="18"/>
                <w:szCs w:val="18"/>
              </w:rPr>
            </w:pPr>
            <w:r>
              <w:rPr>
                <w:sz w:val="18"/>
                <w:szCs w:val="18"/>
              </w:rPr>
              <w:t>Distance to nearest school</w:t>
            </w:r>
          </w:p>
        </w:tc>
      </w:tr>
      <w:tr>
        <w:trPr>
          <w:trHeight w:val="702" w:hRule="atLeast"/>
        </w:trPr>
        <w:tc>
          <w:tcPr>
            <w:tcW w:w="169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3006" w:type="dxa"/>
            <w:tcBorders>
              <w:top w:val="nil"/>
              <w:left w:val="nil"/>
              <w:bottom w:val="nil"/>
              <w:right w:val="nil"/>
            </w:tcBorders>
          </w:tcPr>
          <w:p>
            <w:pPr>
              <w:pStyle w:val="Normal"/>
              <w:spacing w:lineRule="auto" w:line="240" w:before="0" w:after="0"/>
              <w:rPr>
                <w:sz w:val="18"/>
                <w:szCs w:val="18"/>
              </w:rPr>
            </w:pPr>
            <w:r>
              <w:rPr>
                <w:sz w:val="18"/>
                <w:szCs w:val="18"/>
              </w:rPr>
              <w:t>Proportion of families with access to waste collection</w:t>
            </w:r>
          </w:p>
        </w:tc>
      </w:tr>
      <w:tr>
        <w:trPr/>
        <w:tc>
          <w:tcPr>
            <w:tcW w:w="169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3006" w:type="dxa"/>
            <w:tcBorders>
              <w:top w:val="nil"/>
              <w:left w:val="nil"/>
              <w:bottom w:val="single" w:sz="6" w:space="0" w:color="000000"/>
              <w:right w:val="nil"/>
            </w:tcBorders>
          </w:tcPr>
          <w:p>
            <w:pPr>
              <w:pStyle w:val="Normal"/>
              <w:spacing w:lineRule="auto" w:line="240" w:before="0" w:after="0"/>
              <w:rPr>
                <w:sz w:val="18"/>
                <w:szCs w:val="18"/>
              </w:rPr>
            </w:pPr>
            <w:r>
              <w:rPr>
                <w:sz w:val="18"/>
                <w:szCs w:val="18"/>
              </w:rPr>
              <w:t>Distance to the Commune office</w:t>
            </w:r>
          </w:p>
        </w:tc>
      </w:tr>
      <w:tr>
        <w:trPr>
          <w:trHeight w:val="1723" w:hRule="atLeast"/>
        </w:trPr>
        <w:tc>
          <w:tcPr>
            <w:tcW w:w="169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Social justice</w:t>
            </w:r>
          </w:p>
        </w:tc>
        <w:tc>
          <w:tcPr>
            <w:tcW w:w="431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Borders>
              <w:top w:val="single" w:sz="6" w:space="0" w:color="000000"/>
              <w:left w:val="nil"/>
              <w:bottom w:val="nil"/>
              <w:right w:val="nil"/>
            </w:tcBorders>
          </w:tcPr>
          <w:p>
            <w:pPr>
              <w:pStyle w:val="Normal"/>
              <w:spacing w:lineRule="auto" w:line="240" w:before="0" w:after="0"/>
              <w:rPr>
                <w:sz w:val="18"/>
                <w:szCs w:val="18"/>
              </w:rPr>
            </w:pPr>
            <w:r>
              <w:rPr>
                <w:sz w:val="18"/>
                <w:szCs w:val="18"/>
              </w:rPr>
              <w:t>Number of criminal cases</w:t>
            </w:r>
          </w:p>
        </w:tc>
      </w:tr>
      <w:tr>
        <w:trPr/>
        <w:tc>
          <w:tcPr>
            <w:tcW w:w="169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3006" w:type="dxa"/>
            <w:tcBorders>
              <w:top w:val="nil"/>
              <w:left w:val="nil"/>
              <w:bottom w:val="nil"/>
              <w:right w:val="nil"/>
            </w:tcBorders>
          </w:tcPr>
          <w:p>
            <w:pPr>
              <w:pStyle w:val="Normal"/>
              <w:spacing w:lineRule="auto" w:line="240" w:before="0" w:after="0"/>
              <w:rPr>
                <w:sz w:val="18"/>
                <w:szCs w:val="18"/>
              </w:rPr>
            </w:pPr>
            <w:r>
              <w:rPr>
                <w:sz w:val="18"/>
                <w:szCs w:val="18"/>
              </w:rPr>
              <w:t>Number of land conflicts</w:t>
            </w:r>
          </w:p>
        </w:tc>
      </w:tr>
      <w:tr>
        <w:trPr>
          <w:trHeight w:val="1598" w:hRule="atLeast"/>
        </w:trPr>
        <w:tc>
          <w:tcPr>
            <w:tcW w:w="169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Migration</w:t>
            </w:r>
          </w:p>
        </w:tc>
        <w:tc>
          <w:tcPr>
            <w:tcW w:w="431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000000"/>
              <w:left w:val="nil"/>
              <w:bottom w:val="nil"/>
              <w:right w:val="nil"/>
            </w:tcBorders>
          </w:tcPr>
          <w:p>
            <w:pPr>
              <w:pStyle w:val="Normal"/>
              <w:spacing w:lineRule="auto" w:line="240" w:before="0" w:after="0"/>
              <w:rPr>
                <w:sz w:val="18"/>
                <w:szCs w:val="18"/>
              </w:rPr>
            </w:pPr>
            <w:r>
              <w:rPr>
                <w:sz w:val="18"/>
                <w:szCs w:val="18"/>
              </w:rPr>
              <w:t>Number of in-migrants</w:t>
            </w:r>
          </w:p>
        </w:tc>
      </w:tr>
      <w:tr>
        <w:trPr/>
        <w:tc>
          <w:tcPr>
            <w:tcW w:w="169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3006" w:type="dxa"/>
            <w:tcBorders>
              <w:top w:val="nil"/>
              <w:left w:val="nil"/>
              <w:bottom w:val="single" w:sz="6" w:space="0" w:color="000000"/>
              <w:right w:val="nil"/>
            </w:tcBorders>
          </w:tcPr>
          <w:p>
            <w:pPr>
              <w:pStyle w:val="Normal"/>
              <w:spacing w:lineRule="auto" w:line="240" w:before="0" w:after="0"/>
              <w:rPr>
                <w:sz w:val="18"/>
                <w:szCs w:val="18"/>
              </w:rPr>
            </w:pPr>
            <w:r>
              <w:rPr>
                <w:sz w:val="18"/>
                <w:szCs w:val="18"/>
              </w:rPr>
              <w:t>Number of out-migrants</w:t>
            </w:r>
          </w:p>
        </w:tc>
      </w:tr>
      <w:tr>
        <w:trPr/>
        <w:tc>
          <w:tcPr>
            <w:tcW w:w="169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Control</w:t>
            </w:r>
          </w:p>
        </w:tc>
        <w:tc>
          <w:tcPr>
            <w:tcW w:w="4315" w:type="dxa"/>
            <w:vMerge w:val="restart"/>
            <w:tcBorders>
              <w:top w:val="single" w:sz="6" w:space="0" w:color="000000"/>
              <w:left w:val="nil"/>
              <w:bottom w:val="nil"/>
              <w:right w:val="nil"/>
            </w:tcBorders>
          </w:tcPr>
          <w:p>
            <w:pPr>
              <w:pStyle w:val="Normal"/>
              <w:spacing w:lineRule="auto" w:line="240" w:before="0" w:after="0"/>
              <w:rPr>
                <w:sz w:val="18"/>
                <w:szCs w:val="18"/>
              </w:rPr>
            </w:pPr>
            <w:r>
              <w:rPr>
                <w:sz w:val="18"/>
                <w:szCs w:val="18"/>
              </w:rPr>
              <w:t>All of these variables have potential to influence forest cover within communes/provinces, yet were not specific targets for investigation. Therefore they were included as control variables.</w:t>
            </w:r>
          </w:p>
        </w:tc>
        <w:tc>
          <w:tcPr>
            <w:tcW w:w="3006" w:type="dxa"/>
            <w:tcBorders>
              <w:top w:val="single" w:sz="6" w:space="0" w:color="000000"/>
              <w:left w:val="nil"/>
              <w:bottom w:val="nil"/>
              <w:right w:val="nil"/>
            </w:tcBorders>
          </w:tcPr>
          <w:p>
            <w:pPr>
              <w:pStyle w:val="Normal"/>
              <w:spacing w:lineRule="auto" w:line="240" w:before="0" w:after="0"/>
              <w:rPr>
                <w:sz w:val="18"/>
                <w:szCs w:val="18"/>
              </w:rPr>
            </w:pPr>
            <w:r>
              <w:rPr>
                <w:sz w:val="18"/>
                <w:szCs w:val="18"/>
              </w:rPr>
              <w:t xml:space="preserve">Mean elevation </w:t>
            </w:r>
          </w:p>
        </w:tc>
      </w:tr>
      <w:tr>
        <w:trPr/>
        <w:tc>
          <w:tcPr>
            <w:tcW w:w="169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3006" w:type="dxa"/>
            <w:tcBorders>
              <w:top w:val="nil"/>
              <w:left w:val="nil"/>
              <w:bottom w:val="nil"/>
              <w:right w:val="nil"/>
            </w:tcBorders>
          </w:tcPr>
          <w:p>
            <w:pPr>
              <w:pStyle w:val="Normal"/>
              <w:spacing w:lineRule="auto" w:line="240" w:before="0" w:after="0"/>
              <w:rPr>
                <w:sz w:val="18"/>
                <w:szCs w:val="18"/>
              </w:rPr>
            </w:pPr>
            <w:r>
              <w:rPr>
                <w:sz w:val="18"/>
                <w:szCs w:val="18"/>
              </w:rPr>
              <w:t>Distance to international border</w:t>
            </w:r>
          </w:p>
        </w:tc>
      </w:tr>
      <w:tr>
        <w:trPr/>
        <w:tc>
          <w:tcPr>
            <w:tcW w:w="169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3006"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r>
      <w:tr>
        <w:trPr/>
        <w:tc>
          <w:tcPr>
            <w:tcW w:w="169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3006" w:type="dxa"/>
            <w:tcBorders>
              <w:top w:val="nil"/>
              <w:left w:val="nil"/>
              <w:bottom w:val="nil"/>
              <w:right w:val="nil"/>
            </w:tcBorders>
          </w:tcPr>
          <w:p>
            <w:pPr>
              <w:pStyle w:val="Normal"/>
              <w:spacing w:lineRule="auto" w:line="240" w:before="0" w:after="0"/>
              <w:rPr>
                <w:sz w:val="18"/>
                <w:szCs w:val="18"/>
              </w:rPr>
            </w:pPr>
            <w:r>
              <w:rPr>
                <w:sz w:val="18"/>
                <w:szCs w:val="18"/>
              </w:rPr>
              <w:t>Presence of economic land concessions</w:t>
            </w:r>
          </w:p>
        </w:tc>
      </w:tr>
      <w:tr>
        <w:trPr/>
        <w:tc>
          <w:tcPr>
            <w:tcW w:w="169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nil"/>
              <w:right w:val="nil"/>
            </w:tcBorders>
          </w:tcPr>
          <w:p>
            <w:pPr>
              <w:pStyle w:val="Normal"/>
              <w:spacing w:lineRule="auto" w:line="240" w:before="0" w:after="0"/>
              <w:rPr>
                <w:sz w:val="18"/>
                <w:szCs w:val="18"/>
              </w:rPr>
            </w:pPr>
            <w:r>
              <w:rPr>
                <w:sz w:val="18"/>
                <w:szCs w:val="18"/>
              </w:rPr>
            </w:r>
          </w:p>
        </w:tc>
        <w:tc>
          <w:tcPr>
            <w:tcW w:w="3006" w:type="dxa"/>
            <w:tcBorders>
              <w:top w:val="nil"/>
              <w:left w:val="nil"/>
              <w:bottom w:val="nil"/>
              <w:right w:val="nil"/>
            </w:tcBorders>
          </w:tcPr>
          <w:p>
            <w:pPr>
              <w:pStyle w:val="Normal"/>
              <w:spacing w:lineRule="auto" w:line="240" w:before="0" w:after="0"/>
              <w:rPr>
                <w:sz w:val="18"/>
                <w:szCs w:val="18"/>
              </w:rPr>
            </w:pPr>
            <w:r>
              <w:rPr>
                <w:sz w:val="18"/>
                <w:szCs w:val="18"/>
              </w:rPr>
              <w:t>Presence of protected areas</w:t>
            </w:r>
          </w:p>
        </w:tc>
      </w:tr>
      <w:tr>
        <w:trPr/>
        <w:tc>
          <w:tcPr>
            <w:tcW w:w="1695" w:type="dxa"/>
            <w:vMerge w:val="continue"/>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c>
          <w:tcPr>
            <w:tcW w:w="4315" w:type="dxa"/>
            <w:vMerge w:val="continue"/>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c>
          <w:tcPr>
            <w:tcW w:w="3006" w:type="dxa"/>
            <w:tcBorders>
              <w:top w:val="nil"/>
              <w:left w:val="nil"/>
              <w:bottom w:val="single" w:sz="12" w:space="0" w:color="000000"/>
              <w:right w:val="nil"/>
            </w:tcBorders>
          </w:tcPr>
          <w:p>
            <w:pPr>
              <w:pStyle w:val="Normal"/>
              <w:spacing w:lineRule="auto" w:line="240" w:before="0" w:after="0"/>
              <w:rPr>
                <w:sz w:val="18"/>
                <w:szCs w:val="18"/>
              </w:rPr>
            </w:pPr>
            <w:r>
              <w:rPr>
                <w:sz w:val="18"/>
                <w:szCs w:val="18"/>
              </w:rPr>
              <w:t>Protected area category</w:t>
            </w:r>
          </w:p>
        </w:tc>
      </w:tr>
    </w:tbl>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t>Data processing</w:t>
      </w:r>
    </w:p>
    <w:p>
      <w:pPr>
        <w:pStyle w:val="Normal"/>
        <w:rPr>
          <w:b/>
          <w:b/>
          <w:bCs/>
          <w:sz w:val="18"/>
          <w:szCs w:val="18"/>
        </w:rPr>
      </w:pPr>
      <w:r>
        <w:rPr>
          <w:b/>
          <w:bCs/>
          <w:sz w:val="18"/>
          <w:szCs w:val="18"/>
        </w:rPr>
        <w:t>Table S4. European Space Agency Climate Change Initiative satellite bands. Bands highlighted in green were grouped to represent “forest cover” in both the macroeconomic and socioeconomic analyses.</w:t>
      </w:r>
    </w:p>
    <w:tbl>
      <w:tblPr>
        <w:tblW w:w="8960" w:type="dxa"/>
        <w:jc w:val="left"/>
        <w:tblInd w:w="0" w:type="dxa"/>
        <w:tblCellMar>
          <w:top w:w="0" w:type="dxa"/>
          <w:left w:w="108" w:type="dxa"/>
          <w:bottom w:w="0" w:type="dxa"/>
          <w:right w:w="108" w:type="dxa"/>
        </w:tblCellMar>
        <w:tblLook w:val="04a0" w:noHBand="0" w:noVBand="1" w:firstColumn="1" w:lastRow="0" w:lastColumn="0" w:firstRow="1"/>
      </w:tblPr>
      <w:tblGrid>
        <w:gridCol w:w="959"/>
        <w:gridCol w:w="8000"/>
      </w:tblGrid>
      <w:tr>
        <w:trPr>
          <w:trHeight w:val="288" w:hRule="atLeast"/>
        </w:trPr>
        <w:tc>
          <w:tcPr>
            <w:tcW w:w="959" w:type="dxa"/>
            <w:tcBorders>
              <w:top w:val="single" w:sz="12" w:space="0" w:color="000000"/>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Value</w:t>
            </w:r>
          </w:p>
        </w:tc>
        <w:tc>
          <w:tcPr>
            <w:tcW w:w="8000" w:type="dxa"/>
            <w:tcBorders>
              <w:top w:val="single" w:sz="12" w:space="0" w:color="000000"/>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Label</w:t>
            </w:r>
          </w:p>
        </w:tc>
      </w:tr>
      <w:tr>
        <w:trPr>
          <w:trHeight w:val="288" w:hRule="atLeast"/>
        </w:trPr>
        <w:tc>
          <w:tcPr>
            <w:tcW w:w="959" w:type="dxa"/>
            <w:tcBorders>
              <w:top w:val="single" w:sz="12"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0</w:t>
            </w:r>
          </w:p>
        </w:tc>
        <w:tc>
          <w:tcPr>
            <w:tcW w:w="8000" w:type="dxa"/>
            <w:tcBorders>
              <w:top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No data</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Cropland, rainfed</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11</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Herbaceous cover</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12</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or shrub cover</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20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Cropland, irrigated or post-flooding</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30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Mosaic cropland (&gt;50%) / natural vegetation (tree, shrub, herbaceous cover) (&lt;50%)</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40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Mosaic natural vegetation (tree, shrub, herbaceous cover) (&gt;50%) / cropland (&lt;50%)</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50</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broadleaved, evergreen, cosed to open (&gt;15%)</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60</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broadleaved, deciduous, closed to open (&gt;15%)</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61</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broadleaves, decisuous, closed (&gt;40%)</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62</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broadleaves, deciduous, open (15 - 40%)</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70</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needleleaved, evergreen, closed to open (&gt;15%)</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71</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needleleaved, evergreen, closed (&gt;40%)</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72</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needleleaved, evergreen, open (15 - 40%)</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80</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needleleaved, deciduous, closed to open (&gt;15%)</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81</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needleleaved, deciduous, closed (&gt;40%)</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82</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needleleaved, deciduous, open (15 - 40%)</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90</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mixed leaf type (broadleaved and needleleaved)</w:t>
            </w:r>
          </w:p>
        </w:tc>
      </w:tr>
      <w:tr>
        <w:trPr>
          <w:trHeight w:val="288" w:hRule="atLeast"/>
        </w:trPr>
        <w:tc>
          <w:tcPr>
            <w:tcW w:w="959" w:type="dxa"/>
            <w:tcBorders/>
            <w:shd w:color="000000" w:fill="92D050"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100</w:t>
            </w:r>
          </w:p>
        </w:tc>
        <w:tc>
          <w:tcPr>
            <w:tcW w:w="8000" w:type="dxa"/>
            <w:tcBorders/>
            <w:shd w:color="000000" w:fill="92D050"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Mosaic tree and shrub (&gt;50%) / herbaceous cover (&lt;50%)</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110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Mosaic herbaceous cover (&gt;50%) / tree and shrub (&lt;50%)</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120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Shrubland</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121</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Evergreen shrubland</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122</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Deciduous shrubland</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130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Grassland</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140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Lichens and mosses</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150</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Sparse vegetation (tree, shrub, herbaceous cover) (&lt;15%)</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152</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Sparse shrub (&lt;15%)</w:t>
            </w:r>
          </w:p>
        </w:tc>
      </w:tr>
      <w:tr>
        <w:trPr>
          <w:trHeight w:val="288" w:hRule="atLeast"/>
        </w:trPr>
        <w:tc>
          <w:tcPr>
            <w:tcW w:w="959" w:type="dxa"/>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153</w:t>
            </w:r>
          </w:p>
        </w:tc>
        <w:tc>
          <w:tcPr>
            <w:tcW w:w="8000" w:type="dxa"/>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Sparse herbaceous cover (&lt;15%)</w:t>
            </w:r>
          </w:p>
        </w:tc>
      </w:tr>
      <w:tr>
        <w:trPr>
          <w:trHeight w:val="288" w:hRule="atLeast"/>
        </w:trPr>
        <w:tc>
          <w:tcPr>
            <w:tcW w:w="959" w:type="dxa"/>
            <w:tcBorders>
              <w:bottom w:val="single" w:sz="12"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8"/>
                <w:szCs w:val="18"/>
                <w:lang w:eastAsia="en-GB"/>
              </w:rPr>
            </w:pPr>
            <w:r>
              <w:rPr>
                <w:rFonts w:eastAsia="Times New Roman" w:cs="Calibri"/>
                <w:color w:val="000000"/>
                <w:sz w:val="18"/>
                <w:szCs w:val="18"/>
                <w:lang w:eastAsia="en-GB"/>
              </w:rPr>
              <w:t>160</w:t>
            </w:r>
          </w:p>
        </w:tc>
        <w:tc>
          <w:tcPr>
            <w:tcW w:w="8000" w:type="dxa"/>
            <w:tcBorders>
              <w:bottom w:val="single" w:sz="12"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lang w:eastAsia="en-GB"/>
              </w:rPr>
            </w:pPr>
            <w:r>
              <w:rPr>
                <w:rFonts w:eastAsia="Times New Roman" w:cs="Calibri"/>
                <w:color w:val="000000"/>
                <w:sz w:val="18"/>
                <w:szCs w:val="18"/>
                <w:lang w:eastAsia="en-GB"/>
              </w:rPr>
              <w:t>Tree cover, flooded, fresh or brakish water</w:t>
            </w:r>
          </w:p>
        </w:tc>
      </w:tr>
    </w:tbl>
    <w:p>
      <w:pPr>
        <w:pStyle w:val="Normal"/>
        <w:rPr>
          <w:b/>
          <w:b/>
          <w:bCs/>
        </w:rPr>
      </w:pPr>
      <w:r>
        <w:rPr>
          <w:b/>
          <w:bCs/>
        </w:rPr>
      </w:r>
    </w:p>
    <w:p>
      <w:pPr>
        <w:pStyle w:val="Normal"/>
        <w:rPr>
          <w:i/>
          <w:i/>
          <w:iCs/>
        </w:rPr>
      </w:pPr>
      <w:r>
        <w:rPr>
          <w:i/>
          <w:iCs/>
        </w:rPr>
        <w:t xml:space="preserve">Socioeconomic data cleaning </w:t>
      </w:r>
    </w:p>
    <w:p>
      <w:pPr>
        <w:pStyle w:val="Normal"/>
        <w:rPr/>
      </w:pPr>
      <w:r>
        <w:rP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r>
        <w:rPr>
          <w:i/>
          <w:iCs/>
        </w:rPr>
        <w:t>Kroms</w:t>
      </w:r>
      <w:r>
        <w:rP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 (for more than one year), or if data for that village only exists for one or several years in the middle of the study period, then the data were assumed to be incomplete and the village was deleted. If the village had data for all years except one, then the missing values were estimated using linear interpolation. If the village existed in all years, but was missing data from multiple years, the village was deleted. If an entire commune was missing in some years, the commune was deleted. The above cleaning process removed 312 villages (total number of villages = 84,195), or 0.37% of the data. Data were then split into individual years, and the final village-level data were aggregated to the commune- and province level using the operations defined below in Table S5.</w:t>
      </w:r>
    </w:p>
    <w:p>
      <w:pPr>
        <w:pStyle w:val="Normal"/>
        <w:rPr/>
      </w:pPr>
      <w:r>
        <w:rPr/>
        <w:t xml:space="preserve">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(Figure S1). In some cases, where data had been converted from raw values to a proportion of the total population, errors in the raw data were discovered. This became clear when the resulting proportion was &gt;1. In these cases the proportion was changed to 1. </w:t>
      </w:r>
    </w:p>
    <w:p>
      <w:pPr>
        <w:pStyle w:val="Normal"/>
        <w:rPr>
          <w:b/>
          <w:b/>
          <w:bCs/>
          <w:sz w:val="18"/>
          <w:szCs w:val="18"/>
        </w:rPr>
      </w:pPr>
      <w:r>
        <w:rPr>
          <w:b/>
          <w:bCs/>
          <w:sz w:val="18"/>
          <w:szCs w:val="18"/>
        </w:rPr>
        <w:t>Table S5. Mathematical operations used to aggregate socioeconomic variables from the village to the commune and province level.</w:t>
      </w:r>
    </w:p>
    <w:tbl>
      <w:tblPr>
        <w:tblStyle w:val="TableGrid"/>
        <w:tblW w:w="8784" w:type="dxa"/>
        <w:jc w:val="left"/>
        <w:tblInd w:w="0" w:type="dxa"/>
        <w:tblCellMar>
          <w:top w:w="0" w:type="dxa"/>
          <w:left w:w="108" w:type="dxa"/>
          <w:bottom w:w="0" w:type="dxa"/>
          <w:right w:w="108" w:type="dxa"/>
        </w:tblCellMar>
        <w:tblLook w:val="04a0" w:noHBand="0" w:noVBand="1" w:firstColumn="1" w:lastRow="0" w:lastColumn="0" w:firstRow="1"/>
      </w:tblPr>
      <w:tblGrid>
        <w:gridCol w:w="5948"/>
        <w:gridCol w:w="2835"/>
      </w:tblGrid>
      <w:tr>
        <w:trPr/>
        <w:tc>
          <w:tcPr>
            <w:tcW w:w="5948" w:type="dxa"/>
            <w:tcBorders>
              <w:top w:val="single" w:sz="12" w:space="0" w:color="000000"/>
              <w:left w:val="nil"/>
              <w:bottom w:val="single" w:sz="12" w:space="0" w:color="000000"/>
              <w:right w:val="nil"/>
            </w:tcBorders>
          </w:tcPr>
          <w:p>
            <w:pPr>
              <w:pStyle w:val="Normal"/>
              <w:spacing w:lineRule="auto" w:line="240" w:before="0" w:after="0"/>
              <w:rPr>
                <w:rFonts w:cs="Calibri" w:cstheme="minorHAnsi"/>
                <w:b/>
                <w:b/>
                <w:bCs/>
                <w:sz w:val="18"/>
                <w:szCs w:val="18"/>
              </w:rPr>
            </w:pPr>
            <w:r>
              <w:rPr>
                <w:rFonts w:cs="Calibri" w:cstheme="minorHAnsi"/>
                <w:b/>
                <w:bCs/>
                <w:sz w:val="18"/>
                <w:szCs w:val="18"/>
              </w:rPr>
              <w:t>Variable</w:t>
            </w:r>
          </w:p>
        </w:tc>
        <w:tc>
          <w:tcPr>
            <w:tcW w:w="2835" w:type="dxa"/>
            <w:tcBorders>
              <w:top w:val="single" w:sz="12" w:space="0" w:color="000000"/>
              <w:left w:val="nil"/>
              <w:bottom w:val="single" w:sz="12" w:space="0" w:color="000000"/>
              <w:right w:val="nil"/>
            </w:tcBorders>
          </w:tcPr>
          <w:p>
            <w:pPr>
              <w:pStyle w:val="Normal"/>
              <w:spacing w:lineRule="auto" w:line="240" w:before="0" w:after="0"/>
              <w:rPr>
                <w:rFonts w:cs="Calibri" w:cstheme="minorHAnsi"/>
                <w:b/>
                <w:b/>
                <w:bCs/>
                <w:sz w:val="18"/>
                <w:szCs w:val="18"/>
              </w:rPr>
            </w:pPr>
            <w:r>
              <w:rPr>
                <w:rFonts w:cs="Calibri" w:cstheme="minorHAnsi"/>
                <w:b/>
                <w:bCs/>
                <w:sz w:val="18"/>
                <w:szCs w:val="18"/>
              </w:rPr>
              <w:t>Operation</w:t>
            </w:r>
          </w:p>
        </w:tc>
      </w:tr>
      <w:tr>
        <w:trPr/>
        <w:tc>
          <w:tcPr>
            <w:tcW w:w="5948" w:type="dxa"/>
            <w:tcBorders>
              <w:top w:val="single" w:sz="12" w:space="0" w:color="000000"/>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Total population</w:t>
            </w:r>
          </w:p>
        </w:tc>
        <w:tc>
          <w:tcPr>
            <w:tcW w:w="2835" w:type="dxa"/>
            <w:tcBorders>
              <w:top w:val="single" w:sz="12" w:space="0" w:color="000000"/>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families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males aged 18-64</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females aged 18-64</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people aged over 61</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Total number of indigenous people</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families whose main occupation is farming</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land conflict cases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in-migrants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out-migrants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criminal cases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Sum</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population that is indigenous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females aged 6-24 in full time education</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males aged 6-24 in full time education</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females aged 15-45 who are illiterate</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males aged 15-45 who are illiterate</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families whose main occupation is farming</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 xml:space="preserve">Proportion of people who are primarily employed in the primary sector </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people who are primarily employed in the secondary sector</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people who are primarily employed in the tertiary sector</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people who are primarily employed in the quaternary sector</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families who have less than 1ha of farmland</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families who have buffalo</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families who have pigs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Proportion of families who have access to waste collection</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infant (&lt;6mo) mortality cases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Number of child (&lt;5 years old) mortality cases</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Distance to the nearest school</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Median</w:t>
            </w:r>
          </w:p>
        </w:tc>
      </w:tr>
      <w:tr>
        <w:trPr/>
        <w:tc>
          <w:tcPr>
            <w:tcW w:w="5948"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Distance to the Commune Office</w:t>
            </w:r>
          </w:p>
        </w:tc>
        <w:tc>
          <w:tcPr>
            <w:tcW w:w="2835" w:type="dxa"/>
            <w:tcBorders>
              <w:top w:val="nil"/>
              <w:left w:val="nil"/>
              <w:bottom w:val="nil"/>
              <w:right w:val="nil"/>
            </w:tcBorders>
          </w:tcPr>
          <w:p>
            <w:pPr>
              <w:pStyle w:val="Normal"/>
              <w:spacing w:lineRule="auto" w:line="240" w:before="0" w:after="0"/>
              <w:rPr>
                <w:rFonts w:cs="Calibri" w:cstheme="minorHAnsi"/>
                <w:sz w:val="18"/>
                <w:szCs w:val="18"/>
              </w:rPr>
            </w:pPr>
            <w:r>
              <w:rPr>
                <w:rFonts w:cs="Calibri" w:cstheme="minorHAnsi"/>
                <w:sz w:val="18"/>
                <w:szCs w:val="18"/>
              </w:rPr>
              <w:t>Median</w:t>
            </w:r>
          </w:p>
        </w:tc>
      </w:tr>
      <w:tr>
        <w:trPr/>
        <w:tc>
          <w:tcPr>
            <w:tcW w:w="5948" w:type="dxa"/>
            <w:tcBorders>
              <w:top w:val="nil"/>
              <w:left w:val="nil"/>
              <w:bottom w:val="single" w:sz="12"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Distance to the nearest health centre</w:t>
            </w:r>
          </w:p>
        </w:tc>
        <w:tc>
          <w:tcPr>
            <w:tcW w:w="2835" w:type="dxa"/>
            <w:tcBorders>
              <w:top w:val="nil"/>
              <w:left w:val="nil"/>
              <w:bottom w:val="single" w:sz="12" w:space="0" w:color="000000"/>
              <w:right w:val="nil"/>
            </w:tcBorders>
          </w:tcPr>
          <w:p>
            <w:pPr>
              <w:pStyle w:val="Normal"/>
              <w:spacing w:lineRule="auto" w:line="240" w:before="0" w:after="0"/>
              <w:rPr>
                <w:rFonts w:cs="Calibri" w:cstheme="minorHAnsi"/>
                <w:sz w:val="18"/>
                <w:szCs w:val="18"/>
              </w:rPr>
            </w:pPr>
            <w:r>
              <w:rPr>
                <w:rFonts w:cs="Calibri" w:cstheme="minorHAnsi"/>
                <w:sz w:val="18"/>
                <w:szCs w:val="18"/>
              </w:rPr>
              <w:t>Median</w:t>
            </w:r>
          </w:p>
        </w:tc>
      </w:tr>
    </w:tbl>
    <w:p>
      <w:pPr>
        <w:pStyle w:val="Normal"/>
        <w:rPr/>
      </w:pPr>
      <w:r>
        <w:rPr/>
        <w:t xml:space="preserve"> </w:t>
      </w:r>
    </w:p>
    <w:p>
      <w:pPr>
        <w:pStyle w:val="Normal"/>
        <w:rPr/>
      </w:pPr>
      <w:r>
        <w:rPr/>
        <w:drawing>
          <wp:inline distT="0" distB="0" distL="0" distR="0">
            <wp:extent cx="2887980" cy="3609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87980" cy="3609975"/>
                    </a:xfrm>
                    <a:prstGeom prst="rect">
                      <a:avLst/>
                    </a:prstGeom>
                  </pic:spPr>
                </pic:pic>
              </a:graphicData>
            </a:graphic>
          </wp:inline>
        </w:drawing>
      </w:r>
    </w:p>
    <w:p>
      <w:pPr>
        <w:pStyle w:val="Normal"/>
        <w:rPr>
          <w:b/>
          <w:b/>
          <w:bCs/>
          <w:sz w:val="18"/>
          <w:szCs w:val="18"/>
        </w:rPr>
      </w:pPr>
      <w:r>
        <w:rPr>
          <w:b/>
          <w:bCs/>
          <w:sz w:val="18"/>
          <w:szCs w:val="18"/>
        </w:rPr>
        <w:t>Figure S1. An example of linear interpolation for a commune with an implausible outlier. The example shows a value for the population of a commune in 2010 which is likely to be an error (solid line), and the resulting correction (dashed line).</w:t>
      </w:r>
    </w:p>
    <w:p>
      <w:pPr>
        <w:pStyle w:val="Normal"/>
        <w:rPr>
          <w:b/>
          <w:b/>
          <w:bCs/>
          <w:sz w:val="18"/>
          <w:szCs w:val="18"/>
        </w:rPr>
      </w:pPr>
      <w:r>
        <w:rPr>
          <w:b/>
          <w:bCs/>
          <w:sz w:val="18"/>
          <w:szCs w:val="18"/>
        </w:rPr>
      </w:r>
    </w:p>
    <w:p>
      <w:pPr>
        <w:pStyle w:val="Normal"/>
        <w:rPr>
          <w:i/>
          <w:i/>
          <w:iCs/>
        </w:rPr>
      </w:pPr>
      <w:r>
        <w:rPr>
          <w:i/>
          <w:iCs/>
        </w:rPr>
        <w:t xml:space="preserve">Correlation </w:t>
      </w:r>
    </w:p>
    <w:p>
      <w:pPr>
        <w:pStyle w:val="Normal"/>
        <w:rPr/>
      </w:pPr>
      <w:r>
        <w:rPr/>
        <w:t xml:space="preserve">For both analyses, correlation of predictors was assessed. </w:t>
      </w:r>
    </w:p>
    <w:p>
      <w:pPr>
        <w:pStyle w:val="Normal"/>
        <w:rPr/>
      </w:pPr>
      <w:r>
        <w:rPr/>
        <w:t>For the macroeconomic analysis, the following decisions were made based on high correlation (Table S6):</w:t>
      </w:r>
    </w:p>
    <w:p>
      <w:pPr>
        <w:pStyle w:val="ListParagraph"/>
        <w:numPr>
          <w:ilvl w:val="0"/>
          <w:numId w:val="1"/>
        </w:numPr>
        <w:rPr/>
      </w:pPr>
      <w:r>
        <w:rP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pPr>
        <w:pStyle w:val="ListParagraph"/>
        <w:numPr>
          <w:ilvl w:val="0"/>
          <w:numId w:val="1"/>
        </w:numPr>
        <w:rPr/>
      </w:pPr>
      <w:r>
        <w:rPr/>
        <w:t xml:space="preserve">Neither population density (pop_den) or producer price for rubber (prod_rub) were dropped despite correlation. There is no plausible relationship between these two variables, and they were included to explain different drivers of forest loss. The two variables were in different variable sets, and so both were retained. </w:t>
      </w:r>
    </w:p>
    <w:p>
      <w:pPr>
        <w:pStyle w:val="ListParagraph"/>
        <w:numPr>
          <w:ilvl w:val="0"/>
          <w:numId w:val="1"/>
        </w:numPr>
        <w:rPr/>
      </w:pPr>
      <w:r>
        <w:rPr/>
        <w:t xml:space="preserve">Population density and amount of forest remaining (for_rem) were positively correlated, which was counterintuitive. Previous studies have highlighted remaining forest as an important control variable, and so both variables were retained </w:t>
      </w:r>
      <w:r>
        <w:fldChar w:fldCharType="begin"/>
      </w:r>
      <w:r>
        <w:rPr/>
        <w:instrText>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w:instrText>
      </w:r>
      <w:r>
        <w:rPr/>
      </w:r>
      <w:r>
        <w:rPr/>
        <w:fldChar w:fldCharType="separate"/>
      </w:r>
      <w:r>
        <w:rPr/>
      </w:r>
      <w:r>
        <w:rPr>
          <w:rFonts w:cs="Calibri"/>
          <w:szCs w:val="24"/>
        </w:rPr>
        <w:t>(O’Brien 2017)</w:t>
      </w:r>
      <w:r>
        <w:rPr/>
      </w:r>
      <w:r>
        <w:rPr/>
        <w:fldChar w:fldCharType="end"/>
      </w:r>
      <w:r>
        <w:rPr/>
        <w:t xml:space="preserve">.  </w:t>
      </w:r>
    </w:p>
    <w:p>
      <w:pPr>
        <w:pStyle w:val="ListParagraph"/>
        <w:numPr>
          <w:ilvl w:val="0"/>
          <w:numId w:val="1"/>
        </w:numPr>
        <w:rPr/>
      </w:pPr>
      <w:r>
        <w:rPr/>
        <w:t xml:space="preserve">Producer price for rubber (prod_rub) and forest remaining were negatively correlated. Previous studies have highlighted remaining forest as an important control variable, and so both variables were retained </w:t>
      </w:r>
      <w:r>
        <w:fldChar w:fldCharType="begin"/>
      </w:r>
      <w:r>
        <w:rPr/>
        <w:instrText>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w:instrText>
      </w:r>
      <w:r>
        <w:rPr/>
      </w:r>
      <w:r>
        <w:rPr/>
        <w:fldChar w:fldCharType="separate"/>
      </w:r>
      <w:r>
        <w:rPr/>
      </w:r>
      <w:r>
        <w:rPr>
          <w:rFonts w:cs="Calibri"/>
          <w:szCs w:val="24"/>
        </w:rPr>
        <w:t>(O’Brien 2017)</w:t>
      </w:r>
      <w:r>
        <w:rPr/>
      </w:r>
      <w:r>
        <w:rPr/>
        <w:fldChar w:fldCharType="end"/>
      </w:r>
      <w:r>
        <w:rPr/>
        <w:t xml:space="preserve">. </w:t>
      </w:r>
    </w:p>
    <w:p>
      <w:pPr>
        <w:pStyle w:val="ListParagraph"/>
        <w:numPr>
          <w:ilvl w:val="0"/>
          <w:numId w:val="1"/>
        </w:numPr>
        <w:rPr/>
      </w:pPr>
      <w:r>
        <w:rPr/>
        <w:t xml:space="preserve">Agricultural Raw Materials Index (armi) was correlated with median price for rubber (rub_med). This was likely to be a genuine correlation. The index was slightly correlated with more than one of the commodity price variables, and I was interested in the individual commodities, and so armi was dropped. </w:t>
      </w:r>
    </w:p>
    <w:p>
      <w:pPr>
        <w:pStyle w:val="ListParagraph"/>
        <w:numPr>
          <w:ilvl w:val="0"/>
          <w:numId w:val="1"/>
        </w:numPr>
        <w:rPr/>
      </w:pPr>
      <w:r>
        <w:rPr/>
        <w:t>Agricultural sector proportion of GDP (agr_gdp) and industrial sector proportion of GDP (ind_gdp) were correlated, and conceptually I was more interested in the impact of the agricultural sector (as it is more likely to affect forest cover), and so ind_gdp was dropped.</w:t>
      </w:r>
    </w:p>
    <w:p>
      <w:pPr>
        <w:pStyle w:val="ListParagraph"/>
        <w:numPr>
          <w:ilvl w:val="0"/>
          <w:numId w:val="1"/>
        </w:numPr>
        <w:rPr/>
      </w:pPr>
      <w:r>
        <w:rPr/>
        <w:t>Median price of rice (rice_med) and producer price of rice (prod_rice) were correlated. These two variables were in different sets, and so were retained for the initial modelling.</w:t>
      </w:r>
    </w:p>
    <w:p>
      <w:pPr>
        <w:pStyle w:val="ListParagraph"/>
        <w:numPr>
          <w:ilvl w:val="0"/>
          <w:numId w:val="1"/>
        </w:numPr>
        <w:rPr/>
      </w:pPr>
      <w:r>
        <w:rPr/>
        <w:t xml:space="preserve">The producer price for rubber (prod_rub) and the producer price for rice (prod_rice) were correlated. A large number of the economic land concessions allocated in Cambodia were for rubber, and so my hypothesis was that rubber prices would be more important for predicting forest loss than rice. Therefore prod_rice was dropped.  </w:t>
      </w:r>
    </w:p>
    <w:p>
      <w:pPr>
        <w:pStyle w:val="Normal"/>
        <w:rPr/>
      </w:pPr>
      <w:r>
        <w:rP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pPr>
        <w:pStyle w:val="ListParagraph"/>
        <w:numPr>
          <w:ilvl w:val="0"/>
          <w:numId w:val="2"/>
        </w:numPr>
        <w:rPr/>
      </w:pPr>
      <w:r>
        <w:rPr/>
        <w:t xml:space="preserve">Total population, number of families, number of males, number of females, and population over 61 were all correlated. Following a PCA, total population was selected. </w:t>
      </w:r>
    </w:p>
    <w:p>
      <w:pPr>
        <w:pStyle w:val="ListParagraph"/>
        <w:numPr>
          <w:ilvl w:val="0"/>
          <w:numId w:val="2"/>
        </w:numPr>
        <w:rPr/>
      </w:pPr>
      <w:r>
        <w:rPr/>
        <w:t>As expected, all education variables were highly correlated. In this case, the proportion of males aged 6-24 was selected (without a PCA) because in this cultural context, males are far more likely to be engaged in activities that contribute to forest loss.</w:t>
      </w:r>
    </w:p>
    <w:p>
      <w:pPr>
        <w:pStyle w:val="ListParagraph"/>
        <w:numPr>
          <w:ilvl w:val="0"/>
          <w:numId w:val="2"/>
        </w:numPr>
        <w:rPr/>
      </w:pPr>
      <w:r>
        <w:rPr/>
        <w:t xml:space="preserve">As expected, there was a negative correlation between the proportion of people employed in the primary sector and the proportion of people employed in the tertiary and quaternary sectors, and a correlation between the proportion of people employed in the primary sector and the proportion of people whose main occupation was farming. The PCA results suggested that the proportion of people employed in the primary sector (propPrimSec) and secondary sector (propSecSec) were the most valuable predictors. </w:t>
      </w:r>
    </w:p>
    <w:p>
      <w:pPr>
        <w:pStyle w:val="ListParagraph"/>
        <w:numPr>
          <w:ilvl w:val="0"/>
          <w:numId w:val="2"/>
        </w:numPr>
        <w:rPr/>
      </w:pPr>
      <w:r>
        <w:rPr/>
        <w:t xml:space="preserve">Proportion of people with less than 1 hectare of farmland, and proportion of families who keep buffalos, were dropped due to inconsistencies in the data which suggested changes in the data collection or questions over time. </w:t>
      </w:r>
    </w:p>
    <w:p>
      <w:pPr>
        <w:pStyle w:val="ListParagraph"/>
        <w:numPr>
          <w:ilvl w:val="0"/>
          <w:numId w:val="2"/>
        </w:numPr>
        <w:rPr/>
      </w:pPr>
      <w:r>
        <w:rPr/>
        <w:t xml:space="preserve">Distance to the nearest school (dist_sch) and distance to the nearest health centre (KM_Heal_cen) were 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pPr>
        <w:pStyle w:val="ListParagraph"/>
        <w:numPr>
          <w:ilvl w:val="0"/>
          <w:numId w:val="2"/>
        </w:numPr>
        <w:rPr/>
      </w:pPr>
      <w:r>
        <w:rPr/>
        <w:t>Both healthcare variables (infant mortality and child mortality) were dropped due to poor data quality.</w:t>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pPr>
      <w:r>
        <w:rPr/>
        <w:t>A final assessment of correlation between predictor variables (after removal of the above) revealed no major correlations (Table S7).</w:t>
      </w:r>
    </w:p>
    <w:p>
      <w:pPr>
        <w:pStyle w:val="Normal"/>
        <w:rPr>
          <w:b/>
          <w:b/>
          <w:bCs/>
          <w:sz w:val="20"/>
          <w:szCs w:val="20"/>
        </w:rPr>
      </w:pPr>
      <w:r>
        <w:rPr>
          <w:b/>
          <w:bCs/>
          <w:sz w:val="20"/>
          <w:szCs w:val="20"/>
        </w:rPr>
        <w:t>Table S6. Correlation matrix for macroeconomic variables. Values over 0.6 are highlighted in red, and values below -0.6 are highlighted in yellow.</w:t>
      </w:r>
    </w:p>
    <w:tbl>
      <w:tblPr>
        <w:tblW w:w="15304" w:type="dxa"/>
        <w:jc w:val="left"/>
        <w:tblInd w:w="-686" w:type="dxa"/>
        <w:tblCellMar>
          <w:top w:w="0" w:type="dxa"/>
          <w:left w:w="108" w:type="dxa"/>
          <w:bottom w:w="0" w:type="dxa"/>
          <w:right w:w="108" w:type="dxa"/>
        </w:tblCellMar>
        <w:tblLook w:val="04a0" w:noHBand="0" w:noVBand="1" w:firstColumn="1" w:lastRow="0" w:lastColumn="0" w:firstRow="1"/>
      </w:tblPr>
      <w:tblGrid>
        <w:gridCol w:w="965"/>
        <w:gridCol w:w="589"/>
        <w:gridCol w:w="568"/>
        <w:gridCol w:w="566"/>
        <w:gridCol w:w="568"/>
        <w:gridCol w:w="566"/>
        <w:gridCol w:w="568"/>
        <w:gridCol w:w="566"/>
        <w:gridCol w:w="568"/>
        <w:gridCol w:w="566"/>
        <w:gridCol w:w="568"/>
        <w:gridCol w:w="567"/>
        <w:gridCol w:w="567"/>
        <w:gridCol w:w="567"/>
        <w:gridCol w:w="566"/>
        <w:gridCol w:w="568"/>
        <w:gridCol w:w="566"/>
        <w:gridCol w:w="568"/>
        <w:gridCol w:w="566"/>
        <w:gridCol w:w="568"/>
        <w:gridCol w:w="566"/>
        <w:gridCol w:w="568"/>
        <w:gridCol w:w="566"/>
        <w:gridCol w:w="568"/>
        <w:gridCol w:w="566"/>
        <w:gridCol w:w="705"/>
      </w:tblGrid>
      <w:tr>
        <w:trPr>
          <w:trHeight w:val="576"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6"/>
                <w:szCs w:val="16"/>
                <w:lang w:eastAsia="en-GB"/>
              </w:rPr>
            </w:pPr>
            <w:r>
              <w:rPr>
                <w:rFonts w:eastAsia="Times New Roman" w:cs="Times New Roman" w:ascii="Times New Roman" w:hAnsi="Times New Roman"/>
                <w:sz w:val="16"/>
                <w:szCs w:val="16"/>
                <w:lang w:eastAsia="en-GB"/>
              </w:rPr>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for_cov</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for_cov_perc</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gdp</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gdp_gr</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gni</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fdi</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ind_gdp</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agr_gdp</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dev_agri</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dev_env</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pop_den</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armi</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cpi</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nfi</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rice_med</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rub_med</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corn_med</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sug_med</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for_prod</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prod_rice</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prod_rub</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prod_cass</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prod_corn</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prod_sug</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for_rem</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for_cov</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6"/>
                <w:szCs w:val="16"/>
                <w:lang w:eastAsia="en-GB"/>
              </w:rPr>
            </w:pPr>
            <w:r>
              <w:rPr>
                <w:rFonts w:eastAsia="Times New Roman" w:cs="Times New Roman" w:ascii="Times New Roman" w:hAnsi="Times New Roman"/>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705"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0.65</w:t>
            </w:r>
          </w:p>
        </w:tc>
      </w:tr>
      <w:tr>
        <w:trPr>
          <w:trHeight w:val="288" w:hRule="atLeast"/>
        </w:trPr>
        <w:tc>
          <w:tcPr>
            <w:tcW w:w="1554"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for_cov_perc</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705"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0.65</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gdp</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0.99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-0.60</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gdp_gr</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gni</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0.99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0.34</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-0.55</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fdi</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0.54</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ind_gdp</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000000" w:fill="FFEB9C" w:val="clear"/>
            <w:vAlign w:val="bottom"/>
          </w:tcPr>
          <w:p>
            <w:pPr>
              <w:pStyle w:val="Normal"/>
              <w:spacing w:lineRule="auto" w:line="240" w:before="0" w:after="0"/>
              <w:jc w:val="right"/>
              <w:rPr>
                <w:rFonts w:ascii="Calibri" w:hAnsi="Calibri" w:eastAsia="Times New Roman" w:cs="Calibri"/>
                <w:color w:val="9C5700"/>
                <w:sz w:val="16"/>
                <w:szCs w:val="16"/>
                <w:lang w:eastAsia="en-GB"/>
              </w:rPr>
            </w:pPr>
            <w:r>
              <w:rPr>
                <w:rFonts w:eastAsia="Times New Roman" w:cs="Calibri"/>
                <w:color w:val="9C5700"/>
                <w:sz w:val="16"/>
                <w:szCs w:val="16"/>
                <w:lang w:eastAsia="en-GB"/>
              </w:rPr>
              <w:t>-0.61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agr_gdp</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color="000000" w:fill="FFEB9C" w:val="clear"/>
            <w:vAlign w:val="bottom"/>
          </w:tcPr>
          <w:p>
            <w:pPr>
              <w:pStyle w:val="Normal"/>
              <w:spacing w:lineRule="auto" w:line="240" w:before="0" w:after="0"/>
              <w:jc w:val="right"/>
              <w:rPr>
                <w:rFonts w:ascii="Calibri" w:hAnsi="Calibri" w:eastAsia="Times New Roman" w:cs="Calibri"/>
                <w:color w:val="9C5700"/>
                <w:sz w:val="16"/>
                <w:szCs w:val="16"/>
                <w:lang w:eastAsia="en-GB"/>
              </w:rPr>
            </w:pPr>
            <w:r>
              <w:rPr>
                <w:rFonts w:eastAsia="Times New Roman" w:cs="Calibri"/>
                <w:color w:val="9C5700"/>
                <w:sz w:val="16"/>
                <w:szCs w:val="16"/>
                <w:lang w:eastAsia="en-GB"/>
              </w:rPr>
              <w:t>-0.61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9C5700"/>
                <w:sz w:val="16"/>
                <w:szCs w:val="16"/>
                <w:lang w:eastAsia="en-GB"/>
              </w:rPr>
            </w:pPr>
            <w:r>
              <w:rPr>
                <w:rFonts w:eastAsia="Times New Roman" w:cs="Calibri"/>
                <w:color w:val="9C57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dev_agri</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dev_env</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pop_den</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-0.58</w:t>
            </w:r>
          </w:p>
        </w:tc>
        <w:tc>
          <w:tcPr>
            <w:tcW w:w="568" w:type="dxa"/>
            <w:tcBorders>
              <w:top w:val="single" w:sz="4" w:space="0" w:color="000000"/>
              <w:left w:val="single" w:sz="4" w:space="0" w:color="000000"/>
              <w:bottom w:val="single" w:sz="4" w:space="0" w:color="000000"/>
              <w:right w:val="single" w:sz="4" w:space="0" w:color="000000"/>
            </w:tcBorders>
            <w:shd w:color="000000" w:fill="FFEB9C" w:val="clear"/>
            <w:vAlign w:val="bottom"/>
          </w:tcPr>
          <w:p>
            <w:pPr>
              <w:pStyle w:val="Normal"/>
              <w:spacing w:lineRule="auto" w:line="240" w:before="0" w:after="0"/>
              <w:jc w:val="right"/>
              <w:rPr>
                <w:rFonts w:ascii="Calibri" w:hAnsi="Calibri" w:eastAsia="Times New Roman" w:cs="Calibri"/>
                <w:color w:val="9C5700"/>
                <w:sz w:val="16"/>
                <w:szCs w:val="16"/>
                <w:lang w:eastAsia="en-GB"/>
              </w:rPr>
            </w:pPr>
            <w:r>
              <w:rPr>
                <w:rFonts w:eastAsia="Times New Roman" w:cs="Calibri"/>
                <w:color w:val="9C5700"/>
                <w:sz w:val="16"/>
                <w:szCs w:val="16"/>
                <w:lang w:eastAsia="en-GB"/>
              </w:rPr>
              <w:t>-0.79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705"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0.79</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armi</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0.89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cpi</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0.54</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nfi</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rice_med</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rub_med</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567"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0.89</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corn_med</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0.57</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sug_med</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-0.38</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0.56</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for_prod</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prod_rice</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-0.58</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568"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prod_rub</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567" w:type="dxa"/>
            <w:tcBorders>
              <w:top w:val="single" w:sz="4" w:space="0" w:color="000000"/>
              <w:left w:val="single" w:sz="4" w:space="0" w:color="000000"/>
              <w:bottom w:val="single" w:sz="4" w:space="0" w:color="000000"/>
              <w:right w:val="single" w:sz="4" w:space="0" w:color="000000"/>
            </w:tcBorders>
            <w:shd w:color="000000" w:fill="FFEB9C" w:val="clear"/>
            <w:vAlign w:val="bottom"/>
          </w:tcPr>
          <w:p>
            <w:pPr>
              <w:pStyle w:val="Normal"/>
              <w:spacing w:lineRule="auto" w:line="240" w:before="0" w:after="0"/>
              <w:jc w:val="right"/>
              <w:rPr>
                <w:rFonts w:ascii="Calibri" w:hAnsi="Calibri" w:eastAsia="Times New Roman" w:cs="Calibri"/>
                <w:color w:val="9C5700"/>
                <w:sz w:val="16"/>
                <w:szCs w:val="16"/>
                <w:lang w:eastAsia="en-GB"/>
              </w:rPr>
            </w:pPr>
            <w:r>
              <w:rPr>
                <w:rFonts w:eastAsia="Times New Roman" w:cs="Calibri"/>
                <w:color w:val="9C5700"/>
                <w:sz w:val="16"/>
                <w:szCs w:val="16"/>
                <w:lang w:eastAsia="en-GB"/>
              </w:rPr>
              <w:t>-0.79</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0.59</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705" w:type="dxa"/>
            <w:tcBorders>
              <w:top w:val="single" w:sz="4" w:space="0" w:color="000000"/>
              <w:left w:val="single" w:sz="4" w:space="0" w:color="000000"/>
              <w:bottom w:val="single" w:sz="4" w:space="0" w:color="000000"/>
              <w:right w:val="single" w:sz="4" w:space="0" w:color="000000"/>
            </w:tcBorders>
            <w:shd w:color="000000" w:fill="FFEB9C" w:val="clear"/>
            <w:vAlign w:val="bottom"/>
          </w:tcPr>
          <w:p>
            <w:pPr>
              <w:pStyle w:val="Normal"/>
              <w:spacing w:lineRule="auto" w:line="240" w:before="0" w:after="0"/>
              <w:jc w:val="right"/>
              <w:rPr>
                <w:rFonts w:ascii="Calibri" w:hAnsi="Calibri" w:eastAsia="Times New Roman" w:cs="Calibri"/>
                <w:color w:val="9C5700"/>
                <w:sz w:val="16"/>
                <w:szCs w:val="16"/>
                <w:lang w:eastAsia="en-GB"/>
              </w:rPr>
            </w:pPr>
            <w:r>
              <w:rPr>
                <w:rFonts w:eastAsia="Times New Roman" w:cs="Calibri"/>
                <w:color w:val="9C5700"/>
                <w:sz w:val="16"/>
                <w:szCs w:val="16"/>
                <w:lang w:eastAsia="en-GB"/>
              </w:rPr>
              <w:t>-0.73</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prod_cass</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prod_corn</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-0.29</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prod_sug</w:t>
            </w:r>
          </w:p>
        </w:tc>
        <w:tc>
          <w:tcPr>
            <w:tcW w:w="5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-0.48</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r>
      <w:tr>
        <w:trPr>
          <w:trHeight w:val="288" w:hRule="atLeast"/>
        </w:trPr>
        <w:tc>
          <w:tcPr>
            <w:tcW w:w="9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for_rem</w:t>
            </w:r>
          </w:p>
        </w:tc>
        <w:tc>
          <w:tcPr>
            <w:tcW w:w="589"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0.65</w:t>
            </w:r>
          </w:p>
        </w:tc>
        <w:tc>
          <w:tcPr>
            <w:tcW w:w="568"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0.65</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-0.60</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-0.55</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color="000000" w:fill="FFC7CE" w:val="clear"/>
            <w:vAlign w:val="bottom"/>
          </w:tcPr>
          <w:p>
            <w:pPr>
              <w:pStyle w:val="Normal"/>
              <w:spacing w:lineRule="auto" w:line="240" w:before="0" w:after="0"/>
              <w:jc w:val="right"/>
              <w:rPr>
                <w:rFonts w:ascii="Calibri" w:hAnsi="Calibri" w:eastAsia="Times New Roman" w:cs="Calibri"/>
                <w:color w:val="9C0006"/>
                <w:sz w:val="16"/>
                <w:szCs w:val="16"/>
                <w:lang w:eastAsia="en-GB"/>
              </w:rPr>
            </w:pPr>
            <w:r>
              <w:rPr>
                <w:rFonts w:eastAsia="Times New Roman" w:cs="Calibri"/>
                <w:color w:val="9C0006"/>
                <w:sz w:val="16"/>
                <w:szCs w:val="16"/>
                <w:lang w:eastAsia="en-GB"/>
              </w:rPr>
              <w:t>0.79</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c>
          <w:tcPr>
            <w:tcW w:w="568" w:type="dxa"/>
            <w:tcBorders>
              <w:top w:val="single" w:sz="4" w:space="0" w:color="000000"/>
              <w:left w:val="single" w:sz="4" w:space="0" w:color="000000"/>
              <w:bottom w:val="single" w:sz="4" w:space="0" w:color="000000"/>
              <w:right w:val="single" w:sz="4" w:space="0" w:color="000000"/>
            </w:tcBorders>
            <w:shd w:color="000000" w:fill="FFEB9C" w:val="clear"/>
            <w:vAlign w:val="bottom"/>
          </w:tcPr>
          <w:p>
            <w:pPr>
              <w:pStyle w:val="Normal"/>
              <w:spacing w:lineRule="auto" w:line="240" w:before="0" w:after="0"/>
              <w:jc w:val="right"/>
              <w:rPr>
                <w:rFonts w:ascii="Calibri" w:hAnsi="Calibri" w:eastAsia="Times New Roman" w:cs="Calibri"/>
                <w:color w:val="9C5700"/>
                <w:sz w:val="16"/>
                <w:szCs w:val="16"/>
                <w:lang w:eastAsia="en-GB"/>
              </w:rPr>
            </w:pPr>
            <w:r>
              <w:rPr>
                <w:rFonts w:eastAsia="Times New Roman" w:cs="Calibri"/>
                <w:color w:val="9C5700"/>
                <w:sz w:val="16"/>
                <w:szCs w:val="16"/>
                <w:lang w:eastAsia="en-GB"/>
              </w:rPr>
              <w:t>-0.73</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-0.51</w:t>
            </w:r>
          </w:p>
        </w:tc>
        <w:tc>
          <w:tcPr>
            <w:tcW w:w="7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r>
    </w:tbl>
    <w:p>
      <w:pPr>
        <w:pStyle w:val="Normal"/>
        <w:rPr/>
      </w:pPr>
      <w:r>
        <w:rPr/>
      </w:r>
    </w:p>
    <w:p>
      <w:pPr>
        <w:pStyle w:val="Normal"/>
        <w:rPr>
          <w:b/>
          <w:b/>
          <w:bCs/>
          <w:sz w:val="20"/>
          <w:szCs w:val="20"/>
        </w:rPr>
      </w:pPr>
      <w:r>
        <w:rPr>
          <w:b/>
          <w:bCs/>
          <w:sz w:val="20"/>
          <w:szCs w:val="20"/>
        </w:rPr>
        <w:t>Table S7. Correlation matrix for the socioeconomic variables. There were no coefficients greater than 0.6 or less than -0.6</w:t>
      </w:r>
    </w:p>
    <w:tbl>
      <w:tblPr>
        <w:tblW w:w="14029" w:type="dxa"/>
        <w:jc w:val="left"/>
        <w:tblInd w:w="0" w:type="dxa"/>
        <w:tblCellMar>
          <w:top w:w="0" w:type="dxa"/>
          <w:left w:w="108" w:type="dxa"/>
          <w:bottom w:w="0" w:type="dxa"/>
          <w:right w:w="108" w:type="dxa"/>
        </w:tblCellMar>
        <w:tblLook w:val="04a0" w:noHBand="0" w:noVBand="1" w:firstColumn="1" w:lastRow="0" w:lastColumn="0" w:firstRow="1"/>
      </w:tblPr>
      <w:tblGrid>
        <w:gridCol w:w="1127"/>
        <w:gridCol w:w="717"/>
        <w:gridCol w:w="717"/>
        <w:gridCol w:w="717"/>
        <w:gridCol w:w="716"/>
        <w:gridCol w:w="718"/>
        <w:gridCol w:w="717"/>
        <w:gridCol w:w="715"/>
        <w:gridCol w:w="717"/>
        <w:gridCol w:w="717"/>
        <w:gridCol w:w="717"/>
        <w:gridCol w:w="717"/>
        <w:gridCol w:w="717"/>
        <w:gridCol w:w="715"/>
        <w:gridCol w:w="717"/>
        <w:gridCol w:w="717"/>
        <w:gridCol w:w="717"/>
        <w:gridCol w:w="717"/>
        <w:gridCol w:w="716"/>
      </w:tblGrid>
      <w:tr>
        <w:trPr>
          <w:trHeight w:val="576"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Times New Roman" w:hAnsi="Times New Roman" w:eastAsia="Times New Roman" w:cs="Times New Roman"/>
                <w:sz w:val="16"/>
                <w:szCs w:val="16"/>
                <w:lang w:eastAsia="en-GB"/>
              </w:rPr>
            </w:pPr>
            <w:r>
              <w:rPr>
                <w:rFonts w:eastAsia="Times New Roman" w:cs="Times New Roman" w:ascii="Times New Roman" w:hAnsi="Times New Roman"/>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ind w:right="-84" w:hanging="0"/>
              <w:rPr>
                <w:rFonts w:ascii="Calibri" w:hAnsi="Calibri" w:eastAsia="Times New Roman" w:cs="Calibri"/>
                <w:color w:val="000000"/>
                <w:sz w:val="16"/>
                <w:szCs w:val="16"/>
                <w:lang w:eastAsia="en-GB"/>
              </w:rPr>
            </w:pPr>
            <w:r>
              <w:rPr>
                <w:rFonts w:eastAsia="Times New Roman" w:cs="Calibri"/>
                <w:color w:val="000000"/>
                <w:sz w:val="16"/>
                <w:szCs w:val="16"/>
                <w:lang w:eastAsia="en-GB"/>
              </w:rPr>
              <w:t>tot_pop</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prop_ind</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pop_den</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M6_24_sch</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propPrimSec</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propSecSec</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Les1_R_Land</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pig_fam</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dist_sch</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garbage</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KM_Comm</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land_confl</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crim_case</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Pax_migt_in</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Pax_migt_out</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mean_elev</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dist_border</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dist_provCap</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tot_pop</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0.42</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prop_ind</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-0.18</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pop_den</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M6_24_sch</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0.30</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propPrimSec</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-0.46</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propSecSec</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Les1_R_Land</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pig_fam</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0.50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dist_sch</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-0.37</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0.38</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garbage</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KM_Comm</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land_confl</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crim_case</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Pax_migt_in</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Pax_migt_out</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mean_elev</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0.47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-0.31</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dist_border</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r>
      <w:tr>
        <w:trPr>
          <w:trHeight w:val="288" w:hRule="atLeast"/>
        </w:trPr>
        <w:tc>
          <w:tcPr>
            <w:tcW w:w="1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6"/>
                <w:szCs w:val="16"/>
                <w:lang w:eastAsia="en-GB"/>
              </w:rPr>
            </w:pPr>
            <w:r>
              <w:rPr>
                <w:rFonts w:eastAsia="Times New Roman" w:cs="Calibri"/>
                <w:color w:val="000000"/>
                <w:sz w:val="16"/>
                <w:szCs w:val="16"/>
                <w:lang w:eastAsia="en-GB"/>
              </w:rPr>
              <w:t>dist_provCap</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-0.39</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-0.21</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0.27</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-0.09</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0.38</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0.24</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0.07</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16"/>
                <w:szCs w:val="16"/>
                <w:lang w:eastAsia="en-GB"/>
              </w:rPr>
            </w:pPr>
            <w:r>
              <w:rPr>
                <w:rFonts w:eastAsia="Times New Roman" w:cs="Calibri"/>
                <w:color w:val="000000"/>
                <w:sz w:val="16"/>
                <w:szCs w:val="16"/>
                <w:lang w:eastAsia="en-GB"/>
              </w:rPr>
            </w:r>
          </w:p>
        </w:tc>
      </w:tr>
    </w:tbl>
    <w:p>
      <w:pPr>
        <w:sectPr>
          <w:type w:val="nextPage"/>
          <w:pgSz w:orient="landscape" w:w="16838" w:h="11906"/>
          <w:pgMar w:left="1440" w:right="1440" w:header="0" w:top="1440" w:footer="0" w:bottom="1440" w:gutter="0"/>
          <w:pgNumType w:fmt="decimal"/>
          <w:formProt w:val="false"/>
          <w:textDirection w:val="lrTb"/>
          <w:docGrid w:type="default" w:linePitch="360" w:charSpace="4096"/>
        </w:sectPr>
        <w:pStyle w:val="Normal"/>
        <w:rPr/>
      </w:pPr>
      <w:r>
        <w:rPr/>
      </w:r>
    </w:p>
    <w:p>
      <w:pPr>
        <w:pStyle w:val="Normal"/>
        <w:rPr>
          <w:b/>
          <w:b/>
          <w:bCs/>
          <w:i/>
          <w:i/>
          <w:iCs/>
        </w:rPr>
      </w:pPr>
      <w:r>
        <w:rPr>
          <w:b/>
          <w:bCs/>
          <w:i/>
          <w:iCs/>
        </w:rPr>
        <w:t xml:space="preserve">Modelling </w:t>
      </w:r>
    </w:p>
    <w:p>
      <w:pPr>
        <w:pStyle w:val="Normal"/>
        <w:rPr>
          <w:i/>
          <w:i/>
          <w:iCs/>
        </w:rPr>
      </w:pPr>
      <w:r>
        <w:rPr>
          <w:i/>
          <w:iCs/>
        </w:rPr>
        <w:t>Socioeconomic models</w:t>
      </w:r>
    </w:p>
    <w:p>
      <w:pPr>
        <w:pStyle w:val="Normal"/>
        <w:rPr>
          <w:b/>
          <w:b/>
          <w:bCs/>
          <w:sz w:val="18"/>
          <w:szCs w:val="18"/>
        </w:rPr>
      </w:pPr>
      <w:r>
        <w:rPr>
          <w:b/>
          <w:bCs/>
          <w:sz w:val="18"/>
          <w:szCs w:val="18"/>
        </w:rPr>
        <w:t>Table S8. Within-set models for the commune-level socioeconomic analysis. Maximal within-set models were run followed by subsequent, less complex models, to identify the most important variables within each set. The variables with the largest effects were taken forward to the final candidate set. Only variables with negligible effects were dropped. If a variable set only had one variable it was automatically taken forward. All models included an offset term which was the logged commune area (km</w:t>
      </w:r>
      <w:r>
        <w:rPr>
          <w:b/>
          <w:bCs/>
          <w:sz w:val="18"/>
          <w:szCs w:val="18"/>
          <w:vertAlign w:val="superscript"/>
        </w:rPr>
        <w:t>2</w:t>
      </w:r>
      <w:r>
        <w:rPr>
          <w:b/>
          <w:bCs/>
          <w:sz w:val="18"/>
          <w:szCs w:val="18"/>
        </w:rPr>
        <w:t>), and a random effects structure of the form ~(year|Province/Commune)</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122"/>
        <w:gridCol w:w="1700"/>
        <w:gridCol w:w="1417"/>
        <w:gridCol w:w="1276"/>
        <w:gridCol w:w="1276"/>
        <w:gridCol w:w="1224"/>
      </w:tblGrid>
      <w:tr>
        <w:trPr/>
        <w:tc>
          <w:tcPr>
            <w:tcW w:w="2122" w:type="dxa"/>
            <w:tcBorders>
              <w:top w:val="single" w:sz="12" w:space="0" w:color="000000"/>
              <w:left w:val="nil"/>
              <w:bottom w:val="single" w:sz="12" w:space="0" w:color="000000"/>
              <w:right w:val="nil"/>
            </w:tcBorders>
          </w:tcPr>
          <w:p>
            <w:pPr>
              <w:pStyle w:val="Normal"/>
              <w:spacing w:lineRule="auto" w:line="240" w:before="0" w:after="0"/>
              <w:rPr>
                <w:sz w:val="18"/>
                <w:szCs w:val="18"/>
              </w:rPr>
            </w:pPr>
            <w:r>
              <w:rPr>
                <w:sz w:val="18"/>
                <w:szCs w:val="18"/>
              </w:rPr>
              <w:t>Model set / model</w:t>
            </w:r>
          </w:p>
        </w:tc>
        <w:tc>
          <w:tcPr>
            <w:tcW w:w="6893" w:type="dxa"/>
            <w:gridSpan w:val="5"/>
            <w:tcBorders>
              <w:top w:val="single" w:sz="12" w:space="0" w:color="000000"/>
              <w:left w:val="nil"/>
              <w:bottom w:val="single" w:sz="12" w:space="0" w:color="000000"/>
              <w:right w:val="nil"/>
            </w:tcBorders>
            <w:vAlign w:val="center"/>
          </w:tcPr>
          <w:p>
            <w:pPr>
              <w:pStyle w:val="Normal"/>
              <w:spacing w:lineRule="auto" w:line="240" w:before="0" w:after="0"/>
              <w:jc w:val="center"/>
              <w:rPr>
                <w:sz w:val="18"/>
                <w:szCs w:val="18"/>
              </w:rPr>
            </w:pPr>
            <w:r>
              <w:rPr>
                <w:sz w:val="18"/>
                <w:szCs w:val="18"/>
              </w:rPr>
              <w:t>Variables</w:t>
            </w:r>
          </w:p>
        </w:tc>
      </w:tr>
      <w:tr>
        <w:trPr/>
        <w:tc>
          <w:tcPr>
            <w:tcW w:w="2122" w:type="dxa"/>
            <w:tcBorders>
              <w:top w:val="single" w:sz="12" w:space="0" w:color="000000"/>
              <w:left w:val="nil"/>
              <w:bottom w:val="nil"/>
              <w:right w:val="nil"/>
            </w:tcBorders>
          </w:tcPr>
          <w:p>
            <w:pPr>
              <w:pStyle w:val="Normal"/>
              <w:spacing w:lineRule="auto" w:line="240" w:before="0" w:after="0"/>
              <w:rPr>
                <w:i/>
                <w:i/>
                <w:iCs/>
                <w:sz w:val="18"/>
                <w:szCs w:val="18"/>
              </w:rPr>
            </w:pPr>
            <w:r>
              <w:rPr>
                <w:i/>
                <w:iCs/>
                <w:sz w:val="18"/>
                <w:szCs w:val="18"/>
              </w:rPr>
              <w:t>Population demographics</w:t>
            </w:r>
          </w:p>
        </w:tc>
        <w:tc>
          <w:tcPr>
            <w:tcW w:w="1700" w:type="dxa"/>
            <w:tcBorders>
              <w:top w:val="single" w:sz="12"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12"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12"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12"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12"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popdem.m1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Population density</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Proportion indigenous</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popdem.m2</w:t>
            </w:r>
          </w:p>
        </w:tc>
        <w:tc>
          <w:tcPr>
            <w:tcW w:w="1700"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Population density</w:t>
            </w:r>
          </w:p>
        </w:tc>
        <w:tc>
          <w:tcPr>
            <w:tcW w:w="1417"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24"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r>
      <w:tr>
        <w:trPr/>
        <w:tc>
          <w:tcPr>
            <w:tcW w:w="2122" w:type="dxa"/>
            <w:tcBorders>
              <w:top w:val="single" w:sz="6" w:space="0" w:color="000000"/>
              <w:left w:val="nil"/>
              <w:bottom w:val="nil"/>
              <w:right w:val="nil"/>
            </w:tcBorders>
          </w:tcPr>
          <w:p>
            <w:pPr>
              <w:pStyle w:val="Normal"/>
              <w:spacing w:lineRule="auto" w:line="240" w:before="0" w:after="0"/>
              <w:rPr>
                <w:i/>
                <w:i/>
                <w:iCs/>
                <w:sz w:val="18"/>
                <w:szCs w:val="18"/>
              </w:rPr>
            </w:pPr>
            <w:r>
              <w:rPr>
                <w:i/>
                <w:iCs/>
                <w:sz w:val="18"/>
                <w:szCs w:val="18"/>
              </w:rPr>
              <w:t>Education</w:t>
            </w:r>
          </w:p>
        </w:tc>
        <w:tc>
          <w:tcPr>
            <w:tcW w:w="1700"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single" w:sz="6" w:space="0" w:color="000000"/>
              <w:right w:val="nil"/>
            </w:tcBorders>
          </w:tcPr>
          <w:p>
            <w:pPr>
              <w:pStyle w:val="Normal"/>
              <w:spacing w:lineRule="auto" w:line="240" w:before="0" w:after="0"/>
              <w:rPr>
                <w:sz w:val="18"/>
                <w:szCs w:val="18"/>
              </w:rPr>
            </w:pPr>
            <w:r>
              <w:rPr>
                <w:sz w:val="18"/>
                <w:szCs w:val="18"/>
              </w:rPr>
              <w:t>edu.m1</w:t>
            </w:r>
          </w:p>
        </w:tc>
        <w:tc>
          <w:tcPr>
            <w:tcW w:w="1700"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Proportion males in school</w:t>
            </w:r>
          </w:p>
        </w:tc>
        <w:tc>
          <w:tcPr>
            <w:tcW w:w="1417"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24"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r>
      <w:tr>
        <w:trPr/>
        <w:tc>
          <w:tcPr>
            <w:tcW w:w="2122" w:type="dxa"/>
            <w:tcBorders>
              <w:top w:val="single" w:sz="6" w:space="0" w:color="000000"/>
              <w:left w:val="nil"/>
              <w:bottom w:val="nil"/>
              <w:right w:val="nil"/>
            </w:tcBorders>
          </w:tcPr>
          <w:p>
            <w:pPr>
              <w:pStyle w:val="Normal"/>
              <w:spacing w:lineRule="auto" w:line="240" w:before="0" w:after="0"/>
              <w:rPr>
                <w:i/>
                <w:i/>
                <w:iCs/>
                <w:sz w:val="18"/>
                <w:szCs w:val="18"/>
              </w:rPr>
            </w:pPr>
            <w:r>
              <w:rPr>
                <w:i/>
                <w:iCs/>
                <w:sz w:val="18"/>
                <w:szCs w:val="18"/>
              </w:rPr>
              <w:t>Employment</w:t>
            </w:r>
          </w:p>
        </w:tc>
        <w:tc>
          <w:tcPr>
            <w:tcW w:w="1700"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emp.m1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Proportion primary sector</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Proportion secondary sector</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single" w:sz="6" w:space="0" w:color="000000"/>
              <w:right w:val="nil"/>
            </w:tcBorders>
          </w:tcPr>
          <w:p>
            <w:pPr>
              <w:pStyle w:val="Normal"/>
              <w:spacing w:lineRule="auto" w:line="240" w:before="0" w:after="0"/>
              <w:rPr>
                <w:sz w:val="18"/>
                <w:szCs w:val="18"/>
              </w:rPr>
            </w:pPr>
            <w:r>
              <w:rPr>
                <w:sz w:val="18"/>
                <w:szCs w:val="18"/>
              </w:rPr>
              <w:t>emp.m2</w:t>
            </w:r>
          </w:p>
        </w:tc>
        <w:tc>
          <w:tcPr>
            <w:tcW w:w="1700"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Proportion primary sector</w:t>
            </w:r>
          </w:p>
        </w:tc>
        <w:tc>
          <w:tcPr>
            <w:tcW w:w="1417"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24"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r>
      <w:tr>
        <w:trPr/>
        <w:tc>
          <w:tcPr>
            <w:tcW w:w="2122" w:type="dxa"/>
            <w:tcBorders>
              <w:top w:val="single" w:sz="6" w:space="0" w:color="000000"/>
              <w:left w:val="nil"/>
              <w:bottom w:val="nil"/>
              <w:right w:val="nil"/>
            </w:tcBorders>
          </w:tcPr>
          <w:p>
            <w:pPr>
              <w:pStyle w:val="Normal"/>
              <w:spacing w:lineRule="auto" w:line="240" w:before="0" w:after="0"/>
              <w:rPr>
                <w:i/>
                <w:i/>
                <w:iCs/>
                <w:sz w:val="18"/>
                <w:szCs w:val="18"/>
              </w:rPr>
            </w:pPr>
            <w:r>
              <w:rPr>
                <w:i/>
                <w:iCs/>
                <w:sz w:val="18"/>
                <w:szCs w:val="18"/>
              </w:rPr>
              <w:t xml:space="preserve">Economic security </w:t>
            </w:r>
          </w:p>
        </w:tc>
        <w:tc>
          <w:tcPr>
            <w:tcW w:w="1700"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econ.m1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Proportion no farmland</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Proportion with pigs</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single" w:sz="6" w:space="0" w:color="000000"/>
              <w:right w:val="nil"/>
            </w:tcBorders>
          </w:tcPr>
          <w:p>
            <w:pPr>
              <w:pStyle w:val="Normal"/>
              <w:spacing w:lineRule="auto" w:line="240" w:before="0" w:after="0"/>
              <w:rPr>
                <w:sz w:val="18"/>
                <w:szCs w:val="18"/>
              </w:rPr>
            </w:pPr>
            <w:r>
              <w:rPr>
                <w:sz w:val="18"/>
                <w:szCs w:val="18"/>
              </w:rPr>
              <w:t>econ.m2</w:t>
            </w:r>
          </w:p>
        </w:tc>
        <w:tc>
          <w:tcPr>
            <w:tcW w:w="1700" w:type="dxa"/>
            <w:tcBorders>
              <w:top w:val="nil"/>
              <w:left w:val="nil"/>
              <w:bottom w:val="single" w:sz="6" w:space="0" w:color="000000"/>
              <w:right w:val="nil"/>
            </w:tcBorders>
          </w:tcPr>
          <w:p>
            <w:pPr>
              <w:pStyle w:val="Normal"/>
              <w:spacing w:lineRule="auto" w:line="240" w:before="0" w:after="0"/>
              <w:rPr>
                <w:sz w:val="18"/>
                <w:szCs w:val="18"/>
              </w:rPr>
            </w:pPr>
            <w:r>
              <w:rPr>
                <w:sz w:val="18"/>
                <w:szCs w:val="18"/>
              </w:rPr>
              <w:t>Proportion with pigs</w:t>
            </w:r>
          </w:p>
        </w:tc>
        <w:tc>
          <w:tcPr>
            <w:tcW w:w="1417"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24"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r>
      <w:tr>
        <w:trPr/>
        <w:tc>
          <w:tcPr>
            <w:tcW w:w="2122" w:type="dxa"/>
            <w:tcBorders>
              <w:top w:val="single" w:sz="6" w:space="0" w:color="000000"/>
              <w:left w:val="nil"/>
              <w:bottom w:val="nil"/>
              <w:right w:val="nil"/>
            </w:tcBorders>
          </w:tcPr>
          <w:p>
            <w:pPr>
              <w:pStyle w:val="Normal"/>
              <w:spacing w:lineRule="auto" w:line="240" w:before="0" w:after="0"/>
              <w:rPr>
                <w:i/>
                <w:i/>
                <w:iCs/>
                <w:sz w:val="18"/>
                <w:szCs w:val="18"/>
              </w:rPr>
            </w:pPr>
            <w:r>
              <w:rPr>
                <w:i/>
                <w:iCs/>
                <w:sz w:val="18"/>
                <w:szCs w:val="18"/>
              </w:rPr>
              <w:t>Access to services</w:t>
            </w:r>
          </w:p>
        </w:tc>
        <w:tc>
          <w:tcPr>
            <w:tcW w:w="1700"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acc.m1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school</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Access to waste collection</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t>Distance to commune office</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acc.m2</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school</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Access to waste collection</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single" w:sz="6" w:space="0" w:color="000000"/>
              <w:right w:val="nil"/>
            </w:tcBorders>
          </w:tcPr>
          <w:p>
            <w:pPr>
              <w:pStyle w:val="Normal"/>
              <w:spacing w:lineRule="auto" w:line="240" w:before="0" w:after="0"/>
              <w:rPr>
                <w:sz w:val="18"/>
                <w:szCs w:val="18"/>
              </w:rPr>
            </w:pPr>
            <w:r>
              <w:rPr>
                <w:sz w:val="18"/>
                <w:szCs w:val="18"/>
              </w:rPr>
              <w:t>acc.m3</w:t>
            </w:r>
          </w:p>
        </w:tc>
        <w:tc>
          <w:tcPr>
            <w:tcW w:w="1700" w:type="dxa"/>
            <w:tcBorders>
              <w:top w:val="nil"/>
              <w:left w:val="nil"/>
              <w:bottom w:val="single" w:sz="6" w:space="0" w:color="000000"/>
              <w:right w:val="nil"/>
            </w:tcBorders>
          </w:tcPr>
          <w:p>
            <w:pPr>
              <w:pStyle w:val="Normal"/>
              <w:spacing w:lineRule="auto" w:line="240" w:before="0" w:after="0"/>
              <w:rPr>
                <w:sz w:val="18"/>
                <w:szCs w:val="18"/>
              </w:rPr>
            </w:pPr>
            <w:r>
              <w:rPr>
                <w:sz w:val="18"/>
                <w:szCs w:val="18"/>
              </w:rPr>
              <w:t>Access to waste collection</w:t>
            </w:r>
          </w:p>
        </w:tc>
        <w:tc>
          <w:tcPr>
            <w:tcW w:w="1417"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24"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r>
      <w:tr>
        <w:trPr/>
        <w:tc>
          <w:tcPr>
            <w:tcW w:w="2122" w:type="dxa"/>
            <w:tcBorders>
              <w:top w:val="single" w:sz="6" w:space="0" w:color="000000"/>
              <w:left w:val="nil"/>
              <w:bottom w:val="nil"/>
              <w:right w:val="nil"/>
            </w:tcBorders>
          </w:tcPr>
          <w:p>
            <w:pPr>
              <w:pStyle w:val="Normal"/>
              <w:spacing w:lineRule="auto" w:line="240" w:before="0" w:after="0"/>
              <w:rPr>
                <w:i/>
                <w:i/>
                <w:iCs/>
                <w:sz w:val="18"/>
                <w:szCs w:val="18"/>
              </w:rPr>
            </w:pPr>
            <w:r>
              <w:rPr>
                <w:i/>
                <w:iCs/>
                <w:sz w:val="18"/>
                <w:szCs w:val="18"/>
              </w:rPr>
              <w:t>Social justice</w:t>
            </w:r>
          </w:p>
        </w:tc>
        <w:tc>
          <w:tcPr>
            <w:tcW w:w="1700"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jus.m1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Criminal cases</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Land conflicts</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single" w:sz="6" w:space="0" w:color="000000"/>
              <w:right w:val="nil"/>
            </w:tcBorders>
          </w:tcPr>
          <w:p>
            <w:pPr>
              <w:pStyle w:val="Normal"/>
              <w:spacing w:lineRule="auto" w:line="240" w:before="0" w:after="0"/>
              <w:rPr>
                <w:sz w:val="18"/>
                <w:szCs w:val="18"/>
              </w:rPr>
            </w:pPr>
            <w:r>
              <w:rPr>
                <w:sz w:val="18"/>
                <w:szCs w:val="18"/>
              </w:rPr>
              <w:t>jus.m2</w:t>
            </w:r>
          </w:p>
        </w:tc>
        <w:tc>
          <w:tcPr>
            <w:tcW w:w="1700" w:type="dxa"/>
            <w:tcBorders>
              <w:top w:val="nil"/>
              <w:left w:val="nil"/>
              <w:bottom w:val="single" w:sz="6" w:space="0" w:color="000000"/>
              <w:right w:val="nil"/>
            </w:tcBorders>
          </w:tcPr>
          <w:p>
            <w:pPr>
              <w:pStyle w:val="Normal"/>
              <w:spacing w:lineRule="auto" w:line="240" w:before="0" w:after="0"/>
              <w:rPr>
                <w:sz w:val="18"/>
                <w:szCs w:val="18"/>
              </w:rPr>
            </w:pPr>
            <w:r>
              <w:rPr>
                <w:sz w:val="18"/>
                <w:szCs w:val="18"/>
              </w:rPr>
              <w:t>Criminal cases</w:t>
            </w:r>
          </w:p>
        </w:tc>
        <w:tc>
          <w:tcPr>
            <w:tcW w:w="1417"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24"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r>
      <w:tr>
        <w:trPr/>
        <w:tc>
          <w:tcPr>
            <w:tcW w:w="2122" w:type="dxa"/>
            <w:tcBorders>
              <w:top w:val="single" w:sz="6" w:space="0" w:color="000000"/>
              <w:left w:val="nil"/>
              <w:bottom w:val="nil"/>
              <w:right w:val="nil"/>
            </w:tcBorders>
          </w:tcPr>
          <w:p>
            <w:pPr>
              <w:pStyle w:val="Normal"/>
              <w:spacing w:lineRule="auto" w:line="240" w:before="0" w:after="0"/>
              <w:rPr>
                <w:i/>
                <w:i/>
                <w:iCs/>
                <w:sz w:val="18"/>
                <w:szCs w:val="18"/>
              </w:rPr>
            </w:pPr>
            <w:r>
              <w:rPr>
                <w:i/>
                <w:iCs/>
                <w:sz w:val="18"/>
                <w:szCs w:val="18"/>
              </w:rPr>
              <w:t>Migration</w:t>
            </w:r>
          </w:p>
        </w:tc>
        <w:tc>
          <w:tcPr>
            <w:tcW w:w="1700"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mig.m1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In-migration *</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Out-migration</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mig.m2</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In-migration</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Out-migration</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mig.m3</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Out-migration</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single" w:sz="6" w:space="0" w:color="000000"/>
              <w:right w:val="nil"/>
            </w:tcBorders>
          </w:tcPr>
          <w:p>
            <w:pPr>
              <w:pStyle w:val="Normal"/>
              <w:spacing w:lineRule="auto" w:line="240" w:before="0" w:after="0"/>
              <w:rPr>
                <w:sz w:val="18"/>
                <w:szCs w:val="18"/>
              </w:rPr>
            </w:pPr>
            <w:r>
              <w:rPr>
                <w:sz w:val="18"/>
                <w:szCs w:val="18"/>
              </w:rPr>
              <w:t>mig.m4</w:t>
            </w:r>
          </w:p>
        </w:tc>
        <w:tc>
          <w:tcPr>
            <w:tcW w:w="1700" w:type="dxa"/>
            <w:tcBorders>
              <w:top w:val="nil"/>
              <w:left w:val="nil"/>
              <w:bottom w:val="single" w:sz="6" w:space="0" w:color="000000"/>
              <w:right w:val="nil"/>
            </w:tcBorders>
          </w:tcPr>
          <w:p>
            <w:pPr>
              <w:pStyle w:val="Normal"/>
              <w:spacing w:lineRule="auto" w:line="240" w:before="0" w:after="0"/>
              <w:rPr>
                <w:sz w:val="18"/>
                <w:szCs w:val="18"/>
              </w:rPr>
            </w:pPr>
            <w:r>
              <w:rPr>
                <w:sz w:val="18"/>
                <w:szCs w:val="18"/>
              </w:rPr>
              <w:t>In-migration</w:t>
            </w:r>
          </w:p>
        </w:tc>
        <w:tc>
          <w:tcPr>
            <w:tcW w:w="1417"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76"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c>
          <w:tcPr>
            <w:tcW w:w="1224" w:type="dxa"/>
            <w:tcBorders>
              <w:top w:val="nil"/>
              <w:left w:val="nil"/>
              <w:bottom w:val="single" w:sz="6" w:space="0" w:color="000000"/>
              <w:right w:val="nil"/>
            </w:tcBorders>
          </w:tcPr>
          <w:p>
            <w:pPr>
              <w:pStyle w:val="Normal"/>
              <w:spacing w:lineRule="auto" w:line="240" w:before="0" w:after="0"/>
              <w:rPr>
                <w:sz w:val="18"/>
                <w:szCs w:val="18"/>
              </w:rPr>
            </w:pPr>
            <w:r>
              <w:rPr>
                <w:sz w:val="18"/>
                <w:szCs w:val="18"/>
              </w:rPr>
            </w:r>
          </w:p>
        </w:tc>
      </w:tr>
      <w:tr>
        <w:trPr/>
        <w:tc>
          <w:tcPr>
            <w:tcW w:w="2122" w:type="dxa"/>
            <w:tcBorders>
              <w:top w:val="single" w:sz="6" w:space="0" w:color="000000"/>
              <w:left w:val="nil"/>
              <w:bottom w:val="nil"/>
              <w:right w:val="nil"/>
            </w:tcBorders>
          </w:tcPr>
          <w:p>
            <w:pPr>
              <w:pStyle w:val="Normal"/>
              <w:spacing w:lineRule="auto" w:line="240" w:before="0" w:after="0"/>
              <w:rPr>
                <w:i/>
                <w:i/>
                <w:iCs/>
                <w:sz w:val="18"/>
                <w:szCs w:val="18"/>
              </w:rPr>
            </w:pPr>
            <w:r>
              <w:rPr>
                <w:i/>
                <w:iCs/>
                <w:sz w:val="18"/>
                <w:szCs w:val="18"/>
              </w:rPr>
              <w:t>Control</w:t>
            </w:r>
          </w:p>
        </w:tc>
        <w:tc>
          <w:tcPr>
            <w:tcW w:w="1700"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417"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76"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c>
          <w:tcPr>
            <w:tcW w:w="1224" w:type="dxa"/>
            <w:tcBorders>
              <w:top w:val="single" w:sz="6" w:space="0" w:color="000000"/>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env.m1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 xml:space="preserve">Elevation </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2122" w:type="dxa"/>
            <w:tcBorders>
              <w:top w:val="nil"/>
              <w:left w:val="nil"/>
              <w:bottom w:val="nil"/>
              <w:right w:val="nil"/>
            </w:tcBorders>
          </w:tcPr>
          <w:p>
            <w:pPr>
              <w:pStyle w:val="Normal"/>
              <w:spacing w:lineRule="auto" w:line="240" w:before="0" w:after="0"/>
              <w:rPr>
                <w:sz w:val="18"/>
                <w:szCs w:val="18"/>
              </w:rPr>
            </w:pPr>
            <w:r>
              <w:rPr>
                <w:sz w:val="18"/>
                <w:szCs w:val="18"/>
              </w:rPr>
              <w:t>hum.m1</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International border</w:t>
            </w:r>
          </w:p>
        </w:tc>
        <w:tc>
          <w:tcPr>
            <w:tcW w:w="1417"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t>Presence of ELC</w:t>
            </w:r>
          </w:p>
        </w:tc>
        <w:tc>
          <w:tcPr>
            <w:tcW w:w="1276" w:type="dxa"/>
            <w:tcBorders>
              <w:top w:val="nil"/>
              <w:left w:val="nil"/>
              <w:bottom w:val="nil"/>
              <w:right w:val="nil"/>
            </w:tcBorders>
          </w:tcPr>
          <w:p>
            <w:pPr>
              <w:pStyle w:val="Normal"/>
              <w:spacing w:lineRule="auto" w:line="240" w:before="0" w:after="0"/>
              <w:rPr>
                <w:sz w:val="18"/>
                <w:szCs w:val="18"/>
              </w:rPr>
            </w:pPr>
            <w:r>
              <w:rPr>
                <w:sz w:val="18"/>
                <w:szCs w:val="18"/>
              </w:rPr>
              <w:t>Presence of PA</w:t>
            </w:r>
          </w:p>
        </w:tc>
        <w:tc>
          <w:tcPr>
            <w:tcW w:w="1224" w:type="dxa"/>
            <w:tcBorders>
              <w:top w:val="nil"/>
              <w:left w:val="nil"/>
              <w:bottom w:val="nil"/>
              <w:right w:val="nil"/>
            </w:tcBorders>
          </w:tcPr>
          <w:p>
            <w:pPr>
              <w:pStyle w:val="Normal"/>
              <w:spacing w:lineRule="auto" w:line="240" w:before="0" w:after="0"/>
              <w:rPr>
                <w:sz w:val="18"/>
                <w:szCs w:val="18"/>
              </w:rPr>
            </w:pPr>
            <w:r>
              <w:rPr>
                <w:sz w:val="18"/>
                <w:szCs w:val="18"/>
              </w:rPr>
              <w:t>PA category</w:t>
            </w:r>
          </w:p>
        </w:tc>
      </w:tr>
      <w:tr>
        <w:trPr/>
        <w:tc>
          <w:tcPr>
            <w:tcW w:w="2122" w:type="dxa"/>
            <w:tcBorders>
              <w:top w:val="nil"/>
              <w:left w:val="nil"/>
              <w:bottom w:val="single" w:sz="12" w:space="0" w:color="000000"/>
              <w:right w:val="nil"/>
            </w:tcBorders>
          </w:tcPr>
          <w:p>
            <w:pPr>
              <w:pStyle w:val="Normal"/>
              <w:spacing w:lineRule="auto" w:line="240" w:before="0" w:after="0"/>
              <w:rPr>
                <w:sz w:val="18"/>
                <w:szCs w:val="18"/>
              </w:rPr>
            </w:pPr>
            <w:r>
              <w:rPr>
                <w:sz w:val="18"/>
                <w:szCs w:val="18"/>
              </w:rPr>
              <w:t>hum.m2</w:t>
            </w:r>
          </w:p>
        </w:tc>
        <w:tc>
          <w:tcPr>
            <w:tcW w:w="1700" w:type="dxa"/>
            <w:tcBorders>
              <w:top w:val="nil"/>
              <w:left w:val="nil"/>
              <w:bottom w:val="single" w:sz="12" w:space="0" w:color="000000"/>
              <w:right w:val="nil"/>
            </w:tcBorders>
          </w:tcPr>
          <w:p>
            <w:pPr>
              <w:pStyle w:val="Normal"/>
              <w:spacing w:lineRule="auto" w:line="240" w:before="0" w:after="0"/>
              <w:rPr>
                <w:sz w:val="18"/>
                <w:szCs w:val="18"/>
              </w:rPr>
            </w:pPr>
            <w:r>
              <w:rPr>
                <w:sz w:val="18"/>
                <w:szCs w:val="18"/>
              </w:rPr>
              <w:t>Distance to International border</w:t>
            </w:r>
          </w:p>
        </w:tc>
        <w:tc>
          <w:tcPr>
            <w:tcW w:w="1417" w:type="dxa"/>
            <w:tcBorders>
              <w:top w:val="nil"/>
              <w:left w:val="nil"/>
              <w:bottom w:val="single" w:sz="12" w:space="0" w:color="000000"/>
              <w:right w:val="nil"/>
            </w:tcBorders>
          </w:tcPr>
          <w:p>
            <w:pPr>
              <w:pStyle w:val="Normal"/>
              <w:spacing w:lineRule="auto" w:line="240" w:before="0" w:after="0"/>
              <w:rPr>
                <w:sz w:val="18"/>
                <w:szCs w:val="18"/>
              </w:rPr>
            </w:pPr>
            <w:r>
              <w:rPr>
                <w:sz w:val="18"/>
                <w:szCs w:val="18"/>
              </w:rPr>
              <w:t>Distance to provincial capital</w:t>
            </w:r>
          </w:p>
        </w:tc>
        <w:tc>
          <w:tcPr>
            <w:tcW w:w="1276" w:type="dxa"/>
            <w:tcBorders>
              <w:top w:val="nil"/>
              <w:left w:val="nil"/>
              <w:bottom w:val="single" w:sz="12" w:space="0" w:color="000000"/>
              <w:right w:val="nil"/>
            </w:tcBorders>
          </w:tcPr>
          <w:p>
            <w:pPr>
              <w:pStyle w:val="Normal"/>
              <w:spacing w:lineRule="auto" w:line="240" w:before="0" w:after="0"/>
              <w:rPr>
                <w:sz w:val="18"/>
                <w:szCs w:val="18"/>
              </w:rPr>
            </w:pPr>
            <w:r>
              <w:rPr>
                <w:sz w:val="18"/>
                <w:szCs w:val="18"/>
              </w:rPr>
              <w:t>Presence of ELC</w:t>
            </w:r>
          </w:p>
        </w:tc>
        <w:tc>
          <w:tcPr>
            <w:tcW w:w="1276" w:type="dxa"/>
            <w:tcBorders>
              <w:top w:val="nil"/>
              <w:left w:val="nil"/>
              <w:bottom w:val="single" w:sz="12" w:space="0" w:color="000000"/>
              <w:right w:val="nil"/>
            </w:tcBorders>
          </w:tcPr>
          <w:p>
            <w:pPr>
              <w:pStyle w:val="Normal"/>
              <w:spacing w:lineRule="auto" w:line="240" w:before="0" w:after="0"/>
              <w:rPr>
                <w:sz w:val="18"/>
                <w:szCs w:val="18"/>
              </w:rPr>
            </w:pPr>
            <w:r>
              <w:rPr>
                <w:sz w:val="18"/>
                <w:szCs w:val="18"/>
              </w:rPr>
              <w:t>Presence of PA</w:t>
            </w:r>
          </w:p>
        </w:tc>
        <w:tc>
          <w:tcPr>
            <w:tcW w:w="1224" w:type="dxa"/>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r>
    </w:tbl>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pPr>
      <w:r>
        <w:rPr/>
        <w:t xml:space="preserve">* </w:t>
      </w:r>
      <w:r>
        <w:rPr>
          <w:sz w:val="18"/>
          <w:szCs w:val="18"/>
        </w:rPr>
        <w:t>Indicates interaction</w:t>
      </w:r>
      <w:r>
        <w:rPr/>
        <w:t xml:space="preserve"> </w:t>
      </w:r>
    </w:p>
    <w:p>
      <w:pPr>
        <w:pStyle w:val="Normal"/>
        <w:rPr>
          <w:b/>
          <w:b/>
          <w:bCs/>
          <w:sz w:val="24"/>
          <w:szCs w:val="24"/>
        </w:rPr>
      </w:pPr>
      <w:r>
        <w:rPr>
          <w:b/>
          <w:bCs/>
          <w:sz w:val="24"/>
          <w:szCs w:val="24"/>
        </w:rPr>
        <w:t xml:space="preserve">Results </w:t>
      </w:r>
    </w:p>
    <w:p>
      <w:pPr>
        <w:pStyle w:val="Normal"/>
        <w:rPr>
          <w:b/>
          <w:b/>
          <w:bCs/>
          <w:i/>
          <w:i/>
          <w:iCs/>
        </w:rPr>
      </w:pPr>
      <w:r>
        <w:rPr>
          <w:b/>
          <w:bCs/>
          <w:i/>
          <w:iCs/>
        </w:rPr>
        <w:t>Macroeconomic analysis</w:t>
      </w:r>
    </w:p>
    <w:p>
      <w:pPr>
        <w:pStyle w:val="Normal"/>
        <w:rPr>
          <w:i/>
          <w:i/>
          <w:iCs/>
        </w:rPr>
      </w:pPr>
      <w:r>
        <w:rPr>
          <w:i/>
          <w:iCs/>
        </w:rPr>
        <w:t>Models with forest loss as the response</w:t>
      </w:r>
    </w:p>
    <w:p>
      <w:pPr>
        <w:pStyle w:val="Normal"/>
        <w:rPr>
          <w:i/>
          <w:i/>
          <w:iCs/>
        </w:rPr>
      </w:pPr>
      <w:r>
        <w:rPr>
          <w:i/>
          <w:iCs/>
        </w:rPr>
      </w:r>
    </w:p>
    <w:p>
      <w:pPr>
        <w:pStyle w:val="Normal"/>
        <w:rPr/>
      </w:pPr>
      <w:r>
        <w:rPr/>
        <w:drawing>
          <wp:inline distT="0" distB="0" distL="0" distR="0">
            <wp:extent cx="5731510" cy="573151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731510" cy="5731510"/>
                    </a:xfrm>
                    <a:prstGeom prst="rect">
                      <a:avLst/>
                    </a:prstGeom>
                  </pic:spPr>
                </pic:pic>
              </a:graphicData>
            </a:graphic>
          </wp:inline>
        </w:drawing>
      </w:r>
    </w:p>
    <w:p>
      <w:pPr>
        <w:pStyle w:val="Normal"/>
        <w:rPr>
          <w:b/>
          <w:b/>
          <w:bCs/>
          <w:sz w:val="18"/>
          <w:szCs w:val="18"/>
        </w:rPr>
      </w:pPr>
      <w:r>
        <w:rPr>
          <w:b/>
          <w:bCs/>
          <w:sz w:val="18"/>
          <w:szCs w:val="18"/>
        </w:rPr>
        <w:t>Figure S2. Predicted relationship between rate of forest loss and macroeconomic variables. All y-axes are the amount of forest lost in km</w:t>
      </w:r>
      <w:r>
        <w:rPr>
          <w:b/>
          <w:bCs/>
          <w:sz w:val="18"/>
          <w:szCs w:val="18"/>
          <w:vertAlign w:val="superscript"/>
        </w:rPr>
        <w:t>2</w:t>
      </w:r>
      <w:r>
        <w:rPr>
          <w:b/>
          <w:bCs/>
          <w:sz w:val="18"/>
          <w:szCs w:val="18"/>
        </w:rPr>
        <w:t xml:space="preserve">. 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drawing>
          <wp:inline distT="0" distB="0" distL="0" distR="0">
            <wp:extent cx="5731510" cy="5731510"/>
            <wp:effectExtent l="0" t="0" r="0" b="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4"/>
                    <a:stretch>
                      <a:fillRect/>
                    </a:stretch>
                  </pic:blipFill>
                  <pic:spPr bwMode="auto">
                    <a:xfrm>
                      <a:off x="0" y="0"/>
                      <a:ext cx="5731510" cy="5731510"/>
                    </a:xfrm>
                    <a:prstGeom prst="rect">
                      <a:avLst/>
                    </a:prstGeom>
                  </pic:spPr>
                </pic:pic>
              </a:graphicData>
            </a:graphic>
          </wp:inline>
        </w:drawing>
      </w:r>
    </w:p>
    <w:p>
      <w:pPr>
        <w:pStyle w:val="Normal"/>
        <w:rPr>
          <w:b/>
          <w:b/>
          <w:bCs/>
          <w:sz w:val="18"/>
          <w:szCs w:val="18"/>
        </w:rPr>
      </w:pPr>
      <w:r>
        <w:rPr>
          <w:b/>
          <w:bCs/>
          <w:sz w:val="18"/>
          <w:szCs w:val="18"/>
        </w:rPr>
        <w:t xml:space="preserve">Figure S3. </w:t>
      </w:r>
      <w:commentRangeStart w:id="0"/>
      <w:r>
        <w:rPr>
          <w:b/>
          <w:bCs/>
          <w:sz w:val="18"/>
          <w:szCs w:val="18"/>
        </w:rPr>
        <w:t>Predicted relationship between forest loss and commodity variables.</w:t>
      </w:r>
      <w:r>
        <w:rPr>
          <w:b/>
          <w:bCs/>
          <w:sz w:val="18"/>
          <w:szCs w:val="18"/>
        </w:rPr>
      </w:r>
      <w:commentRangeEnd w:id="0"/>
      <w:r>
        <w:commentReference w:id="0"/>
      </w:r>
      <w:r>
        <w:rPr>
          <w:b/>
          <w:bCs/>
          <w:sz w:val="18"/>
          <w:szCs w:val="18"/>
        </w:rPr>
        <w:t xml:space="preserve"> All y-axes are the amount of forest lost in km</w:t>
      </w:r>
      <w:r>
        <w:rPr>
          <w:b/>
          <w:bCs/>
          <w:sz w:val="18"/>
          <w:szCs w:val="18"/>
          <w:vertAlign w:val="superscript"/>
        </w:rPr>
        <w:t>2</w:t>
      </w:r>
      <w:r>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Pr>
          <w:b/>
          <w:bCs/>
          <w:sz w:val="18"/>
          <w:szCs w:val="18"/>
          <w:vertAlign w:val="superscript"/>
        </w:rPr>
        <w:t>3</w:t>
      </w:r>
      <w:r>
        <w:rPr>
          <w:b/>
          <w:bCs/>
          <w:sz w:val="18"/>
          <w:szCs w:val="18"/>
        </w:rPr>
        <w:t xml:space="preserve">). 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drawing>
          <wp:inline distT="0" distB="0" distL="0" distR="0">
            <wp:extent cx="5731510" cy="573151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731510" cy="5731510"/>
                    </a:xfrm>
                    <a:prstGeom prst="rect">
                      <a:avLst/>
                    </a:prstGeom>
                  </pic:spPr>
                </pic:pic>
              </a:graphicData>
            </a:graphic>
          </wp:inline>
        </w:drawing>
      </w:r>
    </w:p>
    <w:p>
      <w:pPr>
        <w:pStyle w:val="Normal"/>
        <w:rPr>
          <w:b/>
          <w:b/>
          <w:bCs/>
          <w:sz w:val="18"/>
          <w:szCs w:val="18"/>
        </w:rPr>
      </w:pPr>
      <w:r>
        <w:rPr>
          <w:b/>
          <w:bCs/>
          <w:sz w:val="18"/>
          <w:szCs w:val="18"/>
        </w:rPr>
        <w:t>Figure S4. Predicted relationship between forest loss and the producer prices (i.e. farmgate prices) variables. All y-axes are the amount of forest lost in km</w:t>
      </w:r>
      <w:r>
        <w:rPr>
          <w:b/>
          <w:bCs/>
          <w:sz w:val="18"/>
          <w:szCs w:val="18"/>
          <w:vertAlign w:val="superscript"/>
        </w:rPr>
        <w:t>2</w:t>
      </w:r>
      <w:r>
        <w:rPr>
          <w:b/>
          <w:bCs/>
          <w:sz w:val="18"/>
          <w:szCs w:val="18"/>
        </w:rPr>
        <w:t xml:space="preserve">. 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pPr>
        <w:pStyle w:val="Normal"/>
        <w:rPr>
          <w:b/>
          <w:b/>
          <w:bCs/>
        </w:rPr>
      </w:pPr>
      <w:r>
        <w:rPr>
          <w:b/>
          <w:bCs/>
        </w:rPr>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b/>
          <w:b/>
          <w:bCs/>
        </w:rPr>
      </w:pPr>
      <w:r>
        <w:rPr>
          <w:b/>
          <w:bCs/>
        </w:rPr>
      </w:r>
    </w:p>
    <w:p>
      <w:pPr>
        <w:pStyle w:val="Normal"/>
        <w:rPr>
          <w:rFonts w:eastAsia="Times New Roman" w:cs="Calibri" w:cstheme="minorHAnsi"/>
          <w:i/>
          <w:i/>
          <w:iCs/>
          <w:color w:val="000000"/>
          <w:lang w:eastAsia="en-GB"/>
        </w:rPr>
      </w:pPr>
      <w:commentRangeStart w:id="1"/>
      <w:r>
        <w:rPr>
          <w:rFonts w:eastAsia="Times New Roman" w:cs="Calibri" w:cstheme="minorHAnsi"/>
          <w:i/>
          <w:iCs/>
          <w:color w:val="000000"/>
          <w:lang w:eastAsia="en-GB"/>
        </w:rPr>
        <w:t>Economic predictors</w:t>
      </w:r>
      <w:commentRangeEnd w:id="1"/>
      <w:r>
        <w:commentReference w:id="1"/>
      </w:r>
      <w:r>
        <w:rPr>
          <w:rFonts w:eastAsia="Times New Roman" w:cs="Calibri" w:cstheme="minorHAnsi"/>
          <w:i/>
          <w:iCs/>
          <w:color w:val="000000"/>
          <w:lang w:eastAsia="en-GB"/>
        </w:rPr>
      </w:r>
    </w:p>
    <w:p>
      <w:pPr>
        <w:pStyle w:val="Normal"/>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p>
      <w:pPr>
        <w:pStyle w:val="Normal"/>
        <w:rPr>
          <w:b/>
          <w:b/>
          <w:bCs/>
        </w:rPr>
      </w:pPr>
      <w:r>
        <w:rPr>
          <w:rFonts w:eastAsia="Times New Roman" w:cs="Calibri" w:cstheme="minorHAnsi"/>
          <w:b/>
          <w:bCs/>
          <w:color w:val="000000"/>
          <w:sz w:val="18"/>
          <w:szCs w:val="18"/>
          <w:lang w:eastAsia="en-GB"/>
        </w:rPr>
        <w:t xml:space="preserve">Table S9. Raw model coefficients and full averaged coefficients from the top economic models (dAIC &lt; 6) where change in forest cover is the response. No time lag. </w:t>
      </w:r>
    </w:p>
    <w:tbl>
      <w:tblPr>
        <w:tblW w:w="15877" w:type="dxa"/>
        <w:jc w:val="left"/>
        <w:tblInd w:w="-1001" w:type="dxa"/>
        <w:tblCellMar>
          <w:top w:w="0" w:type="dxa"/>
          <w:left w:w="108" w:type="dxa"/>
          <w:bottom w:w="0" w:type="dxa"/>
          <w:right w:w="108" w:type="dxa"/>
        </w:tblCellMar>
        <w:tblLook w:val="04a0" w:noHBand="0" w:noVBand="1" w:firstColumn="1" w:lastRow="0" w:lastColumn="0" w:firstRow="1"/>
      </w:tblPr>
      <w:tblGrid>
        <w:gridCol w:w="993"/>
        <w:gridCol w:w="912"/>
        <w:gridCol w:w="581"/>
        <w:gridCol w:w="972"/>
        <w:gridCol w:w="419"/>
        <w:gridCol w:w="1097"/>
        <w:gridCol w:w="500"/>
        <w:gridCol w:w="1097"/>
        <w:gridCol w:w="500"/>
        <w:gridCol w:w="991"/>
        <w:gridCol w:w="500"/>
        <w:gridCol w:w="873"/>
        <w:gridCol w:w="581"/>
        <w:gridCol w:w="500"/>
        <w:gridCol w:w="501"/>
        <w:gridCol w:w="684"/>
        <w:gridCol w:w="500"/>
        <w:gridCol w:w="924"/>
        <w:gridCol w:w="582"/>
        <w:gridCol w:w="537"/>
        <w:gridCol w:w="500"/>
        <w:gridCol w:w="1128"/>
      </w:tblGrid>
      <w:tr>
        <w:trPr>
          <w:trHeight w:val="807" w:hRule="atLeast"/>
        </w:trPr>
        <w:tc>
          <w:tcPr>
            <w:tcW w:w="99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912"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(Intercept)</w:t>
            </w:r>
          </w:p>
        </w:tc>
        <w:tc>
          <w:tcPr>
            <w:tcW w:w="581"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972"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Agricultural proportion GDP</w:t>
            </w:r>
          </w:p>
        </w:tc>
        <w:tc>
          <w:tcPr>
            <w:tcW w:w="419"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1097"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Development flows - agriculture</w:t>
            </w:r>
          </w:p>
        </w:tc>
        <w:tc>
          <w:tcPr>
            <w:tcW w:w="500"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1097"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Development flows - environment</w:t>
            </w:r>
          </w:p>
        </w:tc>
        <w:tc>
          <w:tcPr>
            <w:tcW w:w="500"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991"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Foreign Direct Investment</w:t>
            </w:r>
          </w:p>
        </w:tc>
        <w:tc>
          <w:tcPr>
            <w:tcW w:w="500"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87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Forest remaining</w:t>
            </w:r>
          </w:p>
        </w:tc>
        <w:tc>
          <w:tcPr>
            <w:tcW w:w="581"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5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GDP</w:t>
            </w:r>
          </w:p>
        </w:tc>
        <w:tc>
          <w:tcPr>
            <w:tcW w:w="501"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68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GDP growth</w:t>
            </w:r>
          </w:p>
        </w:tc>
        <w:tc>
          <w:tcPr>
            <w:tcW w:w="500"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92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Population density</w:t>
            </w:r>
          </w:p>
        </w:tc>
        <w:tc>
          <w:tcPr>
            <w:tcW w:w="582"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537"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Time</w:t>
            </w:r>
          </w:p>
        </w:tc>
        <w:tc>
          <w:tcPr>
            <w:tcW w:w="500" w:type="dxa"/>
            <w:tcBorders>
              <w:top w:val="single" w:sz="12" w:space="0" w:color="000000"/>
              <w:bottom w:val="single" w:sz="12"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SE</w:t>
            </w:r>
          </w:p>
        </w:tc>
        <w:tc>
          <w:tcPr>
            <w:tcW w:w="1128"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Model weight</w:t>
            </w:r>
          </w:p>
        </w:tc>
      </w:tr>
      <w:tr>
        <w:trPr>
          <w:trHeight w:val="288" w:hRule="atLeast"/>
        </w:trPr>
        <w:tc>
          <w:tcPr>
            <w:tcW w:w="993"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6"/>
                <w:szCs w:val="16"/>
                <w:lang w:eastAsia="en-GB"/>
              </w:rPr>
            </w:pPr>
            <w:r>
              <w:rPr>
                <w:rFonts w:eastAsia="Times New Roman" w:cs="Calibri" w:cstheme="minorHAnsi"/>
                <w:b/>
                <w:bCs/>
                <w:color w:val="000000"/>
                <w:sz w:val="16"/>
                <w:szCs w:val="16"/>
                <w:lang w:eastAsia="en-GB"/>
              </w:rPr>
              <w:t>Model</w:t>
            </w:r>
          </w:p>
        </w:tc>
        <w:tc>
          <w:tcPr>
            <w:tcW w:w="912"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6"/>
                <w:szCs w:val="16"/>
                <w:lang w:eastAsia="en-GB"/>
              </w:rPr>
            </w:pPr>
            <w:r>
              <w:rPr>
                <w:rFonts w:eastAsia="Times New Roman" w:cs="Calibri" w:cstheme="minorHAnsi"/>
                <w:b/>
                <w:bCs/>
                <w:color w:val="000000"/>
                <w:sz w:val="16"/>
                <w:szCs w:val="16"/>
                <w:lang w:eastAsia="en-GB"/>
              </w:rPr>
            </w:r>
          </w:p>
        </w:tc>
        <w:tc>
          <w:tcPr>
            <w:tcW w:w="581"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972"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419"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1097"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00"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1097"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00"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991"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00"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873"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81"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00"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01"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684"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00"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924"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82"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37"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500" w:type="dxa"/>
            <w:tcBorders>
              <w:top w:val="single" w:sz="12" w:space="0" w:color="000000"/>
            </w:tcBorders>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c>
          <w:tcPr>
            <w:tcW w:w="1128" w:type="dxa"/>
            <w:tcBorders>
              <w:top w:val="single" w:sz="12" w:space="0" w:color="000000"/>
            </w:tcBorders>
            <w:shd w:color="auto" w:fill="auto" w:val="clear"/>
          </w:tcPr>
          <w:p>
            <w:pPr>
              <w:pStyle w:val="Normal"/>
              <w:spacing w:lineRule="auto" w:line="240" w:before="0" w:after="0"/>
              <w:rPr>
                <w:rFonts w:eastAsia="Times New Roman" w:cs="Calibri" w:cstheme="minorHAnsi"/>
                <w:sz w:val="16"/>
                <w:szCs w:val="16"/>
                <w:lang w:eastAsia="en-GB"/>
              </w:rPr>
            </w:pPr>
            <w:r>
              <w:rPr>
                <w:rFonts w:eastAsia="Times New Roman" w:cs="Calibri" w:cstheme="minorHAnsi"/>
                <w:sz w:val="16"/>
                <w:szCs w:val="16"/>
                <w:lang w:eastAsia="en-GB"/>
              </w:rPr>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401</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-6308.3</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-599.4</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0.3832</w:t>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403</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-6309.3</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0.03</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-599.6</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0.1053</w:t>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433</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-6415.7</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0.09</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0.4</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-595.9</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0.1007</w:t>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402</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-6312.0</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-3.8</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-605.3</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0.0607</w:t>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405</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-6302.8</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0.2</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-597.5</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0.0569</w:t>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465</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-6299.4</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-1.04</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-597.9</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0.0558</w:t>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409</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-6313.1</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-596.8</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0.0502</w:t>
            </w:r>
          </w:p>
        </w:tc>
      </w:tr>
      <w:tr>
        <w:trPr>
          <w:trHeight w:val="288" w:hRule="atLeast"/>
        </w:trPr>
        <w:tc>
          <w:tcPr>
            <w:tcW w:w="99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497</w:t>
            </w:r>
          </w:p>
        </w:tc>
        <w:tc>
          <w:tcPr>
            <w:tcW w:w="91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-6456.3</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0.09</w:t>
            </w:r>
          </w:p>
        </w:tc>
        <w:tc>
          <w:tcPr>
            <w:tcW w:w="58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0.6</w:t>
            </w:r>
          </w:p>
        </w:tc>
        <w:tc>
          <w:tcPr>
            <w:tcW w:w="501"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-2.7</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-589.7</w:t>
            </w:r>
          </w:p>
        </w:tc>
        <w:tc>
          <w:tcPr>
            <w:tcW w:w="582"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0.0231</w:t>
            </w:r>
          </w:p>
        </w:tc>
      </w:tr>
      <w:tr>
        <w:trPr>
          <w:trHeight w:val="288" w:hRule="atLeast"/>
        </w:trPr>
        <w:tc>
          <w:tcPr>
            <w:tcW w:w="99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435</w:t>
            </w:r>
          </w:p>
        </w:tc>
        <w:tc>
          <w:tcPr>
            <w:tcW w:w="912"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-6418.9</w:t>
            </w:r>
          </w:p>
        </w:tc>
        <w:tc>
          <w:tcPr>
            <w:tcW w:w="581"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419"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0.03</w:t>
            </w:r>
          </w:p>
        </w:tc>
        <w:tc>
          <w:tcPr>
            <w:tcW w:w="500"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0.09</w:t>
            </w:r>
          </w:p>
        </w:tc>
        <w:tc>
          <w:tcPr>
            <w:tcW w:w="581"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0.4</w:t>
            </w:r>
          </w:p>
        </w:tc>
        <w:tc>
          <w:tcPr>
            <w:tcW w:w="501"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NA</w:t>
            </w:r>
          </w:p>
        </w:tc>
        <w:tc>
          <w:tcPr>
            <w:tcW w:w="500"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-595.9</w:t>
            </w:r>
          </w:p>
        </w:tc>
        <w:tc>
          <w:tcPr>
            <w:tcW w:w="582"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bottom w:val="single" w:sz="6" w:space="0" w:color="000000"/>
            </w:tcBorders>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0.0216</w:t>
            </w:r>
          </w:p>
        </w:tc>
      </w:tr>
      <w:tr>
        <w:trPr>
          <w:trHeight w:val="717" w:hRule="atLeast"/>
        </w:trPr>
        <w:tc>
          <w:tcPr>
            <w:tcW w:w="99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Model averaged coefficients</w:t>
            </w:r>
          </w:p>
        </w:tc>
        <w:tc>
          <w:tcPr>
            <w:tcW w:w="912"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-6327.0</w:t>
            </w:r>
          </w:p>
        </w:tc>
        <w:tc>
          <w:tcPr>
            <w:tcW w:w="581"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167.5</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72"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-0.3</w:t>
            </w:r>
          </w:p>
        </w:tc>
        <w:tc>
          <w:tcPr>
            <w:tcW w:w="419"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1.9</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0.005</w:t>
            </w:r>
          </w:p>
        </w:tc>
        <w:tc>
          <w:tcPr>
            <w:tcW w:w="500"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0.02</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097"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0.01</w:t>
            </w:r>
          </w:p>
        </w:tc>
        <w:tc>
          <w:tcPr>
            <w:tcW w:w="500"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0.10</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91"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6.5</w:t>
            </w:r>
          </w:p>
        </w:tc>
        <w:tc>
          <w:tcPr>
            <w:tcW w:w="500"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0.01</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87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81"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0.002</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0.08</w:t>
            </w:r>
          </w:p>
        </w:tc>
        <w:tc>
          <w:tcPr>
            <w:tcW w:w="501"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0.23</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68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-0.1</w:t>
            </w:r>
          </w:p>
        </w:tc>
        <w:tc>
          <w:tcPr>
            <w:tcW w:w="500"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0.82</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92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-598.7</w:t>
            </w:r>
          </w:p>
        </w:tc>
        <w:tc>
          <w:tcPr>
            <w:tcW w:w="582"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46.15</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537"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t>1.1</w:t>
            </w:r>
          </w:p>
        </w:tc>
        <w:tc>
          <w:tcPr>
            <w:tcW w:w="500" w:type="dxa"/>
            <w:tcBorders>
              <w:top w:val="single" w:sz="6" w:space="0" w:color="000000"/>
              <w:bottom w:val="single" w:sz="12" w:space="0" w:color="000000"/>
            </w:tcBorders>
          </w:tcPr>
          <w:p>
            <w:pPr>
              <w:pStyle w:val="Normal"/>
              <w:rPr>
                <w:rFonts w:ascii="Calibri" w:hAnsi="Calibri" w:cs="Calibri"/>
                <w:color w:val="000000"/>
                <w:sz w:val="16"/>
                <w:szCs w:val="16"/>
              </w:rPr>
            </w:pPr>
            <w:r>
              <w:rPr>
                <w:rFonts w:cs="Calibri"/>
                <w:color w:val="000000"/>
                <w:sz w:val="16"/>
                <w:szCs w:val="16"/>
              </w:rPr>
              <w:t>0.02</w:t>
            </w:r>
          </w:p>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c>
          <w:tcPr>
            <w:tcW w:w="1128"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6"/>
                <w:szCs w:val="16"/>
                <w:lang w:eastAsia="en-GB"/>
              </w:rPr>
            </w:pPr>
            <w:r>
              <w:rPr>
                <w:rFonts w:eastAsia="Times New Roman" w:cs="Calibri" w:cstheme="minorHAnsi"/>
                <w:color w:val="000000"/>
                <w:sz w:val="16"/>
                <w:szCs w:val="16"/>
                <w:lang w:eastAsia="en-GB"/>
              </w:rPr>
            </w:r>
          </w:p>
        </w:tc>
      </w:tr>
    </w:tbl>
    <w:p>
      <w:pPr>
        <w:pStyle w:val="Normal"/>
        <w:rPr>
          <w:b/>
          <w:b/>
          <w:bCs/>
        </w:rPr>
      </w:pPr>
      <w:r>
        <w:rPr>
          <w:b/>
          <w:bCs/>
        </w:rPr>
      </w:r>
    </w:p>
    <w:p>
      <w:pPr>
        <w:pStyle w:val="Normal"/>
        <w:rPr>
          <w:b/>
          <w:b/>
          <w:bCs/>
        </w:rPr>
      </w:pPr>
      <w:r>
        <w:rPr>
          <w:b/>
          <w:bCs/>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rPr>
      </w:pPr>
      <w:r>
        <w:rPr>
          <w:rFonts w:eastAsia="Times New Roman" w:cs="Calibri" w:cstheme="minorHAnsi"/>
          <w:b/>
          <w:bCs/>
          <w:color w:val="000000"/>
          <w:sz w:val="18"/>
          <w:szCs w:val="18"/>
          <w:lang w:eastAsia="en-GB"/>
        </w:rPr>
        <w:t xml:space="preserve">Table S10. Raw model coefficients and full averaged coefficients from the top economic models (dAIC &lt; 6) where change in forest cover is the response. One year time lag. </w:t>
      </w:r>
    </w:p>
    <w:tbl>
      <w:tblPr>
        <w:tblW w:w="13175" w:type="dxa"/>
        <w:jc w:val="left"/>
        <w:tblInd w:w="0" w:type="dxa"/>
        <w:tblCellMar>
          <w:top w:w="0" w:type="dxa"/>
          <w:left w:w="108" w:type="dxa"/>
          <w:bottom w:w="0" w:type="dxa"/>
          <w:right w:w="108" w:type="dxa"/>
        </w:tblCellMar>
        <w:tblLook w:val="04a0" w:noHBand="0" w:noVBand="1" w:firstColumn="1" w:lastRow="0" w:lastColumn="0" w:firstRow="1"/>
      </w:tblPr>
      <w:tblGrid>
        <w:gridCol w:w="1043"/>
        <w:gridCol w:w="1256"/>
        <w:gridCol w:w="1115"/>
        <w:gridCol w:w="1255"/>
        <w:gridCol w:w="1394"/>
        <w:gridCol w:w="1116"/>
        <w:gridCol w:w="976"/>
        <w:gridCol w:w="836"/>
        <w:gridCol w:w="837"/>
        <w:gridCol w:w="1116"/>
        <w:gridCol w:w="837"/>
        <w:gridCol w:w="1393"/>
      </w:tblGrid>
      <w:tr>
        <w:trPr>
          <w:trHeight w:val="864" w:hRule="atLeast"/>
        </w:trPr>
        <w:tc>
          <w:tcPr>
            <w:tcW w:w="104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5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111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Agricultural proportion GDP</w:t>
            </w:r>
          </w:p>
        </w:tc>
        <w:tc>
          <w:tcPr>
            <w:tcW w:w="125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Development flows - agriculture</w:t>
            </w:r>
          </w:p>
        </w:tc>
        <w:tc>
          <w:tcPr>
            <w:tcW w:w="139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Development flows - environment</w:t>
            </w:r>
          </w:p>
        </w:tc>
        <w:tc>
          <w:tcPr>
            <w:tcW w:w="111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Foreign Direct Investment</w:t>
            </w:r>
          </w:p>
        </w:tc>
        <w:tc>
          <w:tcPr>
            <w:tcW w:w="97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83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GDP</w:t>
            </w:r>
          </w:p>
        </w:tc>
        <w:tc>
          <w:tcPr>
            <w:tcW w:w="837"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GDP growth</w:t>
            </w:r>
          </w:p>
        </w:tc>
        <w:tc>
          <w:tcPr>
            <w:tcW w:w="111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Population density</w:t>
            </w:r>
          </w:p>
        </w:tc>
        <w:tc>
          <w:tcPr>
            <w:tcW w:w="837"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139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043"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256"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111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5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39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16"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76"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836"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837"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16"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837"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39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04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402</w:t>
            </w:r>
          </w:p>
        </w:tc>
        <w:tc>
          <w:tcPr>
            <w:tcW w:w="125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-6743.7441</w:t>
            </w:r>
          </w:p>
        </w:tc>
        <w:tc>
          <w:tcPr>
            <w:tcW w:w="111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-16.9759</w:t>
            </w:r>
          </w:p>
        </w:tc>
        <w:tc>
          <w:tcPr>
            <w:tcW w:w="125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3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0.0897</w:t>
            </w:r>
          </w:p>
        </w:tc>
        <w:tc>
          <w:tcPr>
            <w:tcW w:w="83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-635.9733</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1.1040</w:t>
            </w:r>
          </w:p>
        </w:tc>
        <w:tc>
          <w:tcPr>
            <w:tcW w:w="13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0.5644</w:t>
            </w:r>
          </w:p>
        </w:tc>
      </w:tr>
      <w:tr>
        <w:trPr>
          <w:trHeight w:val="288" w:hRule="atLeast"/>
        </w:trPr>
        <w:tc>
          <w:tcPr>
            <w:tcW w:w="104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401</w:t>
            </w:r>
          </w:p>
        </w:tc>
        <w:tc>
          <w:tcPr>
            <w:tcW w:w="125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-6806.1559</w:t>
            </w:r>
          </w:p>
        </w:tc>
        <w:tc>
          <w:tcPr>
            <w:tcW w:w="111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5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3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0.0904</w:t>
            </w:r>
          </w:p>
        </w:tc>
        <w:tc>
          <w:tcPr>
            <w:tcW w:w="83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-616.6528</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1.0968</w:t>
            </w:r>
          </w:p>
        </w:tc>
        <w:tc>
          <w:tcPr>
            <w:tcW w:w="13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0.0740</w:t>
            </w:r>
          </w:p>
        </w:tc>
      </w:tr>
      <w:tr>
        <w:trPr>
          <w:trHeight w:val="288" w:hRule="atLeast"/>
        </w:trPr>
        <w:tc>
          <w:tcPr>
            <w:tcW w:w="104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410</w:t>
            </w:r>
          </w:p>
        </w:tc>
        <w:tc>
          <w:tcPr>
            <w:tcW w:w="125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-6714.4224</w:t>
            </w:r>
          </w:p>
        </w:tc>
        <w:tc>
          <w:tcPr>
            <w:tcW w:w="111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-16.3940</w:t>
            </w:r>
          </w:p>
        </w:tc>
        <w:tc>
          <w:tcPr>
            <w:tcW w:w="125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3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-0.0283</w:t>
            </w:r>
          </w:p>
        </w:tc>
        <w:tc>
          <w:tcPr>
            <w:tcW w:w="9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0.0895</w:t>
            </w:r>
          </w:p>
        </w:tc>
        <w:tc>
          <w:tcPr>
            <w:tcW w:w="83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-639.3339</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1.1053</w:t>
            </w:r>
          </w:p>
        </w:tc>
        <w:tc>
          <w:tcPr>
            <w:tcW w:w="13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0.0552</w:t>
            </w:r>
          </w:p>
        </w:tc>
      </w:tr>
      <w:tr>
        <w:trPr>
          <w:trHeight w:val="288" w:hRule="atLeast"/>
        </w:trPr>
        <w:tc>
          <w:tcPr>
            <w:tcW w:w="104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434</w:t>
            </w:r>
          </w:p>
        </w:tc>
        <w:tc>
          <w:tcPr>
            <w:tcW w:w="125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-6804.8067</w:t>
            </w:r>
          </w:p>
        </w:tc>
        <w:tc>
          <w:tcPr>
            <w:tcW w:w="111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-15.5827</w:t>
            </w:r>
          </w:p>
        </w:tc>
        <w:tc>
          <w:tcPr>
            <w:tcW w:w="125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3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0.0903</w:t>
            </w:r>
          </w:p>
        </w:tc>
        <w:tc>
          <w:tcPr>
            <w:tcW w:w="83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0.2434</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-631.5066</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1.1058</w:t>
            </w:r>
          </w:p>
        </w:tc>
        <w:tc>
          <w:tcPr>
            <w:tcW w:w="13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0.0491</w:t>
            </w:r>
          </w:p>
        </w:tc>
      </w:tr>
      <w:tr>
        <w:trPr>
          <w:trHeight w:val="288" w:hRule="atLeast"/>
        </w:trPr>
        <w:tc>
          <w:tcPr>
            <w:tcW w:w="104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406</w:t>
            </w:r>
          </w:p>
        </w:tc>
        <w:tc>
          <w:tcPr>
            <w:tcW w:w="125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-6747.2784</w:t>
            </w:r>
          </w:p>
        </w:tc>
        <w:tc>
          <w:tcPr>
            <w:tcW w:w="111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-17.2556</w:t>
            </w:r>
          </w:p>
        </w:tc>
        <w:tc>
          <w:tcPr>
            <w:tcW w:w="125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3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0.1604</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0.0897</w:t>
            </w:r>
          </w:p>
        </w:tc>
        <w:tc>
          <w:tcPr>
            <w:tcW w:w="83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-634.3001</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1.1013</w:t>
            </w:r>
          </w:p>
        </w:tc>
        <w:tc>
          <w:tcPr>
            <w:tcW w:w="13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0.0463</w:t>
            </w:r>
          </w:p>
        </w:tc>
      </w:tr>
      <w:tr>
        <w:trPr>
          <w:trHeight w:val="288" w:hRule="atLeast"/>
        </w:trPr>
        <w:tc>
          <w:tcPr>
            <w:tcW w:w="104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404</w:t>
            </w:r>
          </w:p>
        </w:tc>
        <w:tc>
          <w:tcPr>
            <w:tcW w:w="125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-6708.9528</w:t>
            </w:r>
          </w:p>
        </w:tc>
        <w:tc>
          <w:tcPr>
            <w:tcW w:w="111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-17.2348</w:t>
            </w:r>
          </w:p>
        </w:tc>
        <w:tc>
          <w:tcPr>
            <w:tcW w:w="125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-0.0167</w:t>
            </w:r>
          </w:p>
        </w:tc>
        <w:tc>
          <w:tcPr>
            <w:tcW w:w="13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0.0892</w:t>
            </w:r>
          </w:p>
        </w:tc>
        <w:tc>
          <w:tcPr>
            <w:tcW w:w="83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-627.7729</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1.1032</w:t>
            </w:r>
          </w:p>
        </w:tc>
        <w:tc>
          <w:tcPr>
            <w:tcW w:w="13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0.0450</w:t>
            </w:r>
          </w:p>
        </w:tc>
      </w:tr>
      <w:tr>
        <w:trPr>
          <w:trHeight w:val="288" w:hRule="atLeast"/>
        </w:trPr>
        <w:tc>
          <w:tcPr>
            <w:tcW w:w="104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466</w:t>
            </w:r>
          </w:p>
        </w:tc>
        <w:tc>
          <w:tcPr>
            <w:tcW w:w="125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-6750.6626</w:t>
            </w:r>
          </w:p>
        </w:tc>
        <w:tc>
          <w:tcPr>
            <w:tcW w:w="111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-16.6775</w:t>
            </w:r>
          </w:p>
        </w:tc>
        <w:tc>
          <w:tcPr>
            <w:tcW w:w="125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3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0.0898</w:t>
            </w:r>
          </w:p>
        </w:tc>
        <w:tc>
          <w:tcPr>
            <w:tcW w:w="83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0.3026</w:t>
            </w:r>
          </w:p>
        </w:tc>
        <w:tc>
          <w:tcPr>
            <w:tcW w:w="111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-635.7973</w:t>
            </w:r>
          </w:p>
        </w:tc>
        <w:tc>
          <w:tcPr>
            <w:tcW w:w="83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1.1025</w:t>
            </w:r>
          </w:p>
        </w:tc>
        <w:tc>
          <w:tcPr>
            <w:tcW w:w="13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0.0427</w:t>
            </w:r>
          </w:p>
        </w:tc>
      </w:tr>
      <w:tr>
        <w:trPr>
          <w:trHeight w:val="288" w:hRule="atLeast"/>
        </w:trPr>
        <w:tc>
          <w:tcPr>
            <w:tcW w:w="104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433</w:t>
            </w:r>
          </w:p>
        </w:tc>
        <w:tc>
          <w:tcPr>
            <w:tcW w:w="125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-6983.5273</w:t>
            </w:r>
          </w:p>
        </w:tc>
        <w:tc>
          <w:tcPr>
            <w:tcW w:w="111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5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39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7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0.0919</w:t>
            </w:r>
          </w:p>
        </w:tc>
        <w:tc>
          <w:tcPr>
            <w:tcW w:w="83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0.7718</w:t>
            </w:r>
          </w:p>
        </w:tc>
        <w:tc>
          <w:tcPr>
            <w:tcW w:w="837"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1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-607.5175</w:t>
            </w:r>
          </w:p>
        </w:tc>
        <w:tc>
          <w:tcPr>
            <w:tcW w:w="837"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1.1042</w:t>
            </w:r>
          </w:p>
        </w:tc>
        <w:tc>
          <w:tcPr>
            <w:tcW w:w="139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0.0295</w:t>
            </w:r>
          </w:p>
        </w:tc>
      </w:tr>
      <w:tr>
        <w:trPr>
          <w:trHeight w:val="864" w:hRule="atLeast"/>
        </w:trPr>
        <w:tc>
          <w:tcPr>
            <w:tcW w:w="104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25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-6757.0000</w:t>
            </w:r>
          </w:p>
        </w:tc>
        <w:tc>
          <w:tcPr>
            <w:tcW w:w="111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-14.9400</w:t>
            </w:r>
          </w:p>
        </w:tc>
        <w:tc>
          <w:tcPr>
            <w:tcW w:w="125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-0.0008</w:t>
            </w:r>
          </w:p>
        </w:tc>
        <w:tc>
          <w:tcPr>
            <w:tcW w:w="139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0.0082</w:t>
            </w:r>
          </w:p>
        </w:tc>
        <w:tc>
          <w:tcPr>
            <w:tcW w:w="111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-0.0017</w:t>
            </w:r>
          </w:p>
        </w:tc>
        <w:tc>
          <w:tcPr>
            <w:tcW w:w="97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0.0899</w:t>
            </w:r>
          </w:p>
        </w:tc>
        <w:tc>
          <w:tcPr>
            <w:tcW w:w="83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0.0383</w:t>
            </w:r>
          </w:p>
        </w:tc>
        <w:tc>
          <w:tcPr>
            <w:tcW w:w="837"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0.0143</w:t>
            </w:r>
          </w:p>
        </w:tc>
        <w:tc>
          <w:tcPr>
            <w:tcW w:w="111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-632.9000</w:t>
            </w:r>
          </w:p>
        </w:tc>
        <w:tc>
          <w:tcPr>
            <w:tcW w:w="837"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1.1030</w:t>
            </w:r>
          </w:p>
        </w:tc>
        <w:tc>
          <w:tcPr>
            <w:tcW w:w="139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b/>
          <w:bCs/>
        </w:rPr>
      </w:r>
    </w:p>
    <w:p>
      <w:pPr>
        <w:pStyle w:val="Normal"/>
        <w:rPr>
          <w:b/>
          <w:b/>
          <w:bCs/>
        </w:rPr>
      </w:pPr>
      <w:r>
        <w:rPr>
          <w:b/>
          <w:bCs/>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b/>
          <w:bCs/>
          <w:sz w:val="18"/>
          <w:szCs w:val="18"/>
        </w:rPr>
      </w:r>
    </w:p>
    <w:p>
      <w:pPr>
        <w:pStyle w:val="Normal"/>
        <w:rPr>
          <w:b/>
          <w:b/>
          <w:bCs/>
          <w:sz w:val="18"/>
          <w:szCs w:val="18"/>
        </w:rPr>
      </w:pPr>
      <w:r>
        <w:rPr>
          <w:rFonts w:eastAsia="Times New Roman" w:cs="Calibri" w:cstheme="minorHAnsi"/>
          <w:b/>
          <w:bCs/>
          <w:color w:val="000000"/>
          <w:sz w:val="18"/>
          <w:szCs w:val="18"/>
          <w:lang w:eastAsia="en-GB"/>
        </w:rPr>
        <w:t>Table S11. Raw model coefficients and full averaged coefficients from the top economic models (dAIC &lt; 6) where change in forest cover is the response. Two year time lag</w:t>
      </w:r>
    </w:p>
    <w:tbl>
      <w:tblPr>
        <w:tblW w:w="13742" w:type="dxa"/>
        <w:jc w:val="left"/>
        <w:tblInd w:w="0" w:type="dxa"/>
        <w:tblCellMar>
          <w:top w:w="0" w:type="dxa"/>
          <w:left w:w="108" w:type="dxa"/>
          <w:bottom w:w="0" w:type="dxa"/>
          <w:right w:w="108" w:type="dxa"/>
        </w:tblCellMar>
        <w:tblLook w:val="04a0" w:noHBand="0" w:noVBand="1" w:firstColumn="1" w:lastRow="0" w:lastColumn="0" w:firstRow="1"/>
      </w:tblPr>
      <w:tblGrid>
        <w:gridCol w:w="1125"/>
        <w:gridCol w:w="1134"/>
        <w:gridCol w:w="1276"/>
        <w:gridCol w:w="1418"/>
        <w:gridCol w:w="1276"/>
        <w:gridCol w:w="1275"/>
        <w:gridCol w:w="1135"/>
        <w:gridCol w:w="1134"/>
        <w:gridCol w:w="1275"/>
        <w:gridCol w:w="992"/>
        <w:gridCol w:w="1700"/>
      </w:tblGrid>
      <w:tr>
        <w:trPr>
          <w:trHeight w:val="864" w:hRule="atLeast"/>
        </w:trPr>
        <w:tc>
          <w:tcPr>
            <w:tcW w:w="112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127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Agricultural proportion GDP</w:t>
            </w:r>
          </w:p>
        </w:tc>
        <w:tc>
          <w:tcPr>
            <w:tcW w:w="1418"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Development flows - agriculture</w:t>
            </w:r>
          </w:p>
        </w:tc>
        <w:tc>
          <w:tcPr>
            <w:tcW w:w="127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Development flows - environment</w:t>
            </w:r>
          </w:p>
        </w:tc>
        <w:tc>
          <w:tcPr>
            <w:tcW w:w="127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Foreign Direct Investment</w:t>
            </w:r>
          </w:p>
        </w:tc>
        <w:tc>
          <w:tcPr>
            <w:tcW w:w="113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GDP</w:t>
            </w:r>
          </w:p>
        </w:tc>
        <w:tc>
          <w:tcPr>
            <w:tcW w:w="127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Population density</w:t>
            </w:r>
          </w:p>
        </w:tc>
        <w:tc>
          <w:tcPr>
            <w:tcW w:w="992"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17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125"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1276"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18"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6"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92"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70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210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-7292.9106</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-19.6047</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-602.5086</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1.1047</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0.3993</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209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-7309.8164</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-604.6794</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1.1106</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0.2213</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214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-7313.4931</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-20.6272</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0.6698</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-606.7417</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1.1089</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0.0602</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217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-7114.8270</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-0.1078</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0.0934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-572.6620</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1.0841</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0.0574</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218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-7155.8636</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-18.1431</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-0.0765</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0.0937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-579.9603</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1.0864</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0.0514</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213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-7325.7029</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0.4957</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0.0960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-607.8963</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1.1139</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0.0328</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241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-7390.5660</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0.0964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0.5970</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-597.9008</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1.1273</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0.0325</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212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-7263.1337</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-19.8496</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-0.0249</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0.0949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-593.4498</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1.1017</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0.0314</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242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-7270.0423</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-20.3491</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-0.1643</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-604.2920</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1.0999</w:t>
            </w:r>
          </w:p>
        </w:tc>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0.0306</w:t>
            </w:r>
          </w:p>
        </w:tc>
      </w:tr>
      <w:tr>
        <w:trPr>
          <w:trHeight w:val="288" w:hRule="atLeast"/>
        </w:trPr>
        <w:tc>
          <w:tcPr>
            <w:tcW w:w="112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211</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-7304.6780</w:t>
            </w:r>
          </w:p>
        </w:tc>
        <w:tc>
          <w:tcPr>
            <w:tcW w:w="127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-0.0043</w:t>
            </w:r>
          </w:p>
        </w:tc>
        <w:tc>
          <w:tcPr>
            <w:tcW w:w="127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0.0957</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-603.1097</w:t>
            </w:r>
          </w:p>
        </w:tc>
        <w:tc>
          <w:tcPr>
            <w:tcW w:w="992"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1.1100</w:t>
            </w:r>
          </w:p>
        </w:tc>
        <w:tc>
          <w:tcPr>
            <w:tcW w:w="17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0.0247</w:t>
            </w:r>
          </w:p>
        </w:tc>
      </w:tr>
      <w:tr>
        <w:trPr>
          <w:trHeight w:val="703" w:hRule="atLeast"/>
        </w:trPr>
        <w:tc>
          <w:tcPr>
            <w:tcW w:w="112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-7283.0000</w:t>
            </w:r>
          </w:p>
        </w:tc>
        <w:tc>
          <w:tcPr>
            <w:tcW w:w="127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-11.9400</w:t>
            </w:r>
          </w:p>
        </w:tc>
        <w:tc>
          <w:tcPr>
            <w:tcW w:w="1418"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-0.0009</w:t>
            </w:r>
          </w:p>
        </w:tc>
        <w:tc>
          <w:tcPr>
            <w:tcW w:w="127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0.0601</w:t>
            </w:r>
          </w:p>
        </w:tc>
        <w:tc>
          <w:tcPr>
            <w:tcW w:w="127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-0.0108</w:t>
            </w:r>
          </w:p>
        </w:tc>
        <w:tc>
          <w:tcPr>
            <w:tcW w:w="113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0.0953</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0.0153</w:t>
            </w:r>
          </w:p>
        </w:tc>
        <w:tc>
          <w:tcPr>
            <w:tcW w:w="127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-600.0000</w:t>
            </w:r>
          </w:p>
        </w:tc>
        <w:tc>
          <w:tcPr>
            <w:tcW w:w="992"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1.1050</w:t>
            </w:r>
          </w:p>
        </w:tc>
        <w:tc>
          <w:tcPr>
            <w:tcW w:w="17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i/>
          <w:i/>
          <w:iCs/>
        </w:rPr>
      </w:pPr>
      <w:r>
        <w:rPr>
          <w:i/>
          <w:iCs/>
        </w:rPr>
        <w:t xml:space="preserve">Commodity predictors </w:t>
      </w:r>
    </w:p>
    <w:p>
      <w:pPr>
        <w:pStyle w:val="Normal"/>
        <w:rPr>
          <w:b/>
          <w:b/>
          <w:bCs/>
          <w:sz w:val="18"/>
          <w:szCs w:val="18"/>
        </w:rPr>
      </w:pPr>
      <w:r>
        <w:rPr>
          <w:rFonts w:eastAsia="Times New Roman" w:cs="Calibri" w:cstheme="minorHAnsi"/>
          <w:b/>
          <w:bCs/>
          <w:color w:val="000000"/>
          <w:sz w:val="18"/>
          <w:szCs w:val="18"/>
          <w:lang w:eastAsia="en-GB"/>
        </w:rPr>
        <w:t>Table S12. Raw model coefficients and full averaged coefficients from the top commodity models (dAIC &lt; 6) where change in forest cover is the response. No time lag</w:t>
      </w:r>
    </w:p>
    <w:tbl>
      <w:tblPr>
        <w:tblW w:w="13633" w:type="dxa"/>
        <w:jc w:val="left"/>
        <w:tblInd w:w="0" w:type="dxa"/>
        <w:tblCellMar>
          <w:top w:w="0" w:type="dxa"/>
          <w:left w:w="108" w:type="dxa"/>
          <w:bottom w:w="0" w:type="dxa"/>
          <w:right w:w="108" w:type="dxa"/>
        </w:tblCellMar>
        <w:tblLook w:val="04a0" w:noHBand="0" w:noVBand="1" w:firstColumn="1" w:lastRow="0" w:lastColumn="0" w:firstRow="1"/>
      </w:tblPr>
      <w:tblGrid>
        <w:gridCol w:w="1060"/>
        <w:gridCol w:w="1058"/>
        <w:gridCol w:w="1134"/>
        <w:gridCol w:w="1135"/>
        <w:gridCol w:w="1023"/>
        <w:gridCol w:w="993"/>
        <w:gridCol w:w="1134"/>
        <w:gridCol w:w="1134"/>
        <w:gridCol w:w="1418"/>
        <w:gridCol w:w="1275"/>
        <w:gridCol w:w="994"/>
        <w:gridCol w:w="1274"/>
      </w:tblGrid>
      <w:tr>
        <w:trPr>
          <w:trHeight w:val="864" w:hRule="atLeast"/>
        </w:trPr>
        <w:tc>
          <w:tcPr>
            <w:tcW w:w="106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058"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corn price</w:t>
            </w:r>
          </w:p>
        </w:tc>
        <w:tc>
          <w:tcPr>
            <w:tcW w:w="113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Crop production index</w:t>
            </w:r>
          </w:p>
        </w:tc>
        <w:tc>
          <w:tcPr>
            <w:tcW w:w="102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production</w:t>
            </w:r>
          </w:p>
        </w:tc>
        <w:tc>
          <w:tcPr>
            <w:tcW w:w="99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Non-food production index</w:t>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rice price</w:t>
            </w:r>
          </w:p>
        </w:tc>
        <w:tc>
          <w:tcPr>
            <w:tcW w:w="1418"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rubber price</w:t>
            </w:r>
          </w:p>
        </w:tc>
        <w:tc>
          <w:tcPr>
            <w:tcW w:w="127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sugar price</w:t>
            </w:r>
          </w:p>
        </w:tc>
        <w:tc>
          <w:tcPr>
            <w:tcW w:w="99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127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060"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058"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02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9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18"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9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265</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-4816.3795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1.0714</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0.1562</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393</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-4828.9629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0.4039</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1.0761</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0.1066</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329</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-4797.7627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0.0318</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1.0677</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0.0722</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297</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-4806.0095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0.2591</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1.0748</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0.0657</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269</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-4738.7305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0.0588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1.0435</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0.0573</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266</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-4817.3732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0.4139</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1.0718</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0.0531</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267</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-4877.5088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0.3728</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1.0687</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0.0381</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281</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-4799.4212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0.1263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1.0812</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0.0325</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333</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-4701.7369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0.0584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0.0368</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1.0336</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0.0311</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425</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-4819.1917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0.2074</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0.3567</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1.0783</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0.0276</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397</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-4768.0698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0.3598</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1.0542</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0.0241</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394</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-4828.6610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0.3290</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0.3689</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1.0760</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0.0238</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301</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-4727.5480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0.0587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0.2611</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1.0467</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0.0206</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457</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-4815.9253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0.0173</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0.3105</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1.0730</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0.0195</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361</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-4793.4812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0.1996</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0.0255</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1.0711</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0.0172</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409</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-4819.3777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0.0689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0.3934</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1.0813</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0.0162</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395</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-4833.1821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0.0269</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0.3976</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1.0759</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0.0156</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270</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-4746.5102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0.3723</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0.0589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1.0463</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0.0142</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271</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-4801.8791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0.4006</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1.0396</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0.0119</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330</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-4802.2112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0.1902</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0.0250</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1.0686</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0.0116</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345</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-4784.3982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0.1026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0.0311</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1.0757</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0.0115</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331</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-4816.5699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0.1067</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0.0296</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1.0672</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0.0108</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298</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-4809.0902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0.2003</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0.1941</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1.0742</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0.0106</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299</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-4834.3342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0.1666</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0.2340</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1.0733</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0.0101</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282</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-4793.7812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0.4575</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0.1764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1.0855</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0.0100</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313</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-4805.3081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0.0058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0.2573</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1.0753</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0.0096</w:t>
            </w:r>
          </w:p>
        </w:tc>
      </w:tr>
      <w:tr>
        <w:trPr>
          <w:trHeight w:val="288" w:hRule="atLeast"/>
        </w:trPr>
        <w:tc>
          <w:tcPr>
            <w:tcW w:w="106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285</w:t>
            </w:r>
          </w:p>
        </w:tc>
        <w:tc>
          <w:tcPr>
            <w:tcW w:w="10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-4730.6066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0.0587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0.0853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1.0513</w:t>
            </w:r>
          </w:p>
        </w:tc>
        <w:tc>
          <w:tcPr>
            <w:tcW w:w="127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0.0089</w:t>
            </w:r>
          </w:p>
        </w:tc>
      </w:tr>
      <w:tr>
        <w:trPr>
          <w:trHeight w:val="288" w:hRule="atLeast"/>
        </w:trPr>
        <w:tc>
          <w:tcPr>
            <w:tcW w:w="106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268</w:t>
            </w:r>
          </w:p>
        </w:tc>
        <w:tc>
          <w:tcPr>
            <w:tcW w:w="1058"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-4846.2249</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0.3577</w:t>
            </w:r>
          </w:p>
        </w:tc>
        <w:tc>
          <w:tcPr>
            <w:tcW w:w="113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0.1768</w:t>
            </w:r>
          </w:p>
        </w:tc>
        <w:tc>
          <w:tcPr>
            <w:tcW w:w="102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0.0599</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8"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1.0704</w:t>
            </w:r>
          </w:p>
        </w:tc>
        <w:tc>
          <w:tcPr>
            <w:tcW w:w="127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0.0082</w:t>
            </w:r>
          </w:p>
        </w:tc>
      </w:tr>
      <w:tr>
        <w:trPr>
          <w:trHeight w:val="1152" w:hRule="atLeast"/>
        </w:trPr>
        <w:tc>
          <w:tcPr>
            <w:tcW w:w="106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058"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-4803.0000</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0.0525</w:t>
            </w:r>
          </w:p>
        </w:tc>
        <w:tc>
          <w:tcPr>
            <w:tcW w:w="113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0.0265</w:t>
            </w:r>
          </w:p>
        </w:tc>
        <w:tc>
          <w:tcPr>
            <w:tcW w:w="102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0.0000</w:t>
            </w:r>
          </w:p>
        </w:tc>
        <w:tc>
          <w:tcPr>
            <w:tcW w:w="99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0.0595</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0.0100</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0.0430</w:t>
            </w:r>
          </w:p>
        </w:tc>
        <w:tc>
          <w:tcPr>
            <w:tcW w:w="1418"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0.0058</w:t>
            </w:r>
          </w:p>
        </w:tc>
        <w:tc>
          <w:tcPr>
            <w:tcW w:w="127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0.0995</w:t>
            </w:r>
          </w:p>
        </w:tc>
        <w:tc>
          <w:tcPr>
            <w:tcW w:w="99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1.0680</w:t>
            </w:r>
          </w:p>
        </w:tc>
        <w:tc>
          <w:tcPr>
            <w:tcW w:w="127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sz w:val="18"/>
          <w:szCs w:val="18"/>
        </w:rPr>
      </w:pPr>
      <w:r>
        <w:rPr>
          <w:rFonts w:eastAsia="Times New Roman" w:cs="Calibri" w:cstheme="minorHAnsi"/>
          <w:b/>
          <w:bCs/>
          <w:color w:val="000000"/>
          <w:sz w:val="18"/>
          <w:szCs w:val="18"/>
          <w:lang w:eastAsia="en-GB"/>
        </w:rPr>
        <w:t>Table S13. Raw model coefficients and full averaged coefficients from the top commodity models (dAIC &lt; 6) where change in forest cover is the response. One year time lag</w:t>
      </w:r>
    </w:p>
    <w:tbl>
      <w:tblPr>
        <w:tblW w:w="13742" w:type="dxa"/>
        <w:jc w:val="left"/>
        <w:tblInd w:w="0" w:type="dxa"/>
        <w:tblCellMar>
          <w:top w:w="0" w:type="dxa"/>
          <w:left w:w="108" w:type="dxa"/>
          <w:bottom w:w="0" w:type="dxa"/>
          <w:right w:w="108" w:type="dxa"/>
        </w:tblCellMar>
        <w:tblLook w:val="04a0" w:noHBand="0" w:noVBand="1" w:firstColumn="1" w:lastRow="0" w:lastColumn="0" w:firstRow="1"/>
      </w:tblPr>
      <w:tblGrid>
        <w:gridCol w:w="1125"/>
        <w:gridCol w:w="1134"/>
        <w:gridCol w:w="993"/>
        <w:gridCol w:w="1025"/>
        <w:gridCol w:w="1101"/>
        <w:gridCol w:w="992"/>
        <w:gridCol w:w="1134"/>
        <w:gridCol w:w="1277"/>
        <w:gridCol w:w="1133"/>
        <w:gridCol w:w="1277"/>
        <w:gridCol w:w="992"/>
        <w:gridCol w:w="1558"/>
      </w:tblGrid>
      <w:tr>
        <w:trPr>
          <w:trHeight w:val="864" w:hRule="atLeast"/>
        </w:trPr>
        <w:tc>
          <w:tcPr>
            <w:tcW w:w="112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99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corn price</w:t>
            </w:r>
          </w:p>
        </w:tc>
        <w:tc>
          <w:tcPr>
            <w:tcW w:w="102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Crop production index</w:t>
            </w:r>
          </w:p>
        </w:tc>
        <w:tc>
          <w:tcPr>
            <w:tcW w:w="1101"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production</w:t>
            </w:r>
          </w:p>
        </w:tc>
        <w:tc>
          <w:tcPr>
            <w:tcW w:w="992"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Non-food production index</w:t>
            </w:r>
          </w:p>
        </w:tc>
        <w:tc>
          <w:tcPr>
            <w:tcW w:w="1277"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rice price</w:t>
            </w:r>
          </w:p>
        </w:tc>
        <w:tc>
          <w:tcPr>
            <w:tcW w:w="113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rubber price</w:t>
            </w:r>
          </w:p>
        </w:tc>
        <w:tc>
          <w:tcPr>
            <w:tcW w:w="1277"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sugar price</w:t>
            </w:r>
          </w:p>
        </w:tc>
        <w:tc>
          <w:tcPr>
            <w:tcW w:w="992"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1558"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125"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99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02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01"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92"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7"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7"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92"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558"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-4862.0919</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1.0624</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0.1706</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-4836.3869</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1.0497</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0.1518</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333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-4815.9945</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0.0350</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1.0565</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0.0710</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329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-4845.8437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0.0307</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1.0692</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0.0667</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297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-4834.6457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0.1971</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1.0755</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0.0449</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266</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-4861.4834</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0.3249</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1.0675</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0.0422</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-4873.5653</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0.2212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1.0696</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0.0410</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301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-4807.0666</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0.2078</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1.0633</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0.0353</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-4907.8295</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0.2912</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1.0698</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0.0346</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281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-4877.6298</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-0.0788</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1.0634</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0.0315</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270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-4836.7515</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0.2689</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1.0543</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0.0271</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-4846.1989</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0.1696</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1.0557</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0.0256</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271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-4879.5393</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0.2738</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1.0567</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0.0241</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285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-4841.5784</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-0.0252</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1.0501</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0.0207</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361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-4828.2578</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0.1405</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0.0270</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1.0777</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0.0112</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345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-4863.4507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-0.0903</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0.0311</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1.0704</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0.0098</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457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-4851.3178</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0.0276</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0.0738</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1.0709</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0.0093</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365</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-4798.0164</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0.1431</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0.0312</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1.0651</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0.0092</w:t>
            </w:r>
          </w:p>
        </w:tc>
      </w:tr>
      <w:tr>
        <w:trPr>
          <w:trHeight w:val="288" w:hRule="atLeast"/>
        </w:trPr>
        <w:tc>
          <w:tcPr>
            <w:tcW w:w="11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330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-4847.1571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0.0795</w:t>
            </w:r>
          </w:p>
        </w:tc>
        <w:tc>
          <w:tcPr>
            <w:tcW w:w="102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0.0599</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0.0280</w:t>
            </w:r>
          </w:p>
        </w:tc>
        <w:tc>
          <w:tcPr>
            <w:tcW w:w="1277"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1.0698</w:t>
            </w:r>
          </w:p>
        </w:tc>
        <w:tc>
          <w:tcPr>
            <w:tcW w:w="1558"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0.0092</w:t>
            </w:r>
          </w:p>
        </w:tc>
      </w:tr>
      <w:tr>
        <w:trPr>
          <w:trHeight w:val="288" w:hRule="atLeast"/>
        </w:trPr>
        <w:tc>
          <w:tcPr>
            <w:tcW w:w="112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331</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-4849.6337</w:t>
            </w:r>
          </w:p>
        </w:tc>
        <w:tc>
          <w:tcPr>
            <w:tcW w:w="99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02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0.0226</w:t>
            </w:r>
          </w:p>
        </w:tc>
        <w:tc>
          <w:tcPr>
            <w:tcW w:w="1101"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0.0600</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7"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0.0303</w:t>
            </w:r>
          </w:p>
        </w:tc>
        <w:tc>
          <w:tcPr>
            <w:tcW w:w="1277"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92"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1.0697</w:t>
            </w:r>
          </w:p>
        </w:tc>
        <w:tc>
          <w:tcPr>
            <w:tcW w:w="1558"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0.0090</w:t>
            </w:r>
          </w:p>
        </w:tc>
      </w:tr>
      <w:tr>
        <w:trPr>
          <w:trHeight w:val="864" w:hRule="atLeast"/>
        </w:trPr>
        <w:tc>
          <w:tcPr>
            <w:tcW w:w="112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-4849.0000</w:t>
            </w:r>
          </w:p>
        </w:tc>
        <w:tc>
          <w:tcPr>
            <w:tcW w:w="99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0.0257</w:t>
            </w:r>
          </w:p>
        </w:tc>
        <w:tc>
          <w:tcPr>
            <w:tcW w:w="102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0.0200</w:t>
            </w:r>
          </w:p>
        </w:tc>
        <w:tc>
          <w:tcPr>
            <w:tcW w:w="1101"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992"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0.0600</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-0.0046</w:t>
            </w:r>
          </w:p>
        </w:tc>
        <w:tc>
          <w:tcPr>
            <w:tcW w:w="1277"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0.0226</w:t>
            </w:r>
          </w:p>
        </w:tc>
        <w:tc>
          <w:tcPr>
            <w:tcW w:w="113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0.0074</w:t>
            </w:r>
          </w:p>
        </w:tc>
        <w:tc>
          <w:tcPr>
            <w:tcW w:w="1277"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0.0167</w:t>
            </w:r>
          </w:p>
        </w:tc>
        <w:tc>
          <w:tcPr>
            <w:tcW w:w="992"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1.0610</w:t>
            </w:r>
          </w:p>
        </w:tc>
        <w:tc>
          <w:tcPr>
            <w:tcW w:w="1558"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r>
    </w:p>
    <w:p>
      <w:pPr>
        <w:pStyle w:val="Normal"/>
        <w:rPr>
          <w:b/>
          <w:b/>
          <w:bCs/>
        </w:rPr>
      </w:pPr>
      <w:r>
        <w:rPr>
          <w:b/>
          <w:bCs/>
        </w:rPr>
      </w:r>
    </w:p>
    <w:p>
      <w:pPr>
        <w:pStyle w:val="Normal"/>
        <w:rPr>
          <w:b/>
          <w:b/>
          <w:bCs/>
          <w:sz w:val="18"/>
          <w:szCs w:val="18"/>
        </w:rPr>
      </w:pPr>
      <w:r>
        <w:rPr>
          <w:rFonts w:eastAsia="Times New Roman" w:cs="Calibri" w:cstheme="minorHAnsi"/>
          <w:b/>
          <w:bCs/>
          <w:color w:val="000000"/>
          <w:sz w:val="18"/>
          <w:szCs w:val="18"/>
          <w:lang w:eastAsia="en-GB"/>
        </w:rPr>
        <w:t>Table S14. Raw model coefficients and full averaged coefficients from the top commodity models (dAIC &lt; 6) where change in forest cover is the response. Two year time lag</w:t>
      </w:r>
    </w:p>
    <w:tbl>
      <w:tblPr>
        <w:tblW w:w="14167" w:type="dxa"/>
        <w:jc w:val="left"/>
        <w:tblInd w:w="0" w:type="dxa"/>
        <w:tblCellMar>
          <w:top w:w="0" w:type="dxa"/>
          <w:left w:w="108" w:type="dxa"/>
          <w:bottom w:w="0" w:type="dxa"/>
          <w:right w:w="108" w:type="dxa"/>
        </w:tblCellMar>
        <w:tblLook w:val="04a0" w:noHBand="0" w:noVBand="1" w:firstColumn="1" w:lastRow="0" w:lastColumn="0" w:firstRow="1"/>
      </w:tblPr>
      <w:tblGrid>
        <w:gridCol w:w="1126"/>
        <w:gridCol w:w="1133"/>
        <w:gridCol w:w="993"/>
        <w:gridCol w:w="1135"/>
        <w:gridCol w:w="1133"/>
        <w:gridCol w:w="1135"/>
        <w:gridCol w:w="1134"/>
        <w:gridCol w:w="1133"/>
        <w:gridCol w:w="1135"/>
        <w:gridCol w:w="1275"/>
        <w:gridCol w:w="1133"/>
        <w:gridCol w:w="1701"/>
      </w:tblGrid>
      <w:tr>
        <w:trPr>
          <w:trHeight w:val="864" w:hRule="atLeast"/>
        </w:trPr>
        <w:tc>
          <w:tcPr>
            <w:tcW w:w="1126"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99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corn price</w:t>
            </w:r>
          </w:p>
        </w:tc>
        <w:tc>
          <w:tcPr>
            <w:tcW w:w="113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Crop production index</w:t>
            </w:r>
          </w:p>
        </w:tc>
        <w:tc>
          <w:tcPr>
            <w:tcW w:w="113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production</w:t>
            </w:r>
          </w:p>
        </w:tc>
        <w:tc>
          <w:tcPr>
            <w:tcW w:w="113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1134"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Non-food production index</w:t>
            </w:r>
          </w:p>
        </w:tc>
        <w:tc>
          <w:tcPr>
            <w:tcW w:w="113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rice price</w:t>
            </w:r>
          </w:p>
        </w:tc>
        <w:tc>
          <w:tcPr>
            <w:tcW w:w="113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rubber price</w:t>
            </w:r>
          </w:p>
        </w:tc>
        <w:tc>
          <w:tcPr>
            <w:tcW w:w="1275"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Median sugar price</w:t>
            </w:r>
          </w:p>
        </w:tc>
        <w:tc>
          <w:tcPr>
            <w:tcW w:w="1133"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1701"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126"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133"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99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4"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275"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33"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701"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265</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-5052.3747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1.0808</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0.2476</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269</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-5093.2807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1.0395</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0.1761</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329</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-5059.4277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0.0623</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0.0168</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1.0858</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0.0510</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266</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-5029.0853</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-0.2125</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0.0620</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1.0751</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0.0455</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267</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-4995.2170</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-0.2349</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0.0617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1.0771</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0.0449</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393</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-5066.2363</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0.1050</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1.0823</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0.0438</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281</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-5064.9997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-0.0424</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1.0791</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0.0412</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297</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-5052.1736</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0.0622</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-0.0097</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1.0802</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0.0406</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333</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-5104.4906</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0.0628</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0.0214</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1.0437</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0.0335</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270</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-5064.6311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-0.2723</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0.0624</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1.0311</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0.0272</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271</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-5039.5731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-0.2200</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0.0621</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1.0363</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0.0242</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397</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-5100.3281</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0.0577</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1.0410</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0.0224</w:t>
            </w:r>
          </w:p>
        </w:tc>
      </w:tr>
      <w:tr>
        <w:trPr>
          <w:trHeight w:val="288" w:hRule="atLeast"/>
        </w:trPr>
        <w:tc>
          <w:tcPr>
            <w:tcW w:w="1126"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285</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-5099.9787</w:t>
            </w:r>
          </w:p>
        </w:tc>
        <w:tc>
          <w:tcPr>
            <w:tcW w:w="99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0.0627</w:t>
            </w:r>
          </w:p>
        </w:tc>
        <w:tc>
          <w:tcPr>
            <w:tcW w:w="1134"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-0.0229</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1.0387</w:t>
            </w:r>
          </w:p>
        </w:tc>
        <w:tc>
          <w:tcPr>
            <w:tcW w:w="170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0.0220</w:t>
            </w:r>
          </w:p>
        </w:tc>
      </w:tr>
      <w:tr>
        <w:trPr>
          <w:trHeight w:val="288" w:hRule="atLeast"/>
        </w:trPr>
        <w:tc>
          <w:tcPr>
            <w:tcW w:w="1126"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301</w:t>
            </w:r>
          </w:p>
        </w:tc>
        <w:tc>
          <w:tcPr>
            <w:tcW w:w="113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-5093.2571</w:t>
            </w:r>
          </w:p>
        </w:tc>
        <w:tc>
          <w:tcPr>
            <w:tcW w:w="99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113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0.0627</w:t>
            </w:r>
          </w:p>
        </w:tc>
        <w:tc>
          <w:tcPr>
            <w:tcW w:w="1134"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-0.0010</w:t>
            </w:r>
          </w:p>
        </w:tc>
        <w:tc>
          <w:tcPr>
            <w:tcW w:w="113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275"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133"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1.0395</w:t>
            </w:r>
          </w:p>
        </w:tc>
        <w:tc>
          <w:tcPr>
            <w:tcW w:w="1701"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0.0218</w:t>
            </w:r>
          </w:p>
        </w:tc>
      </w:tr>
      <w:tr>
        <w:trPr>
          <w:trHeight w:val="864" w:hRule="atLeast"/>
        </w:trPr>
        <w:tc>
          <w:tcPr>
            <w:tcW w:w="1126"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13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-5064.0000</w:t>
            </w:r>
          </w:p>
        </w:tc>
        <w:tc>
          <w:tcPr>
            <w:tcW w:w="99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-0.0203</w:t>
            </w:r>
          </w:p>
        </w:tc>
        <w:tc>
          <w:tcPr>
            <w:tcW w:w="113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-0.0188</w:t>
            </w:r>
          </w:p>
        </w:tc>
        <w:tc>
          <w:tcPr>
            <w:tcW w:w="113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-0.0001</w:t>
            </w:r>
          </w:p>
        </w:tc>
        <w:tc>
          <w:tcPr>
            <w:tcW w:w="113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0.0624</w:t>
            </w:r>
          </w:p>
        </w:tc>
        <w:tc>
          <w:tcPr>
            <w:tcW w:w="1134"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-0.0027</w:t>
            </w:r>
          </w:p>
        </w:tc>
        <w:tc>
          <w:tcPr>
            <w:tcW w:w="113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-0.0005</w:t>
            </w:r>
          </w:p>
        </w:tc>
        <w:tc>
          <w:tcPr>
            <w:tcW w:w="113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0.0019</w:t>
            </w:r>
          </w:p>
        </w:tc>
        <w:tc>
          <w:tcPr>
            <w:tcW w:w="1275"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0.0070</w:t>
            </w:r>
          </w:p>
        </w:tc>
        <w:tc>
          <w:tcPr>
            <w:tcW w:w="1133"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1.0640</w:t>
            </w:r>
          </w:p>
        </w:tc>
        <w:tc>
          <w:tcPr>
            <w:tcW w:w="1701"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i/>
          <w:i/>
          <w:iCs/>
        </w:rPr>
      </w:pPr>
      <w:r>
        <w:rPr>
          <w:i/>
          <w:iCs/>
        </w:rPr>
        <w:t xml:space="preserve">Producer predictors </w:t>
      </w:r>
    </w:p>
    <w:p>
      <w:pPr>
        <w:pStyle w:val="Normal"/>
        <w:rPr>
          <w:b/>
          <w:b/>
          <w:bCs/>
          <w:sz w:val="18"/>
          <w:szCs w:val="18"/>
        </w:rPr>
      </w:pPr>
      <w:r>
        <w:rPr>
          <w:rFonts w:eastAsia="Times New Roman" w:cs="Calibri" w:cstheme="minorHAnsi"/>
          <w:b/>
          <w:bCs/>
          <w:color w:val="000000"/>
          <w:sz w:val="18"/>
          <w:szCs w:val="18"/>
          <w:lang w:eastAsia="en-GB"/>
        </w:rPr>
        <w:t>Table S15. Raw model coefficients and full averaged coefficients from the top producer price models (dAIC &lt; 6) where change in forest cover is the response. No time lag</w:t>
      </w:r>
    </w:p>
    <w:tbl>
      <w:tblPr>
        <w:tblW w:w="12320" w:type="dxa"/>
        <w:jc w:val="left"/>
        <w:tblInd w:w="0" w:type="dxa"/>
        <w:tblCellMar>
          <w:top w:w="0" w:type="dxa"/>
          <w:left w:w="108" w:type="dxa"/>
          <w:bottom w:w="0" w:type="dxa"/>
          <w:right w:w="108" w:type="dxa"/>
        </w:tblCellMar>
        <w:tblLook w:val="04a0" w:noHBand="0" w:noVBand="1" w:firstColumn="1" w:lastRow="0" w:lastColumn="0" w:firstRow="1"/>
      </w:tblPr>
      <w:tblGrid>
        <w:gridCol w:w="1700"/>
        <w:gridCol w:w="1100"/>
        <w:gridCol w:w="1599"/>
        <w:gridCol w:w="1481"/>
        <w:gridCol w:w="1419"/>
        <w:gridCol w:w="1520"/>
        <w:gridCol w:w="1540"/>
        <w:gridCol w:w="980"/>
        <w:gridCol w:w="979"/>
      </w:tblGrid>
      <w:tr>
        <w:trPr>
          <w:trHeight w:val="576" w:hRule="atLeast"/>
        </w:trPr>
        <w:tc>
          <w:tcPr>
            <w:tcW w:w="17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159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1481"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cassava</w:t>
            </w:r>
          </w:p>
        </w:tc>
        <w:tc>
          <w:tcPr>
            <w:tcW w:w="141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corn</w:t>
            </w:r>
          </w:p>
        </w:tc>
        <w:tc>
          <w:tcPr>
            <w:tcW w:w="152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rubber</w:t>
            </w:r>
          </w:p>
        </w:tc>
        <w:tc>
          <w:tcPr>
            <w:tcW w:w="154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sugar</w:t>
            </w:r>
          </w:p>
        </w:tc>
        <w:tc>
          <w:tcPr>
            <w:tcW w:w="98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97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700"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100"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159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81"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1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52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54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8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7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34</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-4816.3795</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1.0714</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0.5223</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42</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-4836.1250</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0.0598</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0.1019</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1.0703</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0.0988</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36</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-4816.6141</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-0.0266</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1.0720</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0.0957</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38</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-4818.8862</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0.0597</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0.0199</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1.0714</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0.0956</w:t>
            </w:r>
          </w:p>
        </w:tc>
      </w:tr>
      <w:tr>
        <w:trPr>
          <w:trHeight w:val="288" w:hRule="atLeast"/>
        </w:trPr>
        <w:tc>
          <w:tcPr>
            <w:tcW w:w="17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w:t>
            </w:r>
          </w:p>
        </w:tc>
        <w:tc>
          <w:tcPr>
            <w:tcW w:w="11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-4813.0740</w:t>
            </w:r>
          </w:p>
        </w:tc>
        <w:tc>
          <w:tcPr>
            <w:tcW w:w="159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0.0596</w:t>
            </w:r>
          </w:p>
        </w:tc>
        <w:tc>
          <w:tcPr>
            <w:tcW w:w="1481"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-0.0015</w:t>
            </w:r>
          </w:p>
        </w:tc>
        <w:tc>
          <w:tcPr>
            <w:tcW w:w="98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1.0714</w:t>
            </w:r>
          </w:p>
        </w:tc>
        <w:tc>
          <w:tcPr>
            <w:tcW w:w="97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0.0956</w:t>
            </w:r>
          </w:p>
        </w:tc>
      </w:tr>
      <w:tr>
        <w:trPr>
          <w:trHeight w:val="648" w:hRule="atLeast"/>
        </w:trPr>
        <w:tc>
          <w:tcPr>
            <w:tcW w:w="17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1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-4818.0000</w:t>
            </w:r>
          </w:p>
        </w:tc>
        <w:tc>
          <w:tcPr>
            <w:tcW w:w="159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0.0597</w:t>
            </w:r>
          </w:p>
        </w:tc>
        <w:tc>
          <w:tcPr>
            <w:tcW w:w="1481"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-0.0028</w:t>
            </w:r>
          </w:p>
        </w:tc>
        <w:tc>
          <w:tcPr>
            <w:tcW w:w="141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0.0021</w:t>
            </w:r>
          </w:p>
        </w:tc>
        <w:tc>
          <w:tcPr>
            <w:tcW w:w="152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0.0111</w:t>
            </w:r>
          </w:p>
        </w:tc>
        <w:tc>
          <w:tcPr>
            <w:tcW w:w="154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-0.0002</w:t>
            </w:r>
          </w:p>
        </w:tc>
        <w:tc>
          <w:tcPr>
            <w:tcW w:w="98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1.0710</w:t>
            </w:r>
          </w:p>
        </w:tc>
        <w:tc>
          <w:tcPr>
            <w:tcW w:w="97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b/>
          <w:bCs/>
        </w:rPr>
      </w:r>
    </w:p>
    <w:p>
      <w:pPr>
        <w:pStyle w:val="Normal"/>
        <w:rPr>
          <w:b/>
          <w:b/>
          <w:bCs/>
          <w:sz w:val="18"/>
          <w:szCs w:val="18"/>
        </w:rPr>
      </w:pPr>
      <w:r>
        <w:rPr>
          <w:rFonts w:eastAsia="Times New Roman" w:cs="Calibri" w:cstheme="minorHAnsi"/>
          <w:b/>
          <w:bCs/>
          <w:color w:val="000000"/>
          <w:sz w:val="18"/>
          <w:szCs w:val="18"/>
          <w:lang w:eastAsia="en-GB"/>
        </w:rPr>
        <w:t>Table S16. Raw model coefficients and full averaged coefficients from the top producer price models (dAIC &lt; 6) where change in forest cover is the response. One year time lag</w:t>
      </w:r>
    </w:p>
    <w:tbl>
      <w:tblPr>
        <w:tblW w:w="12320" w:type="dxa"/>
        <w:jc w:val="left"/>
        <w:tblInd w:w="0" w:type="dxa"/>
        <w:tblCellMar>
          <w:top w:w="0" w:type="dxa"/>
          <w:left w:w="108" w:type="dxa"/>
          <w:bottom w:w="0" w:type="dxa"/>
          <w:right w:w="108" w:type="dxa"/>
        </w:tblCellMar>
        <w:tblLook w:val="04a0" w:noHBand="0" w:noVBand="1" w:firstColumn="1" w:lastRow="0" w:lastColumn="0" w:firstRow="1"/>
      </w:tblPr>
      <w:tblGrid>
        <w:gridCol w:w="1700"/>
        <w:gridCol w:w="1100"/>
        <w:gridCol w:w="1599"/>
        <w:gridCol w:w="1481"/>
        <w:gridCol w:w="1419"/>
        <w:gridCol w:w="1520"/>
        <w:gridCol w:w="1540"/>
        <w:gridCol w:w="980"/>
        <w:gridCol w:w="979"/>
      </w:tblGrid>
      <w:tr>
        <w:trPr>
          <w:trHeight w:val="576" w:hRule="atLeast"/>
        </w:trPr>
        <w:tc>
          <w:tcPr>
            <w:tcW w:w="17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159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1481"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cassava</w:t>
            </w:r>
          </w:p>
        </w:tc>
        <w:tc>
          <w:tcPr>
            <w:tcW w:w="141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corn</w:t>
            </w:r>
          </w:p>
        </w:tc>
        <w:tc>
          <w:tcPr>
            <w:tcW w:w="152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rubber</w:t>
            </w:r>
          </w:p>
        </w:tc>
        <w:tc>
          <w:tcPr>
            <w:tcW w:w="154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sugar</w:t>
            </w:r>
          </w:p>
        </w:tc>
        <w:tc>
          <w:tcPr>
            <w:tcW w:w="98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97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700"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100"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159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81"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1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52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54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8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7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34</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-4862.0919</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0.0601</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1.0624</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0.5219</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-4817.1782</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0.0597</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-0.0218</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1.0570</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0.1029</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36</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-4875.0600</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0.0603</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0.1872</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1.0575</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0.0980</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42</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-4873.1987</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0.0602</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0.1034</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1.0689</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0.0930</w:t>
            </w:r>
          </w:p>
        </w:tc>
      </w:tr>
      <w:tr>
        <w:trPr>
          <w:trHeight w:val="288" w:hRule="atLeast"/>
        </w:trPr>
        <w:tc>
          <w:tcPr>
            <w:tcW w:w="17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38</w:t>
            </w:r>
          </w:p>
        </w:tc>
        <w:tc>
          <w:tcPr>
            <w:tcW w:w="11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-4843.9723</w:t>
            </w:r>
          </w:p>
        </w:tc>
        <w:tc>
          <w:tcPr>
            <w:tcW w:w="159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0.0599</w:t>
            </w:r>
          </w:p>
        </w:tc>
        <w:tc>
          <w:tcPr>
            <w:tcW w:w="1481"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-0.1068</w:t>
            </w:r>
          </w:p>
        </w:tc>
        <w:tc>
          <w:tcPr>
            <w:tcW w:w="152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1.0629</w:t>
            </w:r>
          </w:p>
        </w:tc>
        <w:tc>
          <w:tcPr>
            <w:tcW w:w="97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0.0928</w:t>
            </w:r>
          </w:p>
        </w:tc>
      </w:tr>
      <w:tr>
        <w:trPr>
          <w:trHeight w:val="576" w:hRule="atLeast"/>
        </w:trPr>
        <w:tc>
          <w:tcPr>
            <w:tcW w:w="17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1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-4858.0000</w:t>
            </w:r>
          </w:p>
        </w:tc>
        <w:tc>
          <w:tcPr>
            <w:tcW w:w="159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0.0601</w:t>
            </w:r>
          </w:p>
        </w:tc>
        <w:tc>
          <w:tcPr>
            <w:tcW w:w="1481"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0.0202</w:t>
            </w:r>
          </w:p>
        </w:tc>
        <w:tc>
          <w:tcPr>
            <w:tcW w:w="141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-0.0109</w:t>
            </w:r>
          </w:p>
        </w:tc>
        <w:tc>
          <w:tcPr>
            <w:tcW w:w="152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0.0106</w:t>
            </w:r>
          </w:p>
        </w:tc>
        <w:tc>
          <w:tcPr>
            <w:tcW w:w="154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-0.0025</w:t>
            </w:r>
          </w:p>
        </w:tc>
        <w:tc>
          <w:tcPr>
            <w:tcW w:w="98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1.0620</w:t>
            </w:r>
          </w:p>
        </w:tc>
        <w:tc>
          <w:tcPr>
            <w:tcW w:w="97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sz w:val="18"/>
          <w:szCs w:val="18"/>
        </w:rPr>
      </w:pPr>
      <w:r>
        <w:rPr>
          <w:rFonts w:eastAsia="Times New Roman" w:cs="Calibri" w:cstheme="minorHAnsi"/>
          <w:b/>
          <w:bCs/>
          <w:color w:val="000000"/>
          <w:sz w:val="18"/>
          <w:szCs w:val="18"/>
          <w:lang w:eastAsia="en-GB"/>
        </w:rPr>
        <w:t>Table S17. Raw model coefficients and full averaged coefficients from the top producer price models (dAIC &lt; 6) where change in forest cover is the response. Two year time lag</w:t>
      </w:r>
    </w:p>
    <w:tbl>
      <w:tblPr>
        <w:tblW w:w="12320" w:type="dxa"/>
        <w:jc w:val="left"/>
        <w:tblInd w:w="0" w:type="dxa"/>
        <w:tblCellMar>
          <w:top w:w="0" w:type="dxa"/>
          <w:left w:w="108" w:type="dxa"/>
          <w:bottom w:w="0" w:type="dxa"/>
          <w:right w:w="108" w:type="dxa"/>
        </w:tblCellMar>
        <w:tblLook w:val="04a0" w:noHBand="0" w:noVBand="1" w:firstColumn="1" w:lastRow="0" w:lastColumn="0" w:firstRow="1"/>
      </w:tblPr>
      <w:tblGrid>
        <w:gridCol w:w="1700"/>
        <w:gridCol w:w="1100"/>
        <w:gridCol w:w="1599"/>
        <w:gridCol w:w="1481"/>
        <w:gridCol w:w="1419"/>
        <w:gridCol w:w="1520"/>
        <w:gridCol w:w="1540"/>
        <w:gridCol w:w="980"/>
        <w:gridCol w:w="979"/>
      </w:tblGrid>
      <w:tr>
        <w:trPr>
          <w:trHeight w:val="576" w:hRule="atLeast"/>
        </w:trPr>
        <w:tc>
          <w:tcPr>
            <w:tcW w:w="17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10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(Intercept)</w:t>
            </w:r>
          </w:p>
        </w:tc>
        <w:tc>
          <w:tcPr>
            <w:tcW w:w="159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Forest remaining</w:t>
            </w:r>
          </w:p>
        </w:tc>
        <w:tc>
          <w:tcPr>
            <w:tcW w:w="1481"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cassava</w:t>
            </w:r>
          </w:p>
        </w:tc>
        <w:tc>
          <w:tcPr>
            <w:tcW w:w="141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corn</w:t>
            </w:r>
          </w:p>
        </w:tc>
        <w:tc>
          <w:tcPr>
            <w:tcW w:w="152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rubber</w:t>
            </w:r>
          </w:p>
        </w:tc>
        <w:tc>
          <w:tcPr>
            <w:tcW w:w="154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Producer price sugar</w:t>
            </w:r>
          </w:p>
        </w:tc>
        <w:tc>
          <w:tcPr>
            <w:tcW w:w="980"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Time</w:t>
            </w:r>
          </w:p>
        </w:tc>
        <w:tc>
          <w:tcPr>
            <w:tcW w:w="979" w:type="dxa"/>
            <w:tcBorders>
              <w:top w:val="single" w:sz="12"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weight</w:t>
            </w:r>
          </w:p>
        </w:tc>
      </w:tr>
      <w:tr>
        <w:trPr>
          <w:trHeight w:val="288" w:hRule="atLeast"/>
        </w:trPr>
        <w:tc>
          <w:tcPr>
            <w:tcW w:w="1700"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t>Model</w:t>
            </w:r>
          </w:p>
        </w:tc>
        <w:tc>
          <w:tcPr>
            <w:tcW w:w="1100" w:type="dxa"/>
            <w:tcBorders>
              <w:top w:val="single" w:sz="12" w:space="0" w:color="000000"/>
            </w:tcBorders>
            <w:shd w:color="auto" w:fill="auto" w:val="clear"/>
          </w:tcPr>
          <w:p>
            <w:pPr>
              <w:pStyle w:val="Normal"/>
              <w:spacing w:lineRule="auto" w:line="240" w:before="0" w:after="0"/>
              <w:rPr>
                <w:rFonts w:eastAsia="Times New Roman" w:cs="Calibri" w:cstheme="minorHAnsi"/>
                <w:b/>
                <w:b/>
                <w:bCs/>
                <w:color w:val="000000"/>
                <w:sz w:val="18"/>
                <w:szCs w:val="18"/>
                <w:lang w:eastAsia="en-GB"/>
              </w:rPr>
            </w:pPr>
            <w:r>
              <w:rPr>
                <w:rFonts w:eastAsia="Times New Roman" w:cs="Calibri" w:cstheme="minorHAnsi"/>
                <w:b/>
                <w:bCs/>
                <w:color w:val="000000"/>
                <w:sz w:val="18"/>
                <w:szCs w:val="18"/>
                <w:lang w:eastAsia="en-GB"/>
              </w:rPr>
            </w:r>
          </w:p>
        </w:tc>
        <w:tc>
          <w:tcPr>
            <w:tcW w:w="159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81"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41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52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154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80"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c>
          <w:tcPr>
            <w:tcW w:w="979" w:type="dxa"/>
            <w:tcBorders>
              <w:top w:val="single" w:sz="12" w:space="0" w:color="000000"/>
            </w:tcBorders>
            <w:shd w:color="auto" w:fill="auto" w:val="clear"/>
          </w:tcPr>
          <w:p>
            <w:pPr>
              <w:pStyle w:val="Normal"/>
              <w:spacing w:lineRule="auto" w:line="240" w:before="0" w:after="0"/>
              <w:rPr>
                <w:rFonts w:eastAsia="Times New Roman" w:cs="Calibri" w:cstheme="minorHAnsi"/>
                <w:sz w:val="18"/>
                <w:szCs w:val="18"/>
                <w:lang w:eastAsia="en-GB"/>
              </w:rPr>
            </w:pPr>
            <w:r>
              <w:rPr>
                <w:rFonts w:eastAsia="Times New Roman" w:cs="Calibri" w:cstheme="minorHAnsi"/>
                <w:sz w:val="18"/>
                <w:szCs w:val="18"/>
                <w:lang w:eastAsia="en-GB"/>
              </w:rPr>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34</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-5052.3747</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0.0622</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1.0808</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0.4680</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-4941.1060</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0.0611</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-0.0504</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1.0555</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0.1440</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36</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-5051.3415</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0.0622</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0.3695</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1.0895</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0.1057</w:t>
            </w:r>
          </w:p>
        </w:tc>
      </w:tr>
      <w:tr>
        <w:trPr>
          <w:trHeight w:val="288" w:hRule="atLeast"/>
        </w:trPr>
        <w:tc>
          <w:tcPr>
            <w:tcW w:w="17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42</w:t>
            </w:r>
          </w:p>
        </w:tc>
        <w:tc>
          <w:tcPr>
            <w:tcW w:w="110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-5013.6007</w:t>
            </w:r>
          </w:p>
        </w:tc>
        <w:tc>
          <w:tcPr>
            <w:tcW w:w="159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0.0618</w:t>
            </w:r>
          </w:p>
        </w:tc>
        <w:tc>
          <w:tcPr>
            <w:tcW w:w="1481"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2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-0.2675</w:t>
            </w:r>
          </w:p>
        </w:tc>
        <w:tc>
          <w:tcPr>
            <w:tcW w:w="154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1.0614</w:t>
            </w:r>
          </w:p>
        </w:tc>
        <w:tc>
          <w:tcPr>
            <w:tcW w:w="979" w:type="dxa"/>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0.0904</w:t>
            </w:r>
          </w:p>
        </w:tc>
      </w:tr>
      <w:tr>
        <w:trPr>
          <w:trHeight w:val="288" w:hRule="atLeast"/>
        </w:trPr>
        <w:tc>
          <w:tcPr>
            <w:tcW w:w="17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38</w:t>
            </w:r>
          </w:p>
        </w:tc>
        <w:tc>
          <w:tcPr>
            <w:tcW w:w="110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-5018.3049</w:t>
            </w:r>
          </w:p>
        </w:tc>
        <w:tc>
          <w:tcPr>
            <w:tcW w:w="159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0.0619</w:t>
            </w:r>
          </w:p>
        </w:tc>
        <w:tc>
          <w:tcPr>
            <w:tcW w:w="1481"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41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-0.2087</w:t>
            </w:r>
          </w:p>
        </w:tc>
        <w:tc>
          <w:tcPr>
            <w:tcW w:w="152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154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NA</w:t>
            </w:r>
          </w:p>
        </w:tc>
        <w:tc>
          <w:tcPr>
            <w:tcW w:w="980"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1.0763</w:t>
            </w:r>
          </w:p>
        </w:tc>
        <w:tc>
          <w:tcPr>
            <w:tcW w:w="979" w:type="dxa"/>
            <w:tcBorders>
              <w:bottom w:val="single" w:sz="6"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0.0835</w:t>
            </w:r>
          </w:p>
        </w:tc>
      </w:tr>
      <w:tr>
        <w:trPr>
          <w:trHeight w:val="576" w:hRule="atLeast"/>
        </w:trPr>
        <w:tc>
          <w:tcPr>
            <w:tcW w:w="17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Model averaged coefficients</w:t>
            </w:r>
          </w:p>
        </w:tc>
        <w:tc>
          <w:tcPr>
            <w:tcW w:w="110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-5027.0000</w:t>
            </w:r>
          </w:p>
        </w:tc>
        <w:tc>
          <w:tcPr>
            <w:tcW w:w="159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0.0620</w:t>
            </w:r>
          </w:p>
        </w:tc>
        <w:tc>
          <w:tcPr>
            <w:tcW w:w="1481"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0.0438</w:t>
            </w:r>
          </w:p>
        </w:tc>
        <w:tc>
          <w:tcPr>
            <w:tcW w:w="141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-0.0195</w:t>
            </w:r>
          </w:p>
        </w:tc>
        <w:tc>
          <w:tcPr>
            <w:tcW w:w="152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-0.0271</w:t>
            </w:r>
          </w:p>
        </w:tc>
        <w:tc>
          <w:tcPr>
            <w:tcW w:w="154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-0.0081</w:t>
            </w:r>
          </w:p>
        </w:tc>
        <w:tc>
          <w:tcPr>
            <w:tcW w:w="980"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t>1.0750</w:t>
            </w:r>
          </w:p>
        </w:tc>
        <w:tc>
          <w:tcPr>
            <w:tcW w:w="979" w:type="dxa"/>
            <w:tcBorders>
              <w:top w:val="single" w:sz="6" w:space="0" w:color="000000"/>
              <w:bottom w:val="single" w:sz="12" w:space="0" w:color="000000"/>
            </w:tcBorders>
            <w:shd w:color="auto" w:fill="auto" w:val="clear"/>
          </w:tcPr>
          <w:p>
            <w:pPr>
              <w:pStyle w:val="Normal"/>
              <w:spacing w:lineRule="auto" w:line="240" w:before="0" w:after="0"/>
              <w:rPr>
                <w:rFonts w:eastAsia="Times New Roman" w:cs="Calibri" w:cstheme="minorHAnsi"/>
                <w:color w:val="000000"/>
                <w:sz w:val="18"/>
                <w:szCs w:val="18"/>
                <w:lang w:eastAsia="en-GB"/>
              </w:rPr>
            </w:pPr>
            <w:r>
              <w:rPr>
                <w:rFonts w:eastAsia="Times New Roman" w:cs="Calibri" w:cstheme="minorHAnsi"/>
                <w:color w:val="000000"/>
                <w:sz w:val="18"/>
                <w:szCs w:val="18"/>
                <w:lang w:eastAsia="en-GB"/>
              </w:rPr>
            </w:r>
          </w:p>
        </w:tc>
      </w:tr>
    </w:tbl>
    <w:p>
      <w:pPr>
        <w:pStyle w:val="Normal"/>
        <w:rPr>
          <w:b/>
          <w:b/>
          <w:bCs/>
        </w:rPr>
      </w:pPr>
      <w:r>
        <w:rPr>
          <w:b/>
          <w:bCs/>
        </w:rPr>
      </w:r>
    </w:p>
    <w:p>
      <w:pPr>
        <w:pStyle w:val="Normal"/>
        <w:rPr>
          <w:b/>
          <w:b/>
          <w:bCs/>
        </w:rPr>
      </w:pPr>
      <w:r>
        <w:rPr>
          <w:b/>
          <w:bCs/>
        </w:rPr>
      </w:r>
    </w:p>
    <w:p>
      <w:pPr>
        <w:sectPr>
          <w:type w:val="nextPage"/>
          <w:pgSz w:orient="landscape" w:w="16838" w:h="11906"/>
          <w:pgMar w:left="1440" w:right="1440" w:header="0" w:top="1440" w:footer="0" w:bottom="1440" w:gutter="0"/>
          <w:pgNumType w:fmt="decimal"/>
          <w:formProt w:val="false"/>
          <w:textDirection w:val="lrTb"/>
          <w:docGrid w:type="default" w:linePitch="360" w:charSpace="4096"/>
        </w:sectPr>
        <w:pStyle w:val="Normal"/>
        <w:rPr>
          <w:b/>
          <w:b/>
          <w:bCs/>
        </w:rPr>
      </w:pPr>
      <w:r>
        <w:rPr>
          <w:b/>
          <w:bCs/>
        </w:rPr>
      </w:r>
    </w:p>
    <w:p>
      <w:pPr>
        <w:pStyle w:val="Normal"/>
        <w:rPr>
          <w:i/>
          <w:i/>
          <w:iCs/>
        </w:rPr>
      </w:pPr>
      <w:r>
        <w:rPr>
          <w:i/>
          <w:iCs/>
        </w:rPr>
        <w:t>Models with new ELC allocation as the response</w:t>
      </w:r>
    </w:p>
    <w:p>
      <w:pPr>
        <w:pStyle w:val="Normal"/>
        <w:rPr>
          <w:b/>
          <w:b/>
          <w:bCs/>
        </w:rPr>
      </w:pPr>
      <w:r>
        <w:rPr>
          <w:b/>
          <w:bCs/>
        </w:rPr>
      </w:r>
    </w:p>
    <w:p>
      <w:pPr>
        <w:pStyle w:val="Normal"/>
        <w:rPr>
          <w:b/>
          <w:b/>
          <w:bCs/>
          <w:sz w:val="18"/>
          <w:szCs w:val="18"/>
        </w:rPr>
      </w:pPr>
      <w:r>
        <w:rPr>
          <w:b/>
          <w:bCs/>
          <w:sz w:val="18"/>
          <w:szCs w:val="18"/>
        </w:rPr>
        <w:t>Table S18. Summary of new ELCs allocated during the study period, the stated primary crop, and the commodity and producer prices for the different crops.</w:t>
      </w:r>
    </w:p>
    <w:tbl>
      <w:tblPr>
        <w:tblStyle w:val="TableGrid"/>
        <w:tblW w:w="9634" w:type="dxa"/>
        <w:jc w:val="left"/>
        <w:tblInd w:w="0" w:type="dxa"/>
        <w:tblCellMar>
          <w:top w:w="0" w:type="dxa"/>
          <w:left w:w="108" w:type="dxa"/>
          <w:bottom w:w="0" w:type="dxa"/>
          <w:right w:w="108" w:type="dxa"/>
        </w:tblCellMar>
        <w:tblLook w:val="04a0" w:noHBand="0" w:noVBand="1" w:firstColumn="1" w:lastRow="0" w:lastColumn="0" w:firstRow="1"/>
      </w:tblPr>
      <w:tblGrid>
        <w:gridCol w:w="1270"/>
        <w:gridCol w:w="993"/>
        <w:gridCol w:w="993"/>
        <w:gridCol w:w="992"/>
        <w:gridCol w:w="991"/>
        <w:gridCol w:w="1134"/>
        <w:gridCol w:w="285"/>
        <w:gridCol w:w="992"/>
        <w:gridCol w:w="991"/>
        <w:gridCol w:w="992"/>
      </w:tblGrid>
      <w:tr>
        <w:trPr/>
        <w:tc>
          <w:tcPr>
            <w:tcW w:w="1270" w:type="dxa"/>
            <w:tcBorders>
              <w:top w:val="single" w:sz="12" w:space="0" w:color="000000"/>
              <w:left w:val="nil"/>
              <w:bottom w:val="nil"/>
              <w:right w:val="nil"/>
            </w:tcBorders>
          </w:tcPr>
          <w:p>
            <w:pPr>
              <w:pStyle w:val="Normal"/>
              <w:spacing w:lineRule="auto" w:line="240" w:before="0" w:after="0"/>
              <w:rPr>
                <w:b/>
                <w:b/>
                <w:bCs/>
                <w:sz w:val="20"/>
                <w:szCs w:val="20"/>
              </w:rPr>
            </w:pPr>
            <w:r>
              <w:rPr>
                <w:b/>
                <w:bCs/>
                <w:sz w:val="20"/>
                <w:szCs w:val="20"/>
              </w:rPr>
            </w:r>
          </w:p>
        </w:tc>
        <w:tc>
          <w:tcPr>
            <w:tcW w:w="993" w:type="dxa"/>
            <w:tcBorders>
              <w:top w:val="single" w:sz="12" w:space="0" w:color="000000"/>
              <w:left w:val="nil"/>
              <w:bottom w:val="nil"/>
              <w:right w:val="nil"/>
            </w:tcBorders>
          </w:tcPr>
          <w:p>
            <w:pPr>
              <w:pStyle w:val="Normal"/>
              <w:spacing w:lineRule="auto" w:line="240" w:before="0" w:after="0"/>
              <w:rPr>
                <w:b/>
                <w:b/>
                <w:bCs/>
                <w:sz w:val="20"/>
                <w:szCs w:val="20"/>
              </w:rPr>
            </w:pPr>
            <w:r>
              <w:rPr>
                <w:b/>
                <w:bCs/>
                <w:sz w:val="20"/>
                <w:szCs w:val="20"/>
              </w:rPr>
            </w:r>
          </w:p>
        </w:tc>
        <w:tc>
          <w:tcPr>
            <w:tcW w:w="993" w:type="dxa"/>
            <w:tcBorders>
              <w:top w:val="single" w:sz="12" w:space="0" w:color="000000"/>
              <w:left w:val="nil"/>
              <w:bottom w:val="nil"/>
              <w:right w:val="nil"/>
            </w:tcBorders>
          </w:tcPr>
          <w:p>
            <w:pPr>
              <w:pStyle w:val="Normal"/>
              <w:spacing w:lineRule="auto" w:line="240" w:before="0" w:after="0"/>
              <w:rPr>
                <w:b/>
                <w:b/>
                <w:bCs/>
                <w:sz w:val="20"/>
                <w:szCs w:val="20"/>
              </w:rPr>
            </w:pPr>
            <w:r>
              <w:rPr>
                <w:b/>
                <w:bCs/>
                <w:sz w:val="20"/>
                <w:szCs w:val="20"/>
              </w:rPr>
            </w:r>
          </w:p>
        </w:tc>
        <w:tc>
          <w:tcPr>
            <w:tcW w:w="3117" w:type="dxa"/>
            <w:gridSpan w:val="3"/>
            <w:tcBorders>
              <w:top w:val="single" w:sz="12" w:space="0" w:color="000000"/>
              <w:left w:val="nil"/>
              <w:bottom w:val="single" w:sz="6" w:space="0" w:color="000000"/>
              <w:right w:val="nil"/>
            </w:tcBorders>
          </w:tcPr>
          <w:p>
            <w:pPr>
              <w:pStyle w:val="Normal"/>
              <w:spacing w:lineRule="auto" w:line="240" w:before="0" w:after="0"/>
              <w:rPr>
                <w:b/>
                <w:b/>
                <w:bCs/>
                <w:sz w:val="20"/>
                <w:szCs w:val="20"/>
              </w:rPr>
            </w:pPr>
            <w:r>
              <w:rPr>
                <w:b/>
                <w:bCs/>
                <w:sz w:val="20"/>
                <w:szCs w:val="20"/>
              </w:rPr>
              <w:t>Commodity prices ($/ton)</w:t>
            </w:r>
          </w:p>
        </w:tc>
        <w:tc>
          <w:tcPr>
            <w:tcW w:w="285" w:type="dxa"/>
            <w:tcBorders>
              <w:top w:val="single" w:sz="12" w:space="0" w:color="000000"/>
              <w:left w:val="nil"/>
              <w:bottom w:val="nil"/>
              <w:right w:val="nil"/>
            </w:tcBorders>
          </w:tcPr>
          <w:p>
            <w:pPr>
              <w:pStyle w:val="Normal"/>
              <w:spacing w:lineRule="auto" w:line="240" w:before="0" w:after="0"/>
              <w:rPr>
                <w:b/>
                <w:b/>
                <w:bCs/>
                <w:sz w:val="20"/>
                <w:szCs w:val="20"/>
              </w:rPr>
            </w:pPr>
            <w:r>
              <w:rPr>
                <w:b/>
                <w:bCs/>
                <w:sz w:val="20"/>
                <w:szCs w:val="20"/>
              </w:rPr>
            </w:r>
          </w:p>
        </w:tc>
        <w:tc>
          <w:tcPr>
            <w:tcW w:w="2975" w:type="dxa"/>
            <w:gridSpan w:val="3"/>
            <w:tcBorders>
              <w:top w:val="single" w:sz="12" w:space="0" w:color="000000"/>
              <w:left w:val="nil"/>
              <w:bottom w:val="nil"/>
              <w:right w:val="nil"/>
            </w:tcBorders>
          </w:tcPr>
          <w:p>
            <w:pPr>
              <w:pStyle w:val="Normal"/>
              <w:spacing w:lineRule="auto" w:line="240" w:before="0" w:after="0"/>
              <w:rPr>
                <w:b/>
                <w:b/>
                <w:bCs/>
                <w:sz w:val="20"/>
                <w:szCs w:val="20"/>
              </w:rPr>
            </w:pPr>
            <w:r>
              <w:rPr>
                <w:b/>
                <w:bCs/>
                <w:sz w:val="20"/>
                <w:szCs w:val="20"/>
              </w:rPr>
              <w:t>Producer prices ($/ton)</w:t>
            </w:r>
          </w:p>
        </w:tc>
      </w:tr>
      <w:tr>
        <w:trPr/>
        <w:tc>
          <w:tcPr>
            <w:tcW w:w="1270" w:type="dxa"/>
            <w:tcBorders>
              <w:top w:val="nil"/>
              <w:left w:val="nil"/>
              <w:bottom w:val="single" w:sz="12" w:space="0" w:color="000000"/>
              <w:right w:val="nil"/>
            </w:tcBorders>
          </w:tcPr>
          <w:p>
            <w:pPr>
              <w:pStyle w:val="Normal"/>
              <w:spacing w:lineRule="auto" w:line="240" w:before="0" w:after="0"/>
              <w:rPr>
                <w:b/>
                <w:b/>
                <w:bCs/>
                <w:sz w:val="20"/>
                <w:szCs w:val="20"/>
              </w:rPr>
            </w:pPr>
            <w:r>
              <w:rPr>
                <w:b/>
                <w:bCs/>
                <w:sz w:val="20"/>
                <w:szCs w:val="20"/>
              </w:rPr>
              <w:t>ELC primary crop</w:t>
            </w:r>
          </w:p>
        </w:tc>
        <w:tc>
          <w:tcPr>
            <w:tcW w:w="993" w:type="dxa"/>
            <w:tcBorders>
              <w:top w:val="nil"/>
              <w:left w:val="nil"/>
              <w:bottom w:val="single" w:sz="12" w:space="0" w:color="000000"/>
              <w:right w:val="nil"/>
            </w:tcBorders>
          </w:tcPr>
          <w:p>
            <w:pPr>
              <w:pStyle w:val="Normal"/>
              <w:spacing w:lineRule="auto" w:line="240" w:before="0" w:after="0"/>
              <w:rPr>
                <w:b/>
                <w:b/>
                <w:bCs/>
                <w:sz w:val="20"/>
                <w:szCs w:val="20"/>
              </w:rPr>
            </w:pPr>
            <w:r>
              <w:rPr>
                <w:b/>
                <w:bCs/>
                <w:sz w:val="20"/>
                <w:szCs w:val="20"/>
              </w:rPr>
              <w:t>Number of new ELCs</w:t>
            </w:r>
          </w:p>
        </w:tc>
        <w:tc>
          <w:tcPr>
            <w:tcW w:w="993" w:type="dxa"/>
            <w:tcBorders>
              <w:top w:val="nil"/>
              <w:left w:val="nil"/>
              <w:bottom w:val="single" w:sz="12" w:space="0" w:color="000000"/>
              <w:right w:val="nil"/>
            </w:tcBorders>
          </w:tcPr>
          <w:p>
            <w:pPr>
              <w:pStyle w:val="Normal"/>
              <w:spacing w:lineRule="auto" w:line="240" w:before="0" w:after="0"/>
              <w:rPr>
                <w:b/>
                <w:b/>
                <w:bCs/>
                <w:sz w:val="20"/>
                <w:szCs w:val="20"/>
              </w:rPr>
            </w:pPr>
            <w:r>
              <w:rPr>
                <w:b/>
                <w:bCs/>
                <w:sz w:val="20"/>
                <w:szCs w:val="20"/>
              </w:rPr>
              <w:t>% of total</w:t>
            </w:r>
          </w:p>
        </w:tc>
        <w:tc>
          <w:tcPr>
            <w:tcW w:w="992" w:type="dxa"/>
            <w:tcBorders>
              <w:top w:val="single" w:sz="6" w:space="0" w:color="000000"/>
              <w:left w:val="nil"/>
              <w:bottom w:val="single" w:sz="12" w:space="0" w:color="000000"/>
              <w:right w:val="nil"/>
            </w:tcBorders>
          </w:tcPr>
          <w:p>
            <w:pPr>
              <w:pStyle w:val="Normal"/>
              <w:spacing w:lineRule="auto" w:line="240" w:before="0" w:after="0"/>
              <w:rPr>
                <w:b/>
                <w:b/>
                <w:bCs/>
                <w:sz w:val="20"/>
                <w:szCs w:val="20"/>
              </w:rPr>
            </w:pPr>
            <w:r>
              <w:rPr>
                <w:b/>
                <w:bCs/>
                <w:sz w:val="20"/>
                <w:szCs w:val="20"/>
              </w:rPr>
              <w:t>Max value</w:t>
            </w:r>
          </w:p>
        </w:tc>
        <w:tc>
          <w:tcPr>
            <w:tcW w:w="991" w:type="dxa"/>
            <w:tcBorders>
              <w:top w:val="single" w:sz="6" w:space="0" w:color="000000"/>
              <w:left w:val="nil"/>
              <w:bottom w:val="single" w:sz="12" w:space="0" w:color="000000"/>
              <w:right w:val="nil"/>
            </w:tcBorders>
          </w:tcPr>
          <w:p>
            <w:pPr>
              <w:pStyle w:val="Normal"/>
              <w:spacing w:lineRule="auto" w:line="240" w:before="0" w:after="0"/>
              <w:rPr>
                <w:b/>
                <w:b/>
                <w:bCs/>
                <w:sz w:val="20"/>
                <w:szCs w:val="20"/>
              </w:rPr>
            </w:pPr>
            <w:r>
              <w:rPr>
                <w:b/>
                <w:bCs/>
                <w:sz w:val="20"/>
                <w:szCs w:val="20"/>
              </w:rPr>
              <w:t>Min value</w:t>
            </w:r>
          </w:p>
        </w:tc>
        <w:tc>
          <w:tcPr>
            <w:tcW w:w="1134" w:type="dxa"/>
            <w:tcBorders>
              <w:top w:val="single" w:sz="6" w:space="0" w:color="000000"/>
              <w:left w:val="nil"/>
              <w:bottom w:val="single" w:sz="12" w:space="0" w:color="000000"/>
              <w:right w:val="nil"/>
            </w:tcBorders>
          </w:tcPr>
          <w:p>
            <w:pPr>
              <w:pStyle w:val="Normal"/>
              <w:spacing w:lineRule="auto" w:line="240" w:before="0" w:after="0"/>
              <w:rPr>
                <w:b/>
                <w:b/>
                <w:bCs/>
                <w:sz w:val="20"/>
                <w:szCs w:val="20"/>
              </w:rPr>
            </w:pPr>
            <w:r>
              <w:rPr>
                <w:b/>
                <w:bCs/>
                <w:sz w:val="20"/>
                <w:szCs w:val="20"/>
              </w:rPr>
              <w:t>Mean value</w:t>
            </w:r>
          </w:p>
        </w:tc>
        <w:tc>
          <w:tcPr>
            <w:tcW w:w="285" w:type="dxa"/>
            <w:tcBorders>
              <w:top w:val="single" w:sz="6" w:space="0" w:color="000000"/>
              <w:left w:val="nil"/>
              <w:bottom w:val="single" w:sz="12" w:space="0" w:color="000000"/>
              <w:right w:val="nil"/>
            </w:tcBorders>
          </w:tcPr>
          <w:p>
            <w:pPr>
              <w:pStyle w:val="Normal"/>
              <w:spacing w:lineRule="auto" w:line="240" w:before="0" w:after="0"/>
              <w:rPr>
                <w:b/>
                <w:b/>
                <w:bCs/>
                <w:sz w:val="20"/>
                <w:szCs w:val="20"/>
              </w:rPr>
            </w:pPr>
            <w:r>
              <w:rPr>
                <w:b/>
                <w:bCs/>
                <w:sz w:val="20"/>
                <w:szCs w:val="20"/>
              </w:rPr>
            </w:r>
          </w:p>
        </w:tc>
        <w:tc>
          <w:tcPr>
            <w:tcW w:w="992" w:type="dxa"/>
            <w:tcBorders>
              <w:top w:val="single" w:sz="6" w:space="0" w:color="000000"/>
              <w:left w:val="nil"/>
              <w:bottom w:val="single" w:sz="12" w:space="0" w:color="000000"/>
              <w:right w:val="nil"/>
            </w:tcBorders>
          </w:tcPr>
          <w:p>
            <w:pPr>
              <w:pStyle w:val="Normal"/>
              <w:spacing w:lineRule="auto" w:line="240" w:before="0" w:after="0"/>
              <w:rPr>
                <w:b/>
                <w:b/>
                <w:bCs/>
                <w:sz w:val="20"/>
                <w:szCs w:val="20"/>
              </w:rPr>
            </w:pPr>
            <w:r>
              <w:rPr>
                <w:b/>
                <w:bCs/>
                <w:sz w:val="20"/>
                <w:szCs w:val="20"/>
              </w:rPr>
              <w:t>Max value</w:t>
            </w:r>
          </w:p>
        </w:tc>
        <w:tc>
          <w:tcPr>
            <w:tcW w:w="991" w:type="dxa"/>
            <w:tcBorders>
              <w:top w:val="single" w:sz="6" w:space="0" w:color="000000"/>
              <w:left w:val="nil"/>
              <w:bottom w:val="single" w:sz="12" w:space="0" w:color="000000"/>
              <w:right w:val="nil"/>
            </w:tcBorders>
          </w:tcPr>
          <w:p>
            <w:pPr>
              <w:pStyle w:val="Normal"/>
              <w:spacing w:lineRule="auto" w:line="240" w:before="0" w:after="0"/>
              <w:rPr>
                <w:b/>
                <w:b/>
                <w:bCs/>
                <w:sz w:val="20"/>
                <w:szCs w:val="20"/>
              </w:rPr>
            </w:pPr>
            <w:r>
              <w:rPr>
                <w:b/>
                <w:bCs/>
                <w:sz w:val="20"/>
                <w:szCs w:val="20"/>
              </w:rPr>
              <w:t>Min value</w:t>
            </w:r>
          </w:p>
        </w:tc>
        <w:tc>
          <w:tcPr>
            <w:tcW w:w="992" w:type="dxa"/>
            <w:tcBorders>
              <w:top w:val="single" w:sz="6" w:space="0" w:color="000000"/>
              <w:left w:val="nil"/>
              <w:bottom w:val="single" w:sz="12" w:space="0" w:color="000000"/>
              <w:right w:val="nil"/>
            </w:tcBorders>
          </w:tcPr>
          <w:p>
            <w:pPr>
              <w:pStyle w:val="Normal"/>
              <w:spacing w:lineRule="auto" w:line="240" w:before="0" w:after="0"/>
              <w:rPr>
                <w:b/>
                <w:b/>
                <w:bCs/>
                <w:sz w:val="20"/>
                <w:szCs w:val="20"/>
              </w:rPr>
            </w:pPr>
            <w:r>
              <w:rPr>
                <w:b/>
                <w:bCs/>
                <w:sz w:val="20"/>
                <w:szCs w:val="20"/>
              </w:rPr>
              <w:t>Mean value</w:t>
            </w:r>
          </w:p>
        </w:tc>
      </w:tr>
      <w:tr>
        <w:trPr/>
        <w:tc>
          <w:tcPr>
            <w:tcW w:w="1270"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Rubber</w:t>
            </w:r>
          </w:p>
        </w:tc>
        <w:tc>
          <w:tcPr>
            <w:tcW w:w="993"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147</w:t>
            </w:r>
          </w:p>
        </w:tc>
        <w:tc>
          <w:tcPr>
            <w:tcW w:w="993"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51.2</w:t>
            </w:r>
          </w:p>
        </w:tc>
        <w:tc>
          <w:tcPr>
            <w:tcW w:w="992"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4830</w:t>
            </w:r>
          </w:p>
        </w:tc>
        <w:tc>
          <w:tcPr>
            <w:tcW w:w="991"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585</w:t>
            </w:r>
          </w:p>
        </w:tc>
        <w:tc>
          <w:tcPr>
            <w:tcW w:w="1134"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1743</w:t>
            </w:r>
          </w:p>
        </w:tc>
        <w:tc>
          <w:tcPr>
            <w:tcW w:w="285" w:type="dxa"/>
            <w:tcBorders>
              <w:top w:val="single" w:sz="12" w:space="0" w:color="000000"/>
              <w:left w:val="nil"/>
              <w:bottom w:val="nil"/>
              <w:right w:val="nil"/>
            </w:tcBorders>
          </w:tcPr>
          <w:p>
            <w:pPr>
              <w:pStyle w:val="Normal"/>
              <w:spacing w:lineRule="auto" w:line="240" w:before="0" w:after="0"/>
              <w:rPr>
                <w:sz w:val="20"/>
                <w:szCs w:val="20"/>
              </w:rPr>
            </w:pPr>
            <w:r>
              <w:rPr>
                <w:sz w:val="20"/>
                <w:szCs w:val="20"/>
              </w:rPr>
            </w:r>
          </w:p>
        </w:tc>
        <w:tc>
          <w:tcPr>
            <w:tcW w:w="992"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477</w:t>
            </w:r>
          </w:p>
        </w:tc>
        <w:tc>
          <w:tcPr>
            <w:tcW w:w="991"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208</w:t>
            </w:r>
          </w:p>
        </w:tc>
        <w:tc>
          <w:tcPr>
            <w:tcW w:w="992" w:type="dxa"/>
            <w:tcBorders>
              <w:top w:val="single" w:sz="12" w:space="0" w:color="000000"/>
              <w:left w:val="nil"/>
              <w:bottom w:val="nil"/>
              <w:right w:val="nil"/>
            </w:tcBorders>
          </w:tcPr>
          <w:p>
            <w:pPr>
              <w:pStyle w:val="Normal"/>
              <w:spacing w:lineRule="auto" w:line="240" w:before="0" w:after="0"/>
              <w:rPr>
                <w:sz w:val="20"/>
                <w:szCs w:val="20"/>
              </w:rPr>
            </w:pPr>
            <w:r>
              <w:rPr>
                <w:sz w:val="20"/>
                <w:szCs w:val="20"/>
              </w:rPr>
              <w:t>317</w:t>
            </w:r>
          </w:p>
        </w:tc>
      </w:tr>
      <w:tr>
        <w:trPr/>
        <w:tc>
          <w:tcPr>
            <w:tcW w:w="1270" w:type="dxa"/>
            <w:tcBorders>
              <w:top w:val="nil"/>
              <w:left w:val="nil"/>
              <w:bottom w:val="nil"/>
              <w:right w:val="nil"/>
            </w:tcBorders>
          </w:tcPr>
          <w:p>
            <w:pPr>
              <w:pStyle w:val="Normal"/>
              <w:spacing w:lineRule="auto" w:line="240" w:before="0" w:after="0"/>
              <w:rPr>
                <w:sz w:val="20"/>
                <w:szCs w:val="20"/>
              </w:rPr>
            </w:pPr>
            <w:r>
              <w:rPr>
                <w:sz w:val="20"/>
                <w:szCs w:val="20"/>
              </w:rPr>
              <w:t>Sugar</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23</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8.0</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573</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138</w:t>
            </w:r>
          </w:p>
        </w:tc>
        <w:tc>
          <w:tcPr>
            <w:tcW w:w="1134" w:type="dxa"/>
            <w:tcBorders>
              <w:top w:val="nil"/>
              <w:left w:val="nil"/>
              <w:bottom w:val="nil"/>
              <w:right w:val="nil"/>
            </w:tcBorders>
          </w:tcPr>
          <w:p>
            <w:pPr>
              <w:pStyle w:val="Normal"/>
              <w:spacing w:lineRule="auto" w:line="240" w:before="0" w:after="0"/>
              <w:rPr>
                <w:sz w:val="20"/>
                <w:szCs w:val="20"/>
              </w:rPr>
            </w:pPr>
            <w:r>
              <w:rPr>
                <w:sz w:val="20"/>
                <w:szCs w:val="20"/>
              </w:rPr>
              <w:t>282</w:t>
            </w:r>
          </w:p>
        </w:tc>
        <w:tc>
          <w:tcPr>
            <w:tcW w:w="285" w:type="dxa"/>
            <w:tcBorders>
              <w:top w:val="nil"/>
              <w:left w:val="nil"/>
              <w:bottom w:val="nil"/>
              <w:right w:val="nil"/>
            </w:tcBorders>
          </w:tcPr>
          <w:p>
            <w:pPr>
              <w:pStyle w:val="Normal"/>
              <w:spacing w:lineRule="auto" w:line="240" w:before="0" w:after="0"/>
              <w:rPr>
                <w:sz w:val="20"/>
                <w:szCs w:val="20"/>
              </w:rPr>
            </w:pPr>
            <w:r>
              <w:rPr>
                <w:sz w:val="20"/>
                <w:szCs w:val="20"/>
              </w:rPr>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3714</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1193</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2115</w:t>
            </w:r>
          </w:p>
        </w:tc>
      </w:tr>
      <w:tr>
        <w:trPr/>
        <w:tc>
          <w:tcPr>
            <w:tcW w:w="1270" w:type="dxa"/>
            <w:tcBorders>
              <w:top w:val="nil"/>
              <w:left w:val="nil"/>
              <w:bottom w:val="nil"/>
              <w:right w:val="nil"/>
            </w:tcBorders>
          </w:tcPr>
          <w:p>
            <w:pPr>
              <w:pStyle w:val="Normal"/>
              <w:spacing w:lineRule="auto" w:line="240" w:before="0" w:after="0"/>
              <w:rPr>
                <w:sz w:val="20"/>
                <w:szCs w:val="20"/>
              </w:rPr>
            </w:pPr>
            <w:r>
              <w:rPr>
                <w:sz w:val="20"/>
                <w:szCs w:val="20"/>
              </w:rPr>
              <w:t>Rice</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5</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1.7</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647</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172</w:t>
            </w:r>
          </w:p>
        </w:tc>
        <w:tc>
          <w:tcPr>
            <w:tcW w:w="1134" w:type="dxa"/>
            <w:tcBorders>
              <w:top w:val="nil"/>
              <w:left w:val="nil"/>
              <w:bottom w:val="nil"/>
              <w:right w:val="nil"/>
            </w:tcBorders>
          </w:tcPr>
          <w:p>
            <w:pPr>
              <w:pStyle w:val="Normal"/>
              <w:spacing w:lineRule="auto" w:line="240" w:before="0" w:after="0"/>
              <w:rPr>
                <w:sz w:val="20"/>
                <w:szCs w:val="20"/>
              </w:rPr>
            </w:pPr>
            <w:r>
              <w:rPr>
                <w:sz w:val="20"/>
                <w:szCs w:val="20"/>
              </w:rPr>
              <w:t>348</w:t>
            </w:r>
          </w:p>
        </w:tc>
        <w:tc>
          <w:tcPr>
            <w:tcW w:w="285" w:type="dxa"/>
            <w:tcBorders>
              <w:top w:val="nil"/>
              <w:left w:val="nil"/>
              <w:bottom w:val="nil"/>
              <w:right w:val="nil"/>
            </w:tcBorders>
          </w:tcPr>
          <w:p>
            <w:pPr>
              <w:pStyle w:val="Normal"/>
              <w:spacing w:lineRule="auto" w:line="240" w:before="0" w:after="0"/>
              <w:rPr>
                <w:sz w:val="20"/>
                <w:szCs w:val="20"/>
              </w:rPr>
            </w:pPr>
            <w:r>
              <w:rPr>
                <w:sz w:val="20"/>
                <w:szCs w:val="20"/>
              </w:rPr>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270</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96</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182</w:t>
            </w:r>
          </w:p>
        </w:tc>
      </w:tr>
      <w:tr>
        <w:trPr/>
        <w:tc>
          <w:tcPr>
            <w:tcW w:w="1270" w:type="dxa"/>
            <w:tcBorders>
              <w:top w:val="nil"/>
              <w:left w:val="nil"/>
              <w:bottom w:val="nil"/>
              <w:right w:val="nil"/>
            </w:tcBorders>
          </w:tcPr>
          <w:p>
            <w:pPr>
              <w:pStyle w:val="Normal"/>
              <w:spacing w:lineRule="auto" w:line="240" w:before="0" w:after="0"/>
              <w:rPr>
                <w:sz w:val="20"/>
                <w:szCs w:val="20"/>
              </w:rPr>
            </w:pPr>
            <w:r>
              <w:rPr>
                <w:sz w:val="20"/>
                <w:szCs w:val="20"/>
              </w:rPr>
              <w:t>Cassava</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14</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4.9</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w:t>
            </w:r>
          </w:p>
        </w:tc>
        <w:tc>
          <w:tcPr>
            <w:tcW w:w="1134" w:type="dxa"/>
            <w:tcBorders>
              <w:top w:val="nil"/>
              <w:left w:val="nil"/>
              <w:bottom w:val="nil"/>
              <w:right w:val="nil"/>
            </w:tcBorders>
          </w:tcPr>
          <w:p>
            <w:pPr>
              <w:pStyle w:val="Normal"/>
              <w:spacing w:lineRule="auto" w:line="240" w:before="0" w:after="0"/>
              <w:rPr>
                <w:sz w:val="20"/>
                <w:szCs w:val="20"/>
              </w:rPr>
            </w:pPr>
            <w:r>
              <w:rPr>
                <w:sz w:val="20"/>
                <w:szCs w:val="20"/>
              </w:rPr>
              <w:t>-</w:t>
            </w:r>
          </w:p>
        </w:tc>
        <w:tc>
          <w:tcPr>
            <w:tcW w:w="285" w:type="dxa"/>
            <w:tcBorders>
              <w:top w:val="nil"/>
              <w:left w:val="nil"/>
              <w:bottom w:val="nil"/>
              <w:right w:val="nil"/>
            </w:tcBorders>
          </w:tcPr>
          <w:p>
            <w:pPr>
              <w:pStyle w:val="Normal"/>
              <w:spacing w:lineRule="auto" w:line="240" w:before="0" w:after="0"/>
              <w:rPr>
                <w:sz w:val="20"/>
                <w:szCs w:val="20"/>
              </w:rPr>
            </w:pPr>
            <w:r>
              <w:rPr>
                <w:sz w:val="20"/>
                <w:szCs w:val="20"/>
              </w:rPr>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263</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96</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185</w:t>
            </w:r>
          </w:p>
        </w:tc>
      </w:tr>
      <w:tr>
        <w:trPr/>
        <w:tc>
          <w:tcPr>
            <w:tcW w:w="1270" w:type="dxa"/>
            <w:tcBorders>
              <w:top w:val="nil"/>
              <w:left w:val="nil"/>
              <w:bottom w:val="nil"/>
              <w:right w:val="nil"/>
            </w:tcBorders>
          </w:tcPr>
          <w:p>
            <w:pPr>
              <w:pStyle w:val="Normal"/>
              <w:spacing w:lineRule="auto" w:line="240" w:before="0" w:after="0"/>
              <w:rPr>
                <w:sz w:val="20"/>
                <w:szCs w:val="20"/>
              </w:rPr>
            </w:pPr>
            <w:r>
              <w:rPr>
                <w:sz w:val="20"/>
                <w:szCs w:val="20"/>
              </w:rPr>
              <w:t>Corn</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2</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0.7</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295</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90</w:t>
            </w:r>
          </w:p>
        </w:tc>
        <w:tc>
          <w:tcPr>
            <w:tcW w:w="1134" w:type="dxa"/>
            <w:tcBorders>
              <w:top w:val="nil"/>
              <w:left w:val="nil"/>
              <w:bottom w:val="nil"/>
              <w:right w:val="nil"/>
            </w:tcBorders>
          </w:tcPr>
          <w:p>
            <w:pPr>
              <w:pStyle w:val="Normal"/>
              <w:spacing w:lineRule="auto" w:line="240" w:before="0" w:after="0"/>
              <w:rPr>
                <w:sz w:val="20"/>
                <w:szCs w:val="20"/>
              </w:rPr>
            </w:pPr>
            <w:r>
              <w:rPr>
                <w:sz w:val="20"/>
                <w:szCs w:val="20"/>
              </w:rPr>
              <w:t>151</w:t>
            </w:r>
          </w:p>
        </w:tc>
        <w:tc>
          <w:tcPr>
            <w:tcW w:w="285" w:type="dxa"/>
            <w:tcBorders>
              <w:top w:val="nil"/>
              <w:left w:val="nil"/>
              <w:bottom w:val="nil"/>
              <w:right w:val="nil"/>
            </w:tcBorders>
          </w:tcPr>
          <w:p>
            <w:pPr>
              <w:pStyle w:val="Normal"/>
              <w:spacing w:lineRule="auto" w:line="240" w:before="0" w:after="0"/>
              <w:rPr>
                <w:sz w:val="20"/>
                <w:szCs w:val="20"/>
              </w:rPr>
            </w:pPr>
            <w:r>
              <w:rPr>
                <w:sz w:val="20"/>
                <w:szCs w:val="20"/>
              </w:rPr>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316</w:t>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t>74</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t>197</w:t>
            </w:r>
          </w:p>
        </w:tc>
      </w:tr>
      <w:tr>
        <w:trPr/>
        <w:tc>
          <w:tcPr>
            <w:tcW w:w="1270" w:type="dxa"/>
            <w:tcBorders>
              <w:top w:val="nil"/>
              <w:left w:val="nil"/>
              <w:bottom w:val="nil"/>
              <w:right w:val="nil"/>
            </w:tcBorders>
          </w:tcPr>
          <w:p>
            <w:pPr>
              <w:pStyle w:val="Normal"/>
              <w:spacing w:lineRule="auto" w:line="240" w:before="0" w:after="0"/>
              <w:rPr>
                <w:sz w:val="20"/>
                <w:szCs w:val="20"/>
              </w:rPr>
            </w:pPr>
            <w:r>
              <w:rPr>
                <w:sz w:val="20"/>
                <w:szCs w:val="20"/>
              </w:rPr>
              <w:t>Other</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96</w:t>
            </w:r>
          </w:p>
        </w:tc>
        <w:tc>
          <w:tcPr>
            <w:tcW w:w="993" w:type="dxa"/>
            <w:tcBorders>
              <w:top w:val="nil"/>
              <w:left w:val="nil"/>
              <w:bottom w:val="nil"/>
              <w:right w:val="nil"/>
            </w:tcBorders>
          </w:tcPr>
          <w:p>
            <w:pPr>
              <w:pStyle w:val="Normal"/>
              <w:spacing w:lineRule="auto" w:line="240" w:before="0" w:after="0"/>
              <w:rPr>
                <w:sz w:val="20"/>
                <w:szCs w:val="20"/>
              </w:rPr>
            </w:pPr>
            <w:r>
              <w:rPr>
                <w:sz w:val="20"/>
                <w:szCs w:val="20"/>
              </w:rPr>
              <w:t>33.4</w:t>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r>
          </w:p>
        </w:tc>
        <w:tc>
          <w:tcPr>
            <w:tcW w:w="1134" w:type="dxa"/>
            <w:tcBorders>
              <w:top w:val="nil"/>
              <w:left w:val="nil"/>
              <w:bottom w:val="nil"/>
              <w:right w:val="nil"/>
            </w:tcBorders>
          </w:tcPr>
          <w:p>
            <w:pPr>
              <w:pStyle w:val="Normal"/>
              <w:spacing w:lineRule="auto" w:line="240" w:before="0" w:after="0"/>
              <w:rPr>
                <w:sz w:val="20"/>
                <w:szCs w:val="20"/>
              </w:rPr>
            </w:pPr>
            <w:r>
              <w:rPr>
                <w:sz w:val="20"/>
                <w:szCs w:val="20"/>
              </w:rPr>
            </w:r>
          </w:p>
        </w:tc>
        <w:tc>
          <w:tcPr>
            <w:tcW w:w="285" w:type="dxa"/>
            <w:tcBorders>
              <w:top w:val="nil"/>
              <w:left w:val="nil"/>
              <w:bottom w:val="nil"/>
              <w:right w:val="nil"/>
            </w:tcBorders>
          </w:tcPr>
          <w:p>
            <w:pPr>
              <w:pStyle w:val="Normal"/>
              <w:spacing w:lineRule="auto" w:line="240" w:before="0" w:after="0"/>
              <w:rPr>
                <w:sz w:val="20"/>
                <w:szCs w:val="20"/>
              </w:rPr>
            </w:pPr>
            <w:r>
              <w:rPr>
                <w:sz w:val="20"/>
                <w:szCs w:val="20"/>
              </w:rPr>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r>
          </w:p>
        </w:tc>
        <w:tc>
          <w:tcPr>
            <w:tcW w:w="991" w:type="dxa"/>
            <w:tcBorders>
              <w:top w:val="nil"/>
              <w:left w:val="nil"/>
              <w:bottom w:val="nil"/>
              <w:right w:val="nil"/>
            </w:tcBorders>
          </w:tcPr>
          <w:p>
            <w:pPr>
              <w:pStyle w:val="Normal"/>
              <w:spacing w:lineRule="auto" w:line="240" w:before="0" w:after="0"/>
              <w:rPr>
                <w:sz w:val="20"/>
                <w:szCs w:val="20"/>
              </w:rPr>
            </w:pPr>
            <w:r>
              <w:rPr>
                <w:sz w:val="20"/>
                <w:szCs w:val="20"/>
              </w:rPr>
            </w:r>
          </w:p>
        </w:tc>
        <w:tc>
          <w:tcPr>
            <w:tcW w:w="992" w:type="dxa"/>
            <w:tcBorders>
              <w:top w:val="nil"/>
              <w:left w:val="nil"/>
              <w:bottom w:val="nil"/>
              <w:right w:val="nil"/>
            </w:tcBorders>
          </w:tcPr>
          <w:p>
            <w:pPr>
              <w:pStyle w:val="Normal"/>
              <w:spacing w:lineRule="auto" w:line="240" w:before="0" w:after="0"/>
              <w:rPr>
                <w:sz w:val="20"/>
                <w:szCs w:val="20"/>
              </w:rPr>
            </w:pPr>
            <w:r>
              <w:rPr>
                <w:sz w:val="20"/>
                <w:szCs w:val="20"/>
              </w:rPr>
            </w:r>
          </w:p>
        </w:tc>
      </w:tr>
      <w:tr>
        <w:trPr/>
        <w:tc>
          <w:tcPr>
            <w:tcW w:w="1270" w:type="dxa"/>
            <w:tcBorders>
              <w:top w:val="nil"/>
              <w:left w:val="nil"/>
              <w:bottom w:val="single" w:sz="12" w:space="0" w:color="000000"/>
              <w:right w:val="nil"/>
            </w:tcBorders>
          </w:tcPr>
          <w:p>
            <w:pPr>
              <w:pStyle w:val="Normal"/>
              <w:spacing w:lineRule="auto" w:line="240" w:before="0" w:after="0"/>
              <w:rPr>
                <w:b/>
                <w:b/>
                <w:bCs/>
                <w:sz w:val="20"/>
                <w:szCs w:val="20"/>
              </w:rPr>
            </w:pPr>
            <w:r>
              <w:rPr>
                <w:b/>
                <w:bCs/>
                <w:sz w:val="20"/>
                <w:szCs w:val="20"/>
              </w:rPr>
              <w:t>Total</w:t>
            </w:r>
          </w:p>
        </w:tc>
        <w:tc>
          <w:tcPr>
            <w:tcW w:w="993" w:type="dxa"/>
            <w:tcBorders>
              <w:top w:val="nil"/>
              <w:left w:val="nil"/>
              <w:bottom w:val="single" w:sz="12" w:space="0" w:color="000000"/>
              <w:right w:val="nil"/>
            </w:tcBorders>
          </w:tcPr>
          <w:p>
            <w:pPr>
              <w:pStyle w:val="Normal"/>
              <w:spacing w:lineRule="auto" w:line="240" w:before="0" w:after="0"/>
              <w:rPr>
                <w:sz w:val="20"/>
                <w:szCs w:val="20"/>
              </w:rPr>
            </w:pPr>
            <w:r>
              <w:rPr>
                <w:sz w:val="20"/>
                <w:szCs w:val="20"/>
              </w:rPr>
              <w:t>287</w:t>
            </w:r>
          </w:p>
        </w:tc>
        <w:tc>
          <w:tcPr>
            <w:tcW w:w="993" w:type="dxa"/>
            <w:tcBorders>
              <w:top w:val="nil"/>
              <w:left w:val="nil"/>
              <w:bottom w:val="single" w:sz="12" w:space="0" w:color="000000"/>
              <w:right w:val="nil"/>
            </w:tcBorders>
          </w:tcPr>
          <w:p>
            <w:pPr>
              <w:pStyle w:val="Normal"/>
              <w:spacing w:lineRule="auto" w:line="240" w:before="0" w:after="0"/>
              <w:rPr>
                <w:sz w:val="20"/>
                <w:szCs w:val="20"/>
              </w:rPr>
            </w:pPr>
            <w:r>
              <w:rPr>
                <w:sz w:val="20"/>
                <w:szCs w:val="20"/>
              </w:rPr>
              <w:t>100.0</w:t>
            </w:r>
          </w:p>
        </w:tc>
        <w:tc>
          <w:tcPr>
            <w:tcW w:w="992" w:type="dxa"/>
            <w:tcBorders>
              <w:top w:val="nil"/>
              <w:left w:val="nil"/>
              <w:bottom w:val="single" w:sz="12" w:space="0" w:color="000000"/>
              <w:right w:val="nil"/>
            </w:tcBorders>
          </w:tcPr>
          <w:p>
            <w:pPr>
              <w:pStyle w:val="Normal"/>
              <w:spacing w:lineRule="auto" w:line="240" w:before="0" w:after="0"/>
              <w:rPr>
                <w:sz w:val="20"/>
                <w:szCs w:val="20"/>
              </w:rPr>
            </w:pPr>
            <w:r>
              <w:rPr>
                <w:sz w:val="20"/>
                <w:szCs w:val="20"/>
              </w:rPr>
            </w:r>
          </w:p>
        </w:tc>
        <w:tc>
          <w:tcPr>
            <w:tcW w:w="991" w:type="dxa"/>
            <w:tcBorders>
              <w:top w:val="nil"/>
              <w:left w:val="nil"/>
              <w:bottom w:val="single" w:sz="12" w:space="0" w:color="000000"/>
              <w:right w:val="nil"/>
            </w:tcBorders>
          </w:tcPr>
          <w:p>
            <w:pPr>
              <w:pStyle w:val="Normal"/>
              <w:spacing w:lineRule="auto" w:line="240" w:before="0" w:after="0"/>
              <w:rPr>
                <w:sz w:val="20"/>
                <w:szCs w:val="20"/>
              </w:rPr>
            </w:pPr>
            <w:r>
              <w:rPr>
                <w:sz w:val="20"/>
                <w:szCs w:val="20"/>
              </w:rPr>
            </w:r>
          </w:p>
        </w:tc>
        <w:tc>
          <w:tcPr>
            <w:tcW w:w="1134" w:type="dxa"/>
            <w:tcBorders>
              <w:top w:val="nil"/>
              <w:left w:val="nil"/>
              <w:bottom w:val="single" w:sz="12" w:space="0" w:color="000000"/>
              <w:right w:val="nil"/>
            </w:tcBorders>
          </w:tcPr>
          <w:p>
            <w:pPr>
              <w:pStyle w:val="Normal"/>
              <w:spacing w:lineRule="auto" w:line="240" w:before="0" w:after="0"/>
              <w:rPr>
                <w:sz w:val="20"/>
                <w:szCs w:val="20"/>
              </w:rPr>
            </w:pPr>
            <w:r>
              <w:rPr>
                <w:sz w:val="20"/>
                <w:szCs w:val="20"/>
              </w:rPr>
            </w:r>
          </w:p>
        </w:tc>
        <w:tc>
          <w:tcPr>
            <w:tcW w:w="285" w:type="dxa"/>
            <w:tcBorders>
              <w:top w:val="nil"/>
              <w:left w:val="nil"/>
              <w:bottom w:val="single" w:sz="12" w:space="0" w:color="000000"/>
              <w:right w:val="nil"/>
            </w:tcBorders>
          </w:tcPr>
          <w:p>
            <w:pPr>
              <w:pStyle w:val="Normal"/>
              <w:spacing w:lineRule="auto" w:line="240" w:before="0" w:after="0"/>
              <w:rPr>
                <w:sz w:val="20"/>
                <w:szCs w:val="20"/>
              </w:rPr>
            </w:pPr>
            <w:r>
              <w:rPr>
                <w:sz w:val="20"/>
                <w:szCs w:val="20"/>
              </w:rPr>
            </w:r>
          </w:p>
        </w:tc>
        <w:tc>
          <w:tcPr>
            <w:tcW w:w="992" w:type="dxa"/>
            <w:tcBorders>
              <w:top w:val="nil"/>
              <w:left w:val="nil"/>
              <w:bottom w:val="single" w:sz="12" w:space="0" w:color="000000"/>
              <w:right w:val="nil"/>
            </w:tcBorders>
          </w:tcPr>
          <w:p>
            <w:pPr>
              <w:pStyle w:val="Normal"/>
              <w:spacing w:lineRule="auto" w:line="240" w:before="0" w:after="0"/>
              <w:rPr>
                <w:sz w:val="20"/>
                <w:szCs w:val="20"/>
              </w:rPr>
            </w:pPr>
            <w:r>
              <w:rPr>
                <w:sz w:val="20"/>
                <w:szCs w:val="20"/>
              </w:rPr>
            </w:r>
          </w:p>
        </w:tc>
        <w:tc>
          <w:tcPr>
            <w:tcW w:w="991" w:type="dxa"/>
            <w:tcBorders>
              <w:top w:val="nil"/>
              <w:left w:val="nil"/>
              <w:bottom w:val="single" w:sz="12" w:space="0" w:color="000000"/>
              <w:right w:val="nil"/>
            </w:tcBorders>
          </w:tcPr>
          <w:p>
            <w:pPr>
              <w:pStyle w:val="Normal"/>
              <w:spacing w:lineRule="auto" w:line="240" w:before="0" w:after="0"/>
              <w:rPr>
                <w:sz w:val="20"/>
                <w:szCs w:val="20"/>
              </w:rPr>
            </w:pPr>
            <w:r>
              <w:rPr>
                <w:sz w:val="20"/>
                <w:szCs w:val="20"/>
              </w:rPr>
            </w:r>
          </w:p>
        </w:tc>
        <w:tc>
          <w:tcPr>
            <w:tcW w:w="992" w:type="dxa"/>
            <w:tcBorders>
              <w:top w:val="nil"/>
              <w:left w:val="nil"/>
              <w:bottom w:val="single" w:sz="12" w:space="0" w:color="000000"/>
              <w:right w:val="nil"/>
            </w:tcBorders>
          </w:tcPr>
          <w:p>
            <w:pPr>
              <w:pStyle w:val="Normal"/>
              <w:spacing w:lineRule="auto" w:line="240" w:before="0" w:after="0"/>
              <w:rPr>
                <w:sz w:val="20"/>
                <w:szCs w:val="20"/>
              </w:rPr>
            </w:pPr>
            <w:r>
              <w:rPr>
                <w:sz w:val="20"/>
                <w:szCs w:val="20"/>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b/>
          <w:b/>
          <w:bCs/>
        </w:rPr>
      </w:pPr>
      <w:r>
        <w:rPr>
          <w:b/>
          <w:bCs/>
        </w:rPr>
      </w:r>
    </w:p>
    <w:p>
      <w:pPr>
        <w:pStyle w:val="Normal"/>
        <w:rPr>
          <w:b/>
          <w:b/>
          <w:bCs/>
        </w:rPr>
      </w:pPr>
      <w:r>
        <w:rPr>
          <w:b/>
          <w:bCs/>
        </w:rPr>
      </w:r>
    </w:p>
    <w:p>
      <w:pPr>
        <w:pStyle w:val="Normal"/>
        <w:rPr>
          <w:b/>
          <w:b/>
          <w:bCs/>
          <w:i/>
          <w:i/>
          <w:iCs/>
        </w:rPr>
      </w:pPr>
      <w:r>
        <w:rPr>
          <w:b/>
          <w:bCs/>
          <w:i/>
          <w:iCs/>
        </w:rPr>
        <w:t>Socioeconomic analysis</w:t>
      </w:r>
    </w:p>
    <w:p>
      <w:pPr>
        <w:pStyle w:val="Normal"/>
        <w:rPr>
          <w:i/>
          <w:i/>
          <w:iCs/>
        </w:rPr>
      </w:pPr>
      <w:r>
        <w:rPr>
          <w:i/>
          <w:iCs/>
        </w:rPr>
        <w:t>Commune level</w:t>
      </w:r>
    </w:p>
    <w:p>
      <w:pPr>
        <w:pStyle w:val="Normal"/>
        <w:rPr>
          <w:b/>
          <w:b/>
          <w:bCs/>
          <w:sz w:val="18"/>
          <w:szCs w:val="18"/>
        </w:rPr>
      </w:pPr>
      <w:commentRangeStart w:id="2"/>
      <w:r>
        <w:rPr>
          <w:b/>
          <w:bCs/>
          <w:sz w:val="18"/>
          <w:szCs w:val="18"/>
          <w:highlight w:val="yellow"/>
        </w:rPr>
        <w:t>Table</w:t>
      </w:r>
      <w:r>
        <w:rPr>
          <w:b/>
          <w:bCs/>
          <w:sz w:val="18"/>
          <w:szCs w:val="18"/>
          <w:highlight w:val="yellow"/>
        </w:rPr>
      </w:r>
      <w:commentRangeEnd w:id="2"/>
      <w:r>
        <w:commentReference w:id="2"/>
      </w:r>
      <w:r>
        <w:rPr>
          <w:b/>
          <w:bCs/>
          <w:sz w:val="18"/>
          <w:szCs w:val="18"/>
          <w:highlight w:val="yellow"/>
        </w:rPr>
        <w:t xml:space="preserve"> S</w:t>
      </w:r>
      <w:r>
        <w:rPr>
          <w:b/>
          <w:bCs/>
          <w:sz w:val="18"/>
          <w:szCs w:val="18"/>
        </w:rPr>
        <w:t>19. Final candidate model set for the commune-level socioeconomic analysis. Variables were selected based on the results of the within-set models (see table S8). All models included an offset term of the logged commune area (km</w:t>
      </w:r>
      <w:r>
        <w:rPr>
          <w:b/>
          <w:bCs/>
          <w:sz w:val="18"/>
          <w:szCs w:val="18"/>
          <w:vertAlign w:val="superscript"/>
        </w:rPr>
        <w:t>2</w:t>
      </w:r>
      <w:r>
        <w:rPr>
          <w:b/>
          <w:bCs/>
          <w:sz w:val="18"/>
          <w:szCs w:val="18"/>
        </w:rPr>
        <w:t>), and a random effects structure of the form ~(year|Province/Commune). Model selection was done using an Information Theoretic approach. Shaded model (m1) was the top model and was used for predictions and inference.</w:t>
      </w:r>
    </w:p>
    <w:tbl>
      <w:tblPr>
        <w:tblStyle w:val="TableGrid"/>
        <w:tblW w:w="13750" w:type="dxa"/>
        <w:jc w:val="left"/>
        <w:tblInd w:w="0" w:type="dxa"/>
        <w:tblCellMar>
          <w:top w:w="0" w:type="dxa"/>
          <w:left w:w="108" w:type="dxa"/>
          <w:bottom w:w="0" w:type="dxa"/>
          <w:right w:w="108" w:type="dxa"/>
        </w:tblCellMar>
        <w:tblLook w:val="04a0" w:noHBand="0" w:noVBand="1" w:firstColumn="1" w:lastRow="0" w:lastColumn="0" w:firstRow="1"/>
      </w:tblPr>
      <w:tblGrid>
        <w:gridCol w:w="704"/>
        <w:gridCol w:w="627"/>
        <w:gridCol w:w="1937"/>
        <w:gridCol w:w="1276"/>
        <w:gridCol w:w="2124"/>
        <w:gridCol w:w="2408"/>
        <w:gridCol w:w="1841"/>
        <w:gridCol w:w="1416"/>
        <w:gridCol w:w="1415"/>
      </w:tblGrid>
      <w:tr>
        <w:trPr/>
        <w:tc>
          <w:tcPr>
            <w:tcW w:w="704" w:type="dxa"/>
            <w:tcBorders>
              <w:top w:val="single" w:sz="12" w:space="0" w:color="000000"/>
              <w:left w:val="nil"/>
              <w:bottom w:val="single" w:sz="12" w:space="0" w:color="000000"/>
              <w:right w:val="nil"/>
            </w:tcBorders>
          </w:tcPr>
          <w:p>
            <w:pPr>
              <w:pStyle w:val="Normal"/>
              <w:spacing w:lineRule="auto" w:line="240" w:before="0" w:after="0"/>
              <w:rPr>
                <w:b/>
                <w:b/>
                <w:bCs/>
                <w:sz w:val="18"/>
                <w:szCs w:val="18"/>
              </w:rPr>
            </w:pPr>
            <w:r>
              <w:rPr>
                <w:b/>
                <w:bCs/>
                <w:sz w:val="18"/>
                <w:szCs w:val="18"/>
              </w:rPr>
              <w:t>Model</w:t>
            </w:r>
          </w:p>
        </w:tc>
        <w:tc>
          <w:tcPr>
            <w:tcW w:w="627" w:type="dxa"/>
            <w:tcBorders>
              <w:top w:val="single" w:sz="12" w:space="0" w:color="000000"/>
              <w:left w:val="nil"/>
              <w:bottom w:val="nil"/>
              <w:right w:val="single" w:sz="6" w:space="0" w:color="000000"/>
            </w:tcBorders>
          </w:tcPr>
          <w:p>
            <w:pPr>
              <w:pStyle w:val="Normal"/>
              <w:spacing w:lineRule="auto" w:line="240" w:before="0" w:after="0"/>
              <w:jc w:val="center"/>
              <w:rPr>
                <w:b/>
                <w:b/>
                <w:bCs/>
                <w:sz w:val="18"/>
                <w:szCs w:val="18"/>
              </w:rPr>
            </w:pPr>
            <w:r>
              <w:rPr>
                <w:b/>
                <w:bCs/>
                <w:sz w:val="18"/>
                <w:szCs w:val="18"/>
              </w:rPr>
              <w:t>Delta AIC</w:t>
            </w:r>
          </w:p>
        </w:tc>
        <w:tc>
          <w:tcPr>
            <w:tcW w:w="12417" w:type="dxa"/>
            <w:gridSpan w:val="7"/>
            <w:tcBorders>
              <w:top w:val="single" w:sz="12" w:space="0" w:color="000000"/>
              <w:left w:val="single" w:sz="6" w:space="0" w:color="000000"/>
              <w:bottom w:val="nil"/>
              <w:right w:val="nil"/>
            </w:tcBorders>
          </w:tcPr>
          <w:p>
            <w:pPr>
              <w:pStyle w:val="Normal"/>
              <w:spacing w:lineRule="auto" w:line="240" w:before="0" w:after="0"/>
              <w:jc w:val="center"/>
              <w:rPr>
                <w:b/>
                <w:b/>
                <w:bCs/>
                <w:sz w:val="18"/>
                <w:szCs w:val="18"/>
              </w:rPr>
            </w:pPr>
            <w:r>
              <w:rPr>
                <w:b/>
                <w:bCs/>
                <w:sz w:val="18"/>
                <w:szCs w:val="18"/>
              </w:rPr>
              <w:t>Variables</w:t>
            </w:r>
          </w:p>
        </w:tc>
      </w:tr>
      <w:tr>
        <w:trPr/>
        <w:tc>
          <w:tcPr>
            <w:tcW w:w="704" w:type="dxa"/>
            <w:tcBorders>
              <w:top w:val="single" w:sz="12" w:space="0" w:color="000000"/>
              <w:left w:val="nil"/>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t>m1</w:t>
            </w:r>
          </w:p>
        </w:tc>
        <w:tc>
          <w:tcPr>
            <w:tcW w:w="627" w:type="dxa"/>
            <w:tcBorders>
              <w:top w:val="single" w:sz="12" w:space="0" w:color="000000"/>
              <w:left w:val="nil"/>
              <w:bottom w:val="nil"/>
              <w:right w:val="single" w:sz="6" w:space="0" w:color="000000"/>
            </w:tcBorders>
            <w:shd w:color="auto" w:fill="C5E0B3" w:themeFill="accent6" w:themeFillTint="66" w:val="clear"/>
            <w:vAlign w:val="center"/>
          </w:tcPr>
          <w:p>
            <w:pPr>
              <w:pStyle w:val="Normal"/>
              <w:spacing w:lineRule="auto" w:line="240" w:before="0" w:after="0"/>
              <w:jc w:val="center"/>
              <w:rPr>
                <w:sz w:val="18"/>
                <w:szCs w:val="18"/>
              </w:rPr>
            </w:pPr>
            <w:r>
              <w:rPr>
                <w:sz w:val="18"/>
                <w:szCs w:val="18"/>
              </w:rPr>
              <w:t>0</w:t>
            </w:r>
          </w:p>
        </w:tc>
        <w:tc>
          <w:tcPr>
            <w:tcW w:w="1937" w:type="dxa"/>
            <w:tcBorders>
              <w:top w:val="single" w:sz="12" w:space="0" w:color="000000"/>
              <w:left w:val="single" w:sz="6" w:space="0" w:color="000000"/>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t>Population density</w:t>
            </w:r>
          </w:p>
        </w:tc>
        <w:tc>
          <w:tcPr>
            <w:tcW w:w="1276" w:type="dxa"/>
            <w:tcBorders>
              <w:top w:val="single" w:sz="12" w:space="0" w:color="000000"/>
              <w:left w:val="nil"/>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t>Elevation</w:t>
            </w:r>
          </w:p>
        </w:tc>
        <w:tc>
          <w:tcPr>
            <w:tcW w:w="2124" w:type="dxa"/>
            <w:tcBorders>
              <w:top w:val="single" w:sz="12" w:space="0" w:color="000000"/>
              <w:left w:val="nil"/>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t>Distance to Int’l border</w:t>
            </w:r>
          </w:p>
        </w:tc>
        <w:tc>
          <w:tcPr>
            <w:tcW w:w="2408" w:type="dxa"/>
            <w:tcBorders>
              <w:top w:val="single" w:sz="12" w:space="0" w:color="000000"/>
              <w:left w:val="nil"/>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t>Distance to provincial capital</w:t>
            </w:r>
          </w:p>
        </w:tc>
        <w:tc>
          <w:tcPr>
            <w:tcW w:w="1841" w:type="dxa"/>
            <w:tcBorders>
              <w:top w:val="single" w:sz="12" w:space="0" w:color="000000"/>
              <w:left w:val="nil"/>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t>Presence of ELC</w:t>
            </w:r>
          </w:p>
        </w:tc>
        <w:tc>
          <w:tcPr>
            <w:tcW w:w="1416" w:type="dxa"/>
            <w:tcBorders>
              <w:top w:val="single" w:sz="12" w:space="0" w:color="000000"/>
              <w:left w:val="nil"/>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t>Presence of PA</w:t>
            </w:r>
          </w:p>
        </w:tc>
        <w:tc>
          <w:tcPr>
            <w:tcW w:w="1415" w:type="dxa"/>
            <w:tcBorders>
              <w:top w:val="single" w:sz="12" w:space="0" w:color="000000"/>
              <w:left w:val="nil"/>
              <w:bottom w:val="nil"/>
              <w:right w:val="nil"/>
            </w:tcBorders>
            <w:shd w:color="auto" w:fill="C5E0B3" w:themeFill="accent6" w:themeFillTint="66" w:val="clear"/>
            <w:vAlign w:val="center"/>
          </w:tcPr>
          <w:p>
            <w:pPr>
              <w:pStyle w:val="Normal"/>
              <w:spacing w:lineRule="auto" w:line="240" w:before="0" w:after="0"/>
              <w:rPr>
                <w:sz w:val="18"/>
                <w:szCs w:val="18"/>
              </w:rPr>
            </w:pPr>
            <w:r>
              <w:rPr>
                <w:sz w:val="18"/>
                <w:szCs w:val="18"/>
              </w:rPr>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m2</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47.91</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Proportion males in school</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m3</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47.54</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Proportion primary sector</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m4</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46.79</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Proportion with pigs</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m5</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49.36</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Distance to school</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m6</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49.52</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Criminal cases</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m7</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48.61</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Out-migration</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m8</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49.86</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Proportion males in school</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school</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r>
      <w:tr>
        <w:trPr/>
        <w:tc>
          <w:tcPr>
            <w:tcW w:w="704" w:type="dxa"/>
            <w:tcBorders>
              <w:top w:val="nil"/>
              <w:left w:val="nil"/>
              <w:bottom w:val="nil"/>
              <w:right w:val="nil"/>
            </w:tcBorders>
            <w:vAlign w:val="center"/>
          </w:tcPr>
          <w:p>
            <w:pPr>
              <w:pStyle w:val="Normal"/>
              <w:spacing w:lineRule="auto" w:line="240" w:before="0" w:after="0"/>
              <w:rPr>
                <w:sz w:val="18"/>
                <w:szCs w:val="18"/>
              </w:rPr>
            </w:pPr>
            <w:r>
              <w:rPr>
                <w:sz w:val="18"/>
                <w:szCs w:val="18"/>
              </w:rPr>
              <w:t>m9</w:t>
            </w:r>
          </w:p>
        </w:tc>
        <w:tc>
          <w:tcPr>
            <w:tcW w:w="627" w:type="dxa"/>
            <w:tcBorders>
              <w:top w:val="nil"/>
              <w:left w:val="nil"/>
              <w:bottom w:val="nil"/>
              <w:right w:val="single" w:sz="6" w:space="0" w:color="000000"/>
            </w:tcBorders>
            <w:vAlign w:val="center"/>
          </w:tcPr>
          <w:p>
            <w:pPr>
              <w:pStyle w:val="Normal"/>
              <w:spacing w:lineRule="auto" w:line="240" w:before="0" w:after="0"/>
              <w:jc w:val="center"/>
              <w:rPr>
                <w:sz w:val="18"/>
                <w:szCs w:val="18"/>
              </w:rPr>
            </w:pPr>
            <w:r>
              <w:rPr>
                <w:sz w:val="18"/>
                <w:szCs w:val="18"/>
              </w:rPr>
              <w:t>48.35</w:t>
            </w:r>
          </w:p>
        </w:tc>
        <w:tc>
          <w:tcPr>
            <w:tcW w:w="1937" w:type="dxa"/>
            <w:tcBorders>
              <w:top w:val="nil"/>
              <w:left w:val="single" w:sz="6" w:space="0" w:color="000000"/>
              <w:bottom w:val="nil"/>
              <w:right w:val="nil"/>
            </w:tcBorders>
            <w:vAlign w:val="center"/>
          </w:tcPr>
          <w:p>
            <w:pPr>
              <w:pStyle w:val="Normal"/>
              <w:spacing w:lineRule="auto" w:line="240" w:before="0" w:after="0"/>
              <w:rPr>
                <w:sz w:val="18"/>
                <w:szCs w:val="18"/>
              </w:rPr>
            </w:pPr>
            <w:r>
              <w:rPr>
                <w:sz w:val="18"/>
                <w:szCs w:val="18"/>
              </w:rPr>
              <w:t>Proportion primary sector</w:t>
            </w:r>
          </w:p>
        </w:tc>
        <w:tc>
          <w:tcPr>
            <w:tcW w:w="1276" w:type="dxa"/>
            <w:tcBorders>
              <w:top w:val="nil"/>
              <w:left w:val="nil"/>
              <w:bottom w:val="nil"/>
              <w:right w:val="nil"/>
            </w:tcBorders>
            <w:vAlign w:val="center"/>
          </w:tcPr>
          <w:p>
            <w:pPr>
              <w:pStyle w:val="Normal"/>
              <w:spacing w:lineRule="auto" w:line="240" w:before="0" w:after="0"/>
              <w:rPr>
                <w:sz w:val="18"/>
                <w:szCs w:val="18"/>
              </w:rPr>
            </w:pPr>
            <w:r>
              <w:rPr>
                <w:sz w:val="18"/>
                <w:szCs w:val="18"/>
              </w:rPr>
              <w:t>Out-migration</w:t>
            </w:r>
          </w:p>
        </w:tc>
        <w:tc>
          <w:tcPr>
            <w:tcW w:w="2124" w:type="dxa"/>
            <w:tcBorders>
              <w:top w:val="nil"/>
              <w:left w:val="nil"/>
              <w:bottom w:val="nil"/>
              <w:right w:val="nil"/>
            </w:tcBorders>
            <w:vAlign w:val="center"/>
          </w:tcPr>
          <w:p>
            <w:pPr>
              <w:pStyle w:val="Normal"/>
              <w:spacing w:lineRule="auto" w:line="240" w:before="0" w:after="0"/>
              <w:rPr>
                <w:sz w:val="18"/>
                <w:szCs w:val="18"/>
              </w:rPr>
            </w:pPr>
            <w:r>
              <w:rPr>
                <w:sz w:val="18"/>
                <w:szCs w:val="18"/>
              </w:rPr>
              <w:t>Elevation</w:t>
            </w:r>
          </w:p>
        </w:tc>
        <w:tc>
          <w:tcPr>
            <w:tcW w:w="2408"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Int’l border</w:t>
            </w:r>
          </w:p>
        </w:tc>
        <w:tc>
          <w:tcPr>
            <w:tcW w:w="1841" w:type="dxa"/>
            <w:tcBorders>
              <w:top w:val="nil"/>
              <w:left w:val="nil"/>
              <w:bottom w:val="nil"/>
              <w:right w:val="nil"/>
            </w:tcBorders>
            <w:vAlign w:val="center"/>
          </w:tcPr>
          <w:p>
            <w:pPr>
              <w:pStyle w:val="Normal"/>
              <w:spacing w:lineRule="auto" w:line="240" w:before="0" w:after="0"/>
              <w:rPr>
                <w:sz w:val="18"/>
                <w:szCs w:val="18"/>
              </w:rPr>
            </w:pPr>
            <w:r>
              <w:rPr>
                <w:sz w:val="18"/>
                <w:szCs w:val="18"/>
              </w:rPr>
              <w:t>Distance to provincial capital</w:t>
            </w:r>
          </w:p>
        </w:tc>
        <w:tc>
          <w:tcPr>
            <w:tcW w:w="1416"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ELC</w:t>
            </w:r>
          </w:p>
        </w:tc>
        <w:tc>
          <w:tcPr>
            <w:tcW w:w="1415" w:type="dxa"/>
            <w:tcBorders>
              <w:top w:val="nil"/>
              <w:left w:val="nil"/>
              <w:bottom w:val="nil"/>
              <w:right w:val="nil"/>
            </w:tcBorders>
            <w:vAlign w:val="center"/>
          </w:tcPr>
          <w:p>
            <w:pPr>
              <w:pStyle w:val="Normal"/>
              <w:spacing w:lineRule="auto" w:line="240" w:before="0" w:after="0"/>
              <w:rPr>
                <w:sz w:val="18"/>
                <w:szCs w:val="18"/>
              </w:rPr>
            </w:pPr>
            <w:r>
              <w:rPr>
                <w:sz w:val="18"/>
                <w:szCs w:val="18"/>
              </w:rPr>
              <w:t>Presence of PA</w:t>
            </w:r>
          </w:p>
        </w:tc>
      </w:tr>
      <w:tr>
        <w:trPr/>
        <w:tc>
          <w:tcPr>
            <w:tcW w:w="704" w:type="dxa"/>
            <w:tcBorders>
              <w:top w:val="nil"/>
              <w:left w:val="nil"/>
              <w:bottom w:val="single" w:sz="12" w:space="0" w:color="000000"/>
              <w:right w:val="nil"/>
            </w:tcBorders>
            <w:vAlign w:val="center"/>
          </w:tcPr>
          <w:p>
            <w:pPr>
              <w:pStyle w:val="Normal"/>
              <w:spacing w:lineRule="auto" w:line="240" w:before="0" w:after="0"/>
              <w:rPr>
                <w:sz w:val="18"/>
                <w:szCs w:val="18"/>
              </w:rPr>
            </w:pPr>
            <w:r>
              <w:rPr>
                <w:sz w:val="18"/>
                <w:szCs w:val="18"/>
              </w:rPr>
              <w:t>m10</w:t>
            </w:r>
          </w:p>
        </w:tc>
        <w:tc>
          <w:tcPr>
            <w:tcW w:w="627" w:type="dxa"/>
            <w:tcBorders>
              <w:top w:val="nil"/>
              <w:left w:val="nil"/>
              <w:bottom w:val="single" w:sz="12" w:space="0" w:color="000000"/>
              <w:right w:val="single" w:sz="6" w:space="0" w:color="000000"/>
            </w:tcBorders>
            <w:vAlign w:val="center"/>
          </w:tcPr>
          <w:p>
            <w:pPr>
              <w:pStyle w:val="Normal"/>
              <w:spacing w:lineRule="auto" w:line="240" w:before="0" w:after="0"/>
              <w:jc w:val="center"/>
              <w:rPr>
                <w:sz w:val="18"/>
                <w:szCs w:val="18"/>
              </w:rPr>
            </w:pPr>
            <w:r>
              <w:rPr>
                <w:sz w:val="18"/>
                <w:szCs w:val="18"/>
              </w:rPr>
              <w:t>18.82</w:t>
            </w:r>
          </w:p>
        </w:tc>
        <w:tc>
          <w:tcPr>
            <w:tcW w:w="1937" w:type="dxa"/>
            <w:tcBorders>
              <w:top w:val="nil"/>
              <w:left w:val="single" w:sz="6" w:space="0" w:color="000000"/>
              <w:bottom w:val="single" w:sz="12" w:space="0" w:color="000000"/>
              <w:right w:val="nil"/>
            </w:tcBorders>
            <w:vAlign w:val="center"/>
          </w:tcPr>
          <w:p>
            <w:pPr>
              <w:pStyle w:val="Normal"/>
              <w:spacing w:lineRule="auto" w:line="240" w:before="0" w:after="0"/>
              <w:rPr>
                <w:sz w:val="18"/>
                <w:szCs w:val="18"/>
              </w:rPr>
            </w:pPr>
            <w:r>
              <w:rPr>
                <w:sz w:val="18"/>
                <w:szCs w:val="18"/>
              </w:rPr>
              <w:t>Population density</w:t>
            </w:r>
          </w:p>
        </w:tc>
        <w:tc>
          <w:tcPr>
            <w:tcW w:w="1276" w:type="dxa"/>
            <w:tcBorders>
              <w:top w:val="nil"/>
              <w:left w:val="nil"/>
              <w:bottom w:val="single" w:sz="12" w:space="0" w:color="000000"/>
              <w:right w:val="nil"/>
            </w:tcBorders>
            <w:vAlign w:val="center"/>
          </w:tcPr>
          <w:p>
            <w:pPr>
              <w:pStyle w:val="Normal"/>
              <w:spacing w:lineRule="auto" w:line="240" w:before="0" w:after="0"/>
              <w:rPr>
                <w:sz w:val="18"/>
                <w:szCs w:val="18"/>
              </w:rPr>
            </w:pPr>
            <w:r>
              <w:rPr>
                <w:sz w:val="18"/>
                <w:szCs w:val="18"/>
              </w:rPr>
              <w:t>Proportion males in school</w:t>
            </w:r>
          </w:p>
        </w:tc>
        <w:tc>
          <w:tcPr>
            <w:tcW w:w="2124" w:type="dxa"/>
            <w:tcBorders>
              <w:top w:val="nil"/>
              <w:left w:val="nil"/>
              <w:bottom w:val="single" w:sz="12" w:space="0" w:color="000000"/>
              <w:right w:val="nil"/>
            </w:tcBorders>
            <w:vAlign w:val="center"/>
          </w:tcPr>
          <w:p>
            <w:pPr>
              <w:pStyle w:val="Normal"/>
              <w:spacing w:lineRule="auto" w:line="240" w:before="0" w:after="0"/>
              <w:rPr>
                <w:sz w:val="18"/>
                <w:szCs w:val="18"/>
              </w:rPr>
            </w:pPr>
            <w:r>
              <w:rPr>
                <w:sz w:val="18"/>
                <w:szCs w:val="18"/>
              </w:rPr>
              <w:t>Elevation</w:t>
            </w:r>
          </w:p>
        </w:tc>
        <w:tc>
          <w:tcPr>
            <w:tcW w:w="2408" w:type="dxa"/>
            <w:tcBorders>
              <w:top w:val="nil"/>
              <w:left w:val="nil"/>
              <w:bottom w:val="single" w:sz="12" w:space="0" w:color="000000"/>
              <w:right w:val="nil"/>
            </w:tcBorders>
            <w:vAlign w:val="center"/>
          </w:tcPr>
          <w:p>
            <w:pPr>
              <w:pStyle w:val="Normal"/>
              <w:spacing w:lineRule="auto" w:line="240" w:before="0" w:after="0"/>
              <w:rPr>
                <w:sz w:val="18"/>
                <w:szCs w:val="18"/>
              </w:rPr>
            </w:pPr>
            <w:r>
              <w:rPr>
                <w:sz w:val="18"/>
                <w:szCs w:val="18"/>
              </w:rPr>
              <w:t>Distance to Int’l border</w:t>
            </w:r>
          </w:p>
        </w:tc>
        <w:tc>
          <w:tcPr>
            <w:tcW w:w="1841" w:type="dxa"/>
            <w:tcBorders>
              <w:top w:val="nil"/>
              <w:left w:val="nil"/>
              <w:bottom w:val="single" w:sz="12" w:space="0" w:color="000000"/>
              <w:right w:val="nil"/>
            </w:tcBorders>
            <w:vAlign w:val="center"/>
          </w:tcPr>
          <w:p>
            <w:pPr>
              <w:pStyle w:val="Normal"/>
              <w:spacing w:lineRule="auto" w:line="240" w:before="0" w:after="0"/>
              <w:rPr>
                <w:sz w:val="18"/>
                <w:szCs w:val="18"/>
              </w:rPr>
            </w:pPr>
            <w:r>
              <w:rPr>
                <w:sz w:val="18"/>
                <w:szCs w:val="18"/>
              </w:rPr>
              <w:t>Distance to provincial capital</w:t>
            </w:r>
          </w:p>
        </w:tc>
        <w:tc>
          <w:tcPr>
            <w:tcW w:w="1416" w:type="dxa"/>
            <w:tcBorders>
              <w:top w:val="nil"/>
              <w:left w:val="nil"/>
              <w:bottom w:val="single" w:sz="12" w:space="0" w:color="000000"/>
              <w:right w:val="nil"/>
            </w:tcBorders>
            <w:vAlign w:val="center"/>
          </w:tcPr>
          <w:p>
            <w:pPr>
              <w:pStyle w:val="Normal"/>
              <w:spacing w:lineRule="auto" w:line="240" w:before="0" w:after="0"/>
              <w:rPr>
                <w:sz w:val="18"/>
                <w:szCs w:val="18"/>
              </w:rPr>
            </w:pPr>
            <w:r>
              <w:rPr>
                <w:sz w:val="18"/>
                <w:szCs w:val="18"/>
              </w:rPr>
              <w:t>Presence of ELC</w:t>
            </w:r>
          </w:p>
        </w:tc>
        <w:tc>
          <w:tcPr>
            <w:tcW w:w="1415" w:type="dxa"/>
            <w:tcBorders>
              <w:top w:val="nil"/>
              <w:left w:val="nil"/>
              <w:bottom w:val="single" w:sz="12" w:space="0" w:color="000000"/>
              <w:right w:val="nil"/>
            </w:tcBorders>
            <w:vAlign w:val="center"/>
          </w:tcPr>
          <w:p>
            <w:pPr>
              <w:pStyle w:val="Normal"/>
              <w:spacing w:lineRule="auto" w:line="240" w:before="0" w:after="0"/>
              <w:rPr>
                <w:sz w:val="18"/>
                <w:szCs w:val="18"/>
              </w:rPr>
            </w:pPr>
            <w:r>
              <w:rPr>
                <w:sz w:val="18"/>
                <w:szCs w:val="18"/>
              </w:rPr>
              <w:t>Presence of PA</w:t>
            </w:r>
          </w:p>
        </w:tc>
      </w:tr>
    </w:tbl>
    <w:p>
      <w:pPr>
        <w:pStyle w:val="Normal"/>
        <w:rPr>
          <w:b/>
          <w:b/>
          <w:bCs/>
        </w:rPr>
      </w:pPr>
      <w:r>
        <w:rPr/>
      </w:r>
    </w:p>
    <w:p>
      <w:pPr>
        <w:pStyle w:val="Normal"/>
        <w:rPr>
          <w:b/>
          <w:b/>
          <w:bCs/>
        </w:rPr>
      </w:pPr>
      <w:r>
        <w:rPr/>
      </w:r>
    </w:p>
    <w:p>
      <w:pPr>
        <w:pStyle w:val="Normal"/>
        <w:rPr>
          <w:b/>
          <w:b/>
          <w:bCs/>
        </w:rPr>
      </w:pPr>
      <w:r>
        <w:rPr>
          <w:b/>
          <w:bCs/>
        </w:rPr>
      </w:r>
    </w:p>
    <w:p>
      <w:pPr>
        <w:sectPr>
          <w:type w:val="nextPage"/>
          <w:pgSz w:orient="landscape" w:w="16838" w:h="11906"/>
          <w:pgMar w:left="1440" w:right="1440" w:header="0" w:top="1440" w:footer="0" w:bottom="1440" w:gutter="0"/>
          <w:pgNumType w:fmt="decimal"/>
          <w:formProt w:val="false"/>
          <w:textDirection w:val="lrTb"/>
          <w:docGrid w:type="default" w:linePitch="360" w:charSpace="4096"/>
        </w:sectPr>
        <w:pStyle w:val="Normal"/>
        <w:rPr>
          <w:b/>
          <w:b/>
          <w:bCs/>
        </w:rPr>
      </w:pPr>
      <w:r>
        <w:rPr>
          <w:b/>
          <w:bCs/>
        </w:rPr>
      </w:r>
    </w:p>
    <w:p>
      <w:pPr>
        <w:pStyle w:val="Normal"/>
        <w:rPr>
          <w:b/>
          <w:b/>
          <w:bCs/>
        </w:rPr>
      </w:pPr>
      <w:r>
        <w:rPr/>
        <w:drawing>
          <wp:inline distT="0" distB="0" distL="0" distR="0">
            <wp:extent cx="4328160" cy="4946650"/>
            <wp:effectExtent l="0" t="0" r="0" b="0"/>
            <wp:docPr id="5"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10;&#10;Description automatically generated"/>
                    <pic:cNvPicPr>
                      <a:picLocks noChangeAspect="1" noChangeArrowheads="1"/>
                    </pic:cNvPicPr>
                  </pic:nvPicPr>
                  <pic:blipFill>
                    <a:blip r:embed="rId6"/>
                    <a:stretch>
                      <a:fillRect/>
                    </a:stretch>
                  </pic:blipFill>
                  <pic:spPr bwMode="auto">
                    <a:xfrm>
                      <a:off x="0" y="0"/>
                      <a:ext cx="4328160" cy="4946650"/>
                    </a:xfrm>
                    <a:prstGeom prst="rect">
                      <a:avLst/>
                    </a:prstGeom>
                  </pic:spPr>
                </pic:pic>
              </a:graphicData>
            </a:graphic>
          </wp:inline>
        </w:drawing>
      </w:r>
    </w:p>
    <w:p>
      <w:pPr>
        <w:pStyle w:val="Normal"/>
        <w:rPr>
          <w:b/>
          <w:b/>
          <w:bCs/>
          <w:sz w:val="18"/>
          <w:szCs w:val="18"/>
        </w:rPr>
      </w:pPr>
      <w:r>
        <w:rPr>
          <w:b/>
          <w:bCs/>
          <w:sz w:val="18"/>
          <w:szCs w:val="18"/>
          <w:highlight w:val="yellow"/>
        </w:rPr>
        <w:t>Figure S5.</w:t>
      </w:r>
      <w:r>
        <w:rPr>
          <w:b/>
          <w:bCs/>
          <w:sz w:val="18"/>
          <w:szCs w:val="18"/>
        </w:rPr>
        <w:t xml:space="preserve"> Quantile-quantile plots for the random effect “Province” of the final socioeconomic model</w:t>
      </w:r>
    </w:p>
    <w:p>
      <w:pPr>
        <w:pStyle w:val="Normal"/>
        <w:rPr>
          <w:b/>
          <w:b/>
          <w:bCs/>
        </w:rPr>
      </w:pPr>
      <w:r>
        <w:rPr>
          <w:b/>
          <w:bCs/>
        </w:rPr>
      </w:r>
    </w:p>
    <w:p>
      <w:pPr>
        <w:pStyle w:val="Normal"/>
        <w:rPr>
          <w:b/>
          <w:b/>
          <w:bCs/>
        </w:rPr>
      </w:pPr>
      <w:r>
        <w:rPr/>
        <w:drawing>
          <wp:inline distT="0" distB="0" distL="0" distR="0">
            <wp:extent cx="4404360" cy="5033645"/>
            <wp:effectExtent l="0" t="0" r="0" b="0"/>
            <wp:docPr id="6"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hart, histogram&#10;&#10;Description automatically generated"/>
                    <pic:cNvPicPr>
                      <a:picLocks noChangeAspect="1" noChangeArrowheads="1"/>
                    </pic:cNvPicPr>
                  </pic:nvPicPr>
                  <pic:blipFill>
                    <a:blip r:embed="rId7"/>
                    <a:stretch>
                      <a:fillRect/>
                    </a:stretch>
                  </pic:blipFill>
                  <pic:spPr bwMode="auto">
                    <a:xfrm>
                      <a:off x="0" y="0"/>
                      <a:ext cx="4404360" cy="5033645"/>
                    </a:xfrm>
                    <a:prstGeom prst="rect">
                      <a:avLst/>
                    </a:prstGeom>
                  </pic:spPr>
                </pic:pic>
              </a:graphicData>
            </a:graphic>
          </wp:inline>
        </w:drawing>
      </w:r>
    </w:p>
    <w:p>
      <w:pPr>
        <w:pStyle w:val="Normal"/>
        <w:rPr>
          <w:b/>
          <w:b/>
          <w:bCs/>
          <w:sz w:val="18"/>
          <w:szCs w:val="18"/>
        </w:rPr>
      </w:pPr>
      <w:r>
        <w:rPr>
          <w:b/>
          <w:bCs/>
          <w:sz w:val="18"/>
          <w:szCs w:val="18"/>
          <w:highlight w:val="yellow"/>
        </w:rPr>
        <w:t>Figure S6.</w:t>
      </w:r>
      <w:r>
        <w:rPr>
          <w:b/>
          <w:bCs/>
          <w:sz w:val="18"/>
          <w:szCs w:val="18"/>
        </w:rPr>
        <w:t xml:space="preserve"> Quantile-quantile plots for the random effect “Commune” of the final socioeconomic model. Plots suggest the assumption of normality of deviations of the conditional means of the random effects from the global intercept is violated. </w:t>
      </w:r>
    </w:p>
    <w:p>
      <w:pPr>
        <w:pStyle w:val="Normal"/>
        <w:rPr>
          <w:b/>
          <w:b/>
          <w:bCs/>
        </w:rPr>
      </w:pPr>
      <w:r>
        <w:rPr/>
        <w:drawing>
          <wp:inline distT="0" distB="0" distL="0" distR="0">
            <wp:extent cx="4251960" cy="4251960"/>
            <wp:effectExtent l="0" t="0" r="0" b="0"/>
            <wp:docPr id="7"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hart, scatter chart&#10;&#10;Description automatically generated"/>
                    <pic:cNvPicPr>
                      <a:picLocks noChangeAspect="1" noChangeArrowheads="1"/>
                    </pic:cNvPicPr>
                  </pic:nvPicPr>
                  <pic:blipFill>
                    <a:blip r:embed="rId8"/>
                    <a:stretch>
                      <a:fillRect/>
                    </a:stretch>
                  </pic:blipFill>
                  <pic:spPr bwMode="auto">
                    <a:xfrm>
                      <a:off x="0" y="0"/>
                      <a:ext cx="4251960" cy="4251960"/>
                    </a:xfrm>
                    <a:prstGeom prst="rect">
                      <a:avLst/>
                    </a:prstGeom>
                  </pic:spPr>
                </pic:pic>
              </a:graphicData>
            </a:graphic>
          </wp:inline>
        </w:drawing>
      </w:r>
    </w:p>
    <w:p>
      <w:pPr>
        <w:pStyle w:val="Normal"/>
        <w:rPr>
          <w:b/>
          <w:b/>
          <w:bCs/>
          <w:sz w:val="18"/>
          <w:szCs w:val="18"/>
        </w:rPr>
      </w:pPr>
      <w:r>
        <w:rPr>
          <w:b/>
          <w:bCs/>
          <w:sz w:val="18"/>
          <w:szCs w:val="18"/>
          <w:highlight w:val="yellow"/>
        </w:rPr>
        <w:t xml:space="preserve">Figure </w:t>
      </w:r>
      <w:r>
        <w:rPr>
          <w:b/>
          <w:bCs/>
          <w:sz w:val="18"/>
          <w:szCs w:val="18"/>
        </w:rPr>
        <w:t>S7. Plot of residuals versus fitted values for the final socioeconomic model</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b/>
          <w:b/>
          <w:bCs/>
        </w:rPr>
      </w:pPr>
      <w:r>
        <w:rPr>
          <w:b/>
          <w:bCs/>
        </w:rPr>
      </w:r>
    </w:p>
    <w:p>
      <w:pPr>
        <w:pStyle w:val="Normal"/>
        <w:rPr>
          <w:b/>
          <w:b/>
          <w:bCs/>
        </w:rPr>
      </w:pPr>
      <w:r>
        <w:rPr>
          <w:b/>
          <w:bCs/>
        </w:rPr>
      </w:r>
    </w:p>
    <w:p>
      <w:pPr>
        <w:pStyle w:val="Normal"/>
        <w:rPr>
          <w:b/>
          <w:b/>
          <w:bCs/>
          <w:sz w:val="18"/>
          <w:szCs w:val="18"/>
        </w:rPr>
      </w:pPr>
      <w:r>
        <w:rPr>
          <w:b/>
          <w:bCs/>
          <w:sz w:val="18"/>
          <w:szCs w:val="18"/>
          <w:highlight w:val="yellow"/>
        </w:rPr>
        <w:t xml:space="preserve">Table </w:t>
      </w:r>
      <w:commentRangeStart w:id="3"/>
      <w:r>
        <w:rPr>
          <w:b/>
          <w:bCs/>
          <w:sz w:val="18"/>
          <w:szCs w:val="18"/>
          <w:highlight w:val="yellow"/>
        </w:rPr>
        <w:t>S</w:t>
      </w:r>
      <w:r>
        <w:rPr>
          <w:b/>
          <w:bCs/>
          <w:sz w:val="18"/>
          <w:szCs w:val="18"/>
        </w:rPr>
        <w:t>20</w:t>
      </w:r>
      <w:r>
        <w:rPr>
          <w:b/>
          <w:bCs/>
          <w:sz w:val="18"/>
          <w:szCs w:val="18"/>
        </w:rPr>
      </w:r>
      <w:commentRangeEnd w:id="3"/>
      <w:r>
        <w:commentReference w:id="3"/>
      </w:r>
      <w:r>
        <w:rPr>
          <w:b/>
          <w:bCs/>
          <w:sz w:val="18"/>
          <w:szCs w:val="18"/>
        </w:rPr>
        <w:t>. Final candidate model set for the province-level socioeconomic analysis. Variables were selected based on the results of the within-set models (see table S8). All models included a random effects structure of the form ~(year|Province). Model selection was done using an Information Theoretic approach. Shaded model (m8) was the top model and was used for predictions and inference.</w:t>
      </w:r>
    </w:p>
    <w:tbl>
      <w:tblPr>
        <w:tblStyle w:val="TableGrid"/>
        <w:tblW w:w="13946" w:type="dxa"/>
        <w:jc w:val="left"/>
        <w:tblInd w:w="0" w:type="dxa"/>
        <w:tblCellMar>
          <w:top w:w="0" w:type="dxa"/>
          <w:left w:w="108" w:type="dxa"/>
          <w:bottom w:w="0" w:type="dxa"/>
          <w:right w:w="108" w:type="dxa"/>
        </w:tblCellMar>
        <w:tblLook w:val="04a0" w:noHBand="0" w:noVBand="1" w:firstColumn="1" w:lastRow="0" w:lastColumn="0" w:firstRow="1"/>
      </w:tblPr>
      <w:tblGrid>
        <w:gridCol w:w="1528"/>
        <w:gridCol w:w="734"/>
        <w:gridCol w:w="1701"/>
        <w:gridCol w:w="1700"/>
        <w:gridCol w:w="1701"/>
        <w:gridCol w:w="1700"/>
        <w:gridCol w:w="1702"/>
        <w:gridCol w:w="1700"/>
        <w:gridCol w:w="1478"/>
      </w:tblGrid>
      <w:tr>
        <w:trPr/>
        <w:tc>
          <w:tcPr>
            <w:tcW w:w="1528" w:type="dxa"/>
            <w:tcBorders>
              <w:top w:val="single" w:sz="12" w:space="0" w:color="000000"/>
              <w:left w:val="nil"/>
              <w:bottom w:val="single" w:sz="12" w:space="0" w:color="000000"/>
              <w:right w:val="nil"/>
            </w:tcBorders>
            <w:vAlign w:val="center"/>
          </w:tcPr>
          <w:p>
            <w:pPr>
              <w:pStyle w:val="Normal"/>
              <w:spacing w:lineRule="auto" w:line="240" w:before="0" w:after="0"/>
              <w:jc w:val="center"/>
              <w:rPr>
                <w:b/>
                <w:b/>
                <w:bCs/>
                <w:sz w:val="18"/>
                <w:szCs w:val="18"/>
              </w:rPr>
            </w:pPr>
            <w:r>
              <w:rPr>
                <w:b/>
                <w:bCs/>
                <w:sz w:val="18"/>
                <w:szCs w:val="18"/>
              </w:rPr>
              <w:t>Model</w:t>
            </w:r>
          </w:p>
        </w:tc>
        <w:tc>
          <w:tcPr>
            <w:tcW w:w="734" w:type="dxa"/>
            <w:tcBorders>
              <w:top w:val="single" w:sz="12" w:space="0" w:color="000000"/>
              <w:left w:val="nil"/>
              <w:bottom w:val="single" w:sz="12" w:space="0" w:color="000000"/>
              <w:right w:val="single" w:sz="6" w:space="0" w:color="000000"/>
            </w:tcBorders>
            <w:vAlign w:val="center"/>
          </w:tcPr>
          <w:p>
            <w:pPr>
              <w:pStyle w:val="Normal"/>
              <w:spacing w:lineRule="auto" w:line="240" w:before="0" w:after="0"/>
              <w:jc w:val="center"/>
              <w:rPr>
                <w:b/>
                <w:b/>
                <w:bCs/>
                <w:sz w:val="18"/>
                <w:szCs w:val="18"/>
              </w:rPr>
            </w:pPr>
            <w:r>
              <w:rPr>
                <w:b/>
                <w:bCs/>
                <w:sz w:val="18"/>
                <w:szCs w:val="18"/>
              </w:rPr>
              <w:t>Delta AIC</w:t>
            </w:r>
          </w:p>
        </w:tc>
        <w:tc>
          <w:tcPr>
            <w:tcW w:w="11682" w:type="dxa"/>
            <w:gridSpan w:val="7"/>
            <w:tcBorders>
              <w:top w:val="single" w:sz="12" w:space="0" w:color="000000"/>
              <w:left w:val="single" w:sz="6" w:space="0" w:color="000000"/>
              <w:bottom w:val="single" w:sz="12" w:space="0" w:color="000000"/>
              <w:right w:val="nil"/>
            </w:tcBorders>
            <w:vAlign w:val="center"/>
          </w:tcPr>
          <w:p>
            <w:pPr>
              <w:pStyle w:val="Normal"/>
              <w:spacing w:lineRule="auto" w:line="240" w:before="0" w:after="0"/>
              <w:jc w:val="center"/>
              <w:rPr>
                <w:b/>
                <w:b/>
                <w:bCs/>
                <w:sz w:val="18"/>
                <w:szCs w:val="18"/>
              </w:rPr>
            </w:pPr>
            <w:r>
              <w:rPr>
                <w:b/>
                <w:bCs/>
                <w:sz w:val="18"/>
                <w:szCs w:val="18"/>
              </w:rPr>
              <w:t>Variables</w:t>
            </w:r>
          </w:p>
        </w:tc>
      </w:tr>
      <w:tr>
        <w:trPr/>
        <w:tc>
          <w:tcPr>
            <w:tcW w:w="1528" w:type="dxa"/>
            <w:tcBorders>
              <w:top w:val="single" w:sz="12" w:space="0" w:color="000000"/>
              <w:left w:val="nil"/>
              <w:bottom w:val="nil"/>
              <w:right w:val="nil"/>
            </w:tcBorders>
          </w:tcPr>
          <w:p>
            <w:pPr>
              <w:pStyle w:val="Normal"/>
              <w:spacing w:lineRule="auto" w:line="240" w:before="0" w:after="0"/>
              <w:jc w:val="center"/>
              <w:rPr>
                <w:sz w:val="18"/>
                <w:szCs w:val="18"/>
              </w:rPr>
            </w:pPr>
            <w:r>
              <w:rPr>
                <w:sz w:val="18"/>
                <w:szCs w:val="18"/>
              </w:rPr>
              <w:t>M1</w:t>
            </w:r>
          </w:p>
        </w:tc>
        <w:tc>
          <w:tcPr>
            <w:tcW w:w="734" w:type="dxa"/>
            <w:tcBorders>
              <w:top w:val="single" w:sz="12" w:space="0" w:color="000000"/>
              <w:left w:val="nil"/>
              <w:bottom w:val="nil"/>
              <w:right w:val="single" w:sz="6" w:space="0" w:color="000000"/>
            </w:tcBorders>
          </w:tcPr>
          <w:p>
            <w:pPr>
              <w:pStyle w:val="Normal"/>
              <w:spacing w:lineRule="auto" w:line="240" w:before="0" w:after="0"/>
              <w:rPr>
                <w:sz w:val="18"/>
                <w:szCs w:val="18"/>
              </w:rPr>
            </w:pPr>
            <w:r>
              <w:rPr>
                <w:sz w:val="18"/>
                <w:szCs w:val="18"/>
              </w:rPr>
              <w:t>57.38</w:t>
            </w:r>
          </w:p>
        </w:tc>
        <w:tc>
          <w:tcPr>
            <w:tcW w:w="1701" w:type="dxa"/>
            <w:tcBorders>
              <w:top w:val="single" w:sz="12" w:space="0" w:color="000000"/>
              <w:left w:val="single" w:sz="6" w:space="0" w:color="000000"/>
              <w:bottom w:val="nil"/>
              <w:right w:val="nil"/>
            </w:tcBorders>
          </w:tcPr>
          <w:p>
            <w:pPr>
              <w:pStyle w:val="Normal"/>
              <w:spacing w:lineRule="auto" w:line="240" w:before="0" w:after="0"/>
              <w:rPr>
                <w:sz w:val="18"/>
                <w:szCs w:val="18"/>
              </w:rPr>
            </w:pPr>
            <w:r>
              <w:rPr>
                <w:sz w:val="18"/>
                <w:szCs w:val="18"/>
              </w:rPr>
              <w:t>Population density</w:t>
            </w:r>
          </w:p>
        </w:tc>
        <w:tc>
          <w:tcPr>
            <w:tcW w:w="1700" w:type="dxa"/>
            <w:tcBorders>
              <w:top w:val="single" w:sz="12" w:space="0" w:color="000000"/>
              <w:left w:val="nil"/>
              <w:bottom w:val="nil"/>
              <w:right w:val="nil"/>
            </w:tcBorders>
          </w:tcPr>
          <w:p>
            <w:pPr>
              <w:pStyle w:val="Normal"/>
              <w:spacing w:lineRule="auto" w:line="240" w:before="0" w:after="0"/>
              <w:rPr>
                <w:sz w:val="18"/>
                <w:szCs w:val="18"/>
              </w:rPr>
            </w:pPr>
            <w:r>
              <w:rPr>
                <w:sz w:val="18"/>
                <w:szCs w:val="18"/>
              </w:rPr>
              <w:t>Elevation</w:t>
            </w:r>
          </w:p>
        </w:tc>
        <w:tc>
          <w:tcPr>
            <w:tcW w:w="1701" w:type="dxa"/>
            <w:tcBorders>
              <w:top w:val="single" w:sz="12" w:space="0" w:color="000000"/>
              <w:left w:val="nil"/>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single" w:sz="12" w:space="0" w:color="000000"/>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2" w:type="dxa"/>
            <w:tcBorders>
              <w:top w:val="single" w:sz="12" w:space="0" w:color="000000"/>
              <w:left w:val="nil"/>
              <w:bottom w:val="nil"/>
              <w:right w:val="nil"/>
            </w:tcBorders>
          </w:tcPr>
          <w:p>
            <w:pPr>
              <w:pStyle w:val="Normal"/>
              <w:spacing w:lineRule="auto" w:line="240" w:before="0" w:after="0"/>
              <w:rPr>
                <w:sz w:val="18"/>
                <w:szCs w:val="18"/>
              </w:rPr>
            </w:pPr>
            <w:r>
              <w:rPr>
                <w:sz w:val="18"/>
                <w:szCs w:val="18"/>
              </w:rPr>
              <w:t>Presence of ELCs</w:t>
            </w:r>
          </w:p>
        </w:tc>
        <w:tc>
          <w:tcPr>
            <w:tcW w:w="1700" w:type="dxa"/>
            <w:tcBorders>
              <w:top w:val="single" w:sz="12" w:space="0" w:color="000000"/>
              <w:left w:val="nil"/>
              <w:bottom w:val="nil"/>
              <w:right w:val="nil"/>
            </w:tcBorders>
          </w:tcPr>
          <w:p>
            <w:pPr>
              <w:pStyle w:val="Normal"/>
              <w:spacing w:lineRule="auto" w:line="240" w:before="0" w:after="0"/>
              <w:rPr>
                <w:sz w:val="18"/>
                <w:szCs w:val="18"/>
              </w:rPr>
            </w:pPr>
            <w:r>
              <w:rPr>
                <w:sz w:val="18"/>
                <w:szCs w:val="18"/>
              </w:rPr>
              <w:t>Presence of PAs</w:t>
            </w:r>
          </w:p>
        </w:tc>
        <w:tc>
          <w:tcPr>
            <w:tcW w:w="1478" w:type="dxa"/>
            <w:tcBorders>
              <w:top w:val="single" w:sz="12" w:space="0" w:color="000000"/>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M2</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58.41</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Proportion males in school</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Elevation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t>Presence of ELCs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Presence of PAs</w:t>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M3</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58.13</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Proportion primary sector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Elevation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t>Presence of ELCs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Presence of PAs</w:t>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M4</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59.46</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Proportion with pigs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Elevation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t>Presence of ELCs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Presence of PAs</w:t>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M5</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5.04</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Distance to school</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Elevation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t>Presence of ELCs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Presence of PAs</w:t>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M6</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61.55</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Criminal cases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Elevation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t>Presence of ELCs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Presence of PAs</w:t>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M7</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61.65</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Out-migration</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Elevation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t>Presence of ELCs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Presence of PAs</w:t>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shd w:color="auto" w:fill="C5E0B3" w:themeFill="accent6" w:themeFillTint="66" w:val="clear"/>
          </w:tcPr>
          <w:p>
            <w:pPr>
              <w:pStyle w:val="Normal"/>
              <w:spacing w:lineRule="auto" w:line="240" w:before="0" w:after="0"/>
              <w:jc w:val="center"/>
              <w:rPr>
                <w:sz w:val="18"/>
                <w:szCs w:val="18"/>
              </w:rPr>
            </w:pPr>
            <w:r>
              <w:rPr>
                <w:sz w:val="18"/>
                <w:szCs w:val="18"/>
              </w:rPr>
              <w:t>M8</w:t>
            </w:r>
          </w:p>
        </w:tc>
        <w:tc>
          <w:tcPr>
            <w:tcW w:w="734" w:type="dxa"/>
            <w:tcBorders>
              <w:top w:val="nil"/>
              <w:left w:val="nil"/>
              <w:bottom w:val="nil"/>
              <w:right w:val="single" w:sz="6" w:space="0" w:color="000000"/>
            </w:tcBorders>
            <w:shd w:color="auto" w:fill="C5E0B3" w:themeFill="accent6" w:themeFillTint="66" w:val="clear"/>
          </w:tcPr>
          <w:p>
            <w:pPr>
              <w:pStyle w:val="Normal"/>
              <w:spacing w:lineRule="auto" w:line="240" w:before="0" w:after="0"/>
              <w:rPr>
                <w:sz w:val="18"/>
                <w:szCs w:val="18"/>
              </w:rPr>
            </w:pPr>
            <w:r>
              <w:rPr>
                <w:sz w:val="18"/>
                <w:szCs w:val="18"/>
              </w:rPr>
              <w:t>0.00</w:t>
            </w:r>
          </w:p>
        </w:tc>
        <w:tc>
          <w:tcPr>
            <w:tcW w:w="1701" w:type="dxa"/>
            <w:tcBorders>
              <w:top w:val="nil"/>
              <w:left w:val="single" w:sz="6" w:space="0" w:color="000000"/>
              <w:bottom w:val="nil"/>
              <w:right w:val="nil"/>
            </w:tcBorders>
            <w:shd w:color="auto" w:fill="C5E0B3" w:themeFill="accent6" w:themeFillTint="66" w:val="clear"/>
          </w:tcPr>
          <w:p>
            <w:pPr>
              <w:pStyle w:val="Normal"/>
              <w:spacing w:lineRule="auto" w:line="240" w:before="0" w:after="0"/>
              <w:rPr>
                <w:sz w:val="18"/>
                <w:szCs w:val="18"/>
              </w:rPr>
            </w:pPr>
            <w:r>
              <w:rPr>
                <w:sz w:val="18"/>
                <w:szCs w:val="18"/>
              </w:rPr>
              <w:t>Males in school</w:t>
            </w:r>
          </w:p>
        </w:tc>
        <w:tc>
          <w:tcPr>
            <w:tcW w:w="1700" w:type="dxa"/>
            <w:tcBorders>
              <w:top w:val="nil"/>
              <w:left w:val="nil"/>
              <w:bottom w:val="nil"/>
              <w:right w:val="nil"/>
            </w:tcBorders>
            <w:shd w:color="auto" w:fill="C5E0B3" w:themeFill="accent6" w:themeFillTint="66" w:val="clear"/>
          </w:tcPr>
          <w:p>
            <w:pPr>
              <w:pStyle w:val="Normal"/>
              <w:spacing w:lineRule="auto" w:line="240" w:before="0" w:after="0"/>
              <w:rPr>
                <w:sz w:val="18"/>
                <w:szCs w:val="18"/>
              </w:rPr>
            </w:pPr>
            <w:r>
              <w:rPr>
                <w:sz w:val="18"/>
                <w:szCs w:val="18"/>
              </w:rPr>
              <w:t>Distance to school</w:t>
            </w:r>
          </w:p>
        </w:tc>
        <w:tc>
          <w:tcPr>
            <w:tcW w:w="1701" w:type="dxa"/>
            <w:tcBorders>
              <w:top w:val="nil"/>
              <w:left w:val="nil"/>
              <w:bottom w:val="nil"/>
              <w:right w:val="nil"/>
            </w:tcBorders>
            <w:shd w:color="auto" w:fill="C5E0B3" w:themeFill="accent6" w:themeFillTint="66" w:val="clear"/>
          </w:tcPr>
          <w:p>
            <w:pPr>
              <w:pStyle w:val="Normal"/>
              <w:spacing w:lineRule="auto" w:line="240" w:before="0" w:after="0"/>
              <w:rPr>
                <w:sz w:val="18"/>
                <w:szCs w:val="18"/>
              </w:rPr>
            </w:pPr>
            <w:r>
              <w:rPr>
                <w:sz w:val="18"/>
                <w:szCs w:val="18"/>
              </w:rPr>
              <w:t>Elevation</w:t>
            </w:r>
          </w:p>
        </w:tc>
        <w:tc>
          <w:tcPr>
            <w:tcW w:w="1700" w:type="dxa"/>
            <w:tcBorders>
              <w:top w:val="nil"/>
              <w:left w:val="nil"/>
              <w:bottom w:val="nil"/>
              <w:right w:val="nil"/>
            </w:tcBorders>
            <w:shd w:color="auto" w:fill="C5E0B3" w:themeFill="accent6" w:themeFillTint="66" w:val="clear"/>
          </w:tcPr>
          <w:p>
            <w:pPr>
              <w:pStyle w:val="Normal"/>
              <w:spacing w:lineRule="auto" w:line="240" w:before="0" w:after="0"/>
              <w:rPr>
                <w:sz w:val="18"/>
                <w:szCs w:val="18"/>
              </w:rPr>
            </w:pPr>
            <w:r>
              <w:rPr>
                <w:sz w:val="18"/>
                <w:szCs w:val="18"/>
              </w:rPr>
              <w:t>Distance to int’l border</w:t>
            </w:r>
          </w:p>
        </w:tc>
        <w:tc>
          <w:tcPr>
            <w:tcW w:w="1702" w:type="dxa"/>
            <w:tcBorders>
              <w:top w:val="nil"/>
              <w:left w:val="nil"/>
              <w:bottom w:val="nil"/>
              <w:right w:val="nil"/>
            </w:tcBorders>
            <w:shd w:color="auto" w:fill="C5E0B3" w:themeFill="accent6" w:themeFillTint="66" w:val="clear"/>
          </w:tcPr>
          <w:p>
            <w:pPr>
              <w:pStyle w:val="Normal"/>
              <w:spacing w:lineRule="auto" w:line="240" w:before="0" w:after="0"/>
              <w:rPr>
                <w:sz w:val="18"/>
                <w:szCs w:val="18"/>
              </w:rPr>
            </w:pPr>
            <w:r>
              <w:rPr>
                <w:sz w:val="18"/>
                <w:szCs w:val="18"/>
              </w:rPr>
              <w:t>Distance to provincial capital</w:t>
            </w:r>
          </w:p>
        </w:tc>
        <w:tc>
          <w:tcPr>
            <w:tcW w:w="1700" w:type="dxa"/>
            <w:tcBorders>
              <w:top w:val="nil"/>
              <w:left w:val="nil"/>
              <w:bottom w:val="nil"/>
              <w:right w:val="nil"/>
            </w:tcBorders>
            <w:shd w:color="auto" w:fill="C5E0B3" w:themeFill="accent6" w:themeFillTint="66" w:val="clear"/>
          </w:tcPr>
          <w:p>
            <w:pPr>
              <w:pStyle w:val="Normal"/>
              <w:spacing w:lineRule="auto" w:line="240" w:before="0" w:after="0"/>
              <w:rPr>
                <w:sz w:val="18"/>
                <w:szCs w:val="18"/>
              </w:rPr>
            </w:pPr>
            <w:r>
              <w:rPr>
                <w:sz w:val="18"/>
                <w:szCs w:val="18"/>
              </w:rPr>
              <w:t>Presence of ELCs</w:t>
            </w:r>
          </w:p>
        </w:tc>
        <w:tc>
          <w:tcPr>
            <w:tcW w:w="1478" w:type="dxa"/>
            <w:tcBorders>
              <w:top w:val="nil"/>
              <w:left w:val="nil"/>
              <w:bottom w:val="nil"/>
              <w:right w:val="nil"/>
            </w:tcBorders>
            <w:shd w:color="auto" w:fill="C5E0B3" w:themeFill="accent6" w:themeFillTint="66" w:val="clear"/>
          </w:tcPr>
          <w:p>
            <w:pPr>
              <w:pStyle w:val="Normal"/>
              <w:spacing w:lineRule="auto" w:line="240" w:before="0" w:after="0"/>
              <w:rPr>
                <w:sz w:val="18"/>
                <w:szCs w:val="18"/>
              </w:rPr>
            </w:pPr>
            <w:r>
              <w:rPr>
                <w:sz w:val="18"/>
                <w:szCs w:val="18"/>
              </w:rPr>
              <w:t>Presence of PAs</w:t>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M9</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58.38</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Primary sector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Out-migration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t>Elevation</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int’l border</w:t>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Presence of ELCs</w:t>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t>Presence of PAs</w:t>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M10</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203.95</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Population density</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M11</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210.35</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Land conflicts</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Criminal cases</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M12</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214.36</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In-migration</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Out-migration</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M13</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209.36</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Proportion males in school</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M14</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209.48</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Proportion primary sector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Proportion secondary sector</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M15</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207.60</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Proportion no farmland</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Proportion with pigs</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M16</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212.50</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Distance to school</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M17</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100.59</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Elevation</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nil"/>
              <w:right w:val="nil"/>
            </w:tcBorders>
          </w:tcPr>
          <w:p>
            <w:pPr>
              <w:pStyle w:val="Normal"/>
              <w:spacing w:lineRule="auto" w:line="240" w:before="0" w:after="0"/>
              <w:jc w:val="center"/>
              <w:rPr>
                <w:sz w:val="18"/>
                <w:szCs w:val="18"/>
              </w:rPr>
            </w:pPr>
            <w:r>
              <w:rPr>
                <w:sz w:val="18"/>
                <w:szCs w:val="18"/>
              </w:rPr>
              <w:t>M18</w:t>
            </w:r>
          </w:p>
        </w:tc>
        <w:tc>
          <w:tcPr>
            <w:tcW w:w="734" w:type="dxa"/>
            <w:tcBorders>
              <w:top w:val="nil"/>
              <w:left w:val="nil"/>
              <w:bottom w:val="nil"/>
              <w:right w:val="single" w:sz="6" w:space="0" w:color="000000"/>
            </w:tcBorders>
          </w:tcPr>
          <w:p>
            <w:pPr>
              <w:pStyle w:val="Normal"/>
              <w:spacing w:lineRule="auto" w:line="240" w:before="0" w:after="0"/>
              <w:rPr>
                <w:sz w:val="18"/>
                <w:szCs w:val="18"/>
              </w:rPr>
            </w:pPr>
            <w:r>
              <w:rPr>
                <w:sz w:val="18"/>
                <w:szCs w:val="18"/>
              </w:rPr>
              <w:t>132.49</w:t>
            </w:r>
          </w:p>
        </w:tc>
        <w:tc>
          <w:tcPr>
            <w:tcW w:w="1701" w:type="dxa"/>
            <w:tcBorders>
              <w:top w:val="nil"/>
              <w:left w:val="single" w:sz="6" w:space="0" w:color="000000"/>
              <w:bottom w:val="nil"/>
              <w:right w:val="nil"/>
            </w:tcBorders>
          </w:tcPr>
          <w:p>
            <w:pPr>
              <w:pStyle w:val="Normal"/>
              <w:spacing w:lineRule="auto" w:line="240" w:before="0" w:after="0"/>
              <w:rPr>
                <w:sz w:val="18"/>
                <w:szCs w:val="18"/>
              </w:rPr>
            </w:pPr>
            <w:r>
              <w:rPr>
                <w:sz w:val="18"/>
                <w:szCs w:val="18"/>
              </w:rPr>
              <w:t>Distance to int’l border</w:t>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t>Distance to provincial capital</w:t>
            </w:r>
          </w:p>
        </w:tc>
        <w:tc>
          <w:tcPr>
            <w:tcW w:w="1701"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702" w:type="dxa"/>
            <w:tcBorders>
              <w:top w:val="nil"/>
              <w:left w:val="nil"/>
              <w:bottom w:val="nil"/>
              <w:right w:val="nil"/>
            </w:tcBorders>
          </w:tcPr>
          <w:p>
            <w:pPr>
              <w:pStyle w:val="Normal"/>
              <w:spacing w:lineRule="auto" w:line="240" w:before="0" w:after="0"/>
              <w:rPr>
                <w:sz w:val="18"/>
                <w:szCs w:val="18"/>
              </w:rPr>
            </w:pPr>
            <w:r>
              <w:rPr>
                <w:sz w:val="18"/>
                <w:szCs w:val="18"/>
              </w:rPr>
            </w:r>
          </w:p>
        </w:tc>
        <w:tc>
          <w:tcPr>
            <w:tcW w:w="1700" w:type="dxa"/>
            <w:tcBorders>
              <w:top w:val="nil"/>
              <w:left w:val="nil"/>
              <w:bottom w:val="nil"/>
              <w:right w:val="nil"/>
            </w:tcBorders>
          </w:tcPr>
          <w:p>
            <w:pPr>
              <w:pStyle w:val="Normal"/>
              <w:spacing w:lineRule="auto" w:line="240" w:before="0" w:after="0"/>
              <w:rPr>
                <w:sz w:val="18"/>
                <w:szCs w:val="18"/>
              </w:rPr>
            </w:pPr>
            <w:r>
              <w:rPr>
                <w:sz w:val="18"/>
                <w:szCs w:val="18"/>
              </w:rPr>
            </w:r>
          </w:p>
        </w:tc>
        <w:tc>
          <w:tcPr>
            <w:tcW w:w="1478" w:type="dxa"/>
            <w:tcBorders>
              <w:top w:val="nil"/>
              <w:left w:val="nil"/>
              <w:bottom w:val="nil"/>
              <w:right w:val="nil"/>
            </w:tcBorders>
          </w:tcPr>
          <w:p>
            <w:pPr>
              <w:pStyle w:val="Normal"/>
              <w:spacing w:lineRule="auto" w:line="240" w:before="0" w:after="0"/>
              <w:rPr>
                <w:sz w:val="18"/>
                <w:szCs w:val="18"/>
              </w:rPr>
            </w:pPr>
            <w:r>
              <w:rPr>
                <w:sz w:val="18"/>
                <w:szCs w:val="18"/>
              </w:rPr>
            </w:r>
          </w:p>
        </w:tc>
      </w:tr>
      <w:tr>
        <w:trPr/>
        <w:tc>
          <w:tcPr>
            <w:tcW w:w="1528" w:type="dxa"/>
            <w:tcBorders>
              <w:top w:val="nil"/>
              <w:left w:val="nil"/>
              <w:bottom w:val="single" w:sz="12" w:space="0" w:color="000000"/>
              <w:right w:val="nil"/>
            </w:tcBorders>
          </w:tcPr>
          <w:p>
            <w:pPr>
              <w:pStyle w:val="Normal"/>
              <w:spacing w:lineRule="auto" w:line="240" w:before="0" w:after="0"/>
              <w:jc w:val="center"/>
              <w:rPr>
                <w:sz w:val="18"/>
                <w:szCs w:val="18"/>
              </w:rPr>
            </w:pPr>
            <w:r>
              <w:rPr>
                <w:sz w:val="18"/>
                <w:szCs w:val="18"/>
              </w:rPr>
              <w:t>M19</w:t>
            </w:r>
          </w:p>
        </w:tc>
        <w:tc>
          <w:tcPr>
            <w:tcW w:w="734" w:type="dxa"/>
            <w:tcBorders>
              <w:top w:val="nil"/>
              <w:left w:val="nil"/>
              <w:bottom w:val="single" w:sz="12" w:space="0" w:color="000000"/>
              <w:right w:val="single" w:sz="6" w:space="0" w:color="000000"/>
            </w:tcBorders>
          </w:tcPr>
          <w:p>
            <w:pPr>
              <w:pStyle w:val="Normal"/>
              <w:spacing w:lineRule="auto" w:line="240" w:before="0" w:after="0"/>
              <w:rPr>
                <w:sz w:val="18"/>
                <w:szCs w:val="18"/>
              </w:rPr>
            </w:pPr>
            <w:r>
              <w:rPr>
                <w:sz w:val="18"/>
                <w:szCs w:val="18"/>
              </w:rPr>
              <w:t>181.77</w:t>
            </w:r>
          </w:p>
        </w:tc>
        <w:tc>
          <w:tcPr>
            <w:tcW w:w="1701" w:type="dxa"/>
            <w:tcBorders>
              <w:top w:val="nil"/>
              <w:left w:val="single" w:sz="6" w:space="0" w:color="000000"/>
              <w:bottom w:val="single" w:sz="12" w:space="0" w:color="000000"/>
              <w:right w:val="nil"/>
            </w:tcBorders>
          </w:tcPr>
          <w:p>
            <w:pPr>
              <w:pStyle w:val="Normal"/>
              <w:spacing w:lineRule="auto" w:line="240" w:before="0" w:after="0"/>
              <w:rPr>
                <w:sz w:val="18"/>
                <w:szCs w:val="18"/>
              </w:rPr>
            </w:pPr>
            <w:r>
              <w:rPr>
                <w:sz w:val="18"/>
                <w:szCs w:val="18"/>
              </w:rPr>
              <w:t>Presence of ELCs</w:t>
            </w:r>
          </w:p>
        </w:tc>
        <w:tc>
          <w:tcPr>
            <w:tcW w:w="1700" w:type="dxa"/>
            <w:tcBorders>
              <w:top w:val="nil"/>
              <w:left w:val="nil"/>
              <w:bottom w:val="single" w:sz="12" w:space="0" w:color="000000"/>
              <w:right w:val="nil"/>
            </w:tcBorders>
          </w:tcPr>
          <w:p>
            <w:pPr>
              <w:pStyle w:val="Normal"/>
              <w:spacing w:lineRule="auto" w:line="240" w:before="0" w:after="0"/>
              <w:rPr>
                <w:sz w:val="18"/>
                <w:szCs w:val="18"/>
              </w:rPr>
            </w:pPr>
            <w:r>
              <w:rPr>
                <w:sz w:val="18"/>
                <w:szCs w:val="18"/>
              </w:rPr>
              <w:t>Presence of PAs</w:t>
            </w:r>
          </w:p>
        </w:tc>
        <w:tc>
          <w:tcPr>
            <w:tcW w:w="1701" w:type="dxa"/>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c>
          <w:tcPr>
            <w:tcW w:w="1700" w:type="dxa"/>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c>
          <w:tcPr>
            <w:tcW w:w="1702" w:type="dxa"/>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c>
          <w:tcPr>
            <w:tcW w:w="1700" w:type="dxa"/>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c>
          <w:tcPr>
            <w:tcW w:w="1478" w:type="dxa"/>
            <w:tcBorders>
              <w:top w:val="nil"/>
              <w:left w:val="nil"/>
              <w:bottom w:val="single" w:sz="12" w:space="0" w:color="000000"/>
              <w:right w:val="nil"/>
            </w:tcBorders>
          </w:tcPr>
          <w:p>
            <w:pPr>
              <w:pStyle w:val="Normal"/>
              <w:spacing w:lineRule="auto" w:line="240" w:before="0" w:after="0"/>
              <w:rPr>
                <w:sz w:val="18"/>
                <w:szCs w:val="18"/>
              </w:rPr>
            </w:pPr>
            <w:r>
              <w:rPr>
                <w:sz w:val="18"/>
                <w:szCs w:val="18"/>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sz w:val="18"/>
          <w:szCs w:val="18"/>
        </w:rPr>
      </w:pPr>
      <w:r>
        <w:rPr>
          <w:b/>
          <w:bCs/>
          <w:sz w:val="18"/>
          <w:szCs w:val="18"/>
        </w:rPr>
      </w:r>
    </w:p>
    <w:p>
      <w:pPr>
        <w:pStyle w:val="Normal"/>
        <w:rPr>
          <w:b/>
          <w:b/>
          <w:bCs/>
        </w:rPr>
      </w:pPr>
      <w:r>
        <w:rPr>
          <w:b/>
          <w:bCs/>
          <w:sz w:val="18"/>
          <w:szCs w:val="18"/>
        </w:rPr>
        <w:t xml:space="preserve"> </w:t>
      </w:r>
    </w:p>
    <w:p>
      <w:pPr>
        <w:pStyle w:val="Normal"/>
        <w:spacing w:before="0" w:after="160"/>
        <w:rPr>
          <w:b/>
          <w:b/>
          <w:bCs/>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roen Minderman" w:date="2021-08-30T13:15:42Z" w:initials="JM">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Scale? National right? I’d specify this explicitly in the relevant captions. Also what are the line and the intervals plotted? Again you may say this in the text but the captions need to stand alone.</w:t>
      </w:r>
    </w:p>
  </w:comment>
  <w:comment w:id="1" w:author="Matthew Nuttall" w:date="2021-07-08T10:08:00Z" w:initials="MN">
    <w:p>
      <w:r>
        <w:rPr>
          <w:rFonts w:ascii="Liberation Serif" w:hAnsi="Liberation Serif" w:eastAsia="DejaVu Sans" w:cs="DejaVu Sans"/>
          <w:sz w:val="24"/>
          <w:szCs w:val="24"/>
          <w:lang w:val="en-US" w:eastAsia="en-US" w:bidi="en-US"/>
        </w:rPr>
        <w:t>Need to add SE to all of the below tables</w:t>
      </w:r>
    </w:p>
  </w:comment>
  <w:comment w:id="2" w:author="Jeroen Minderman" w:date="2021-08-30T12:53:22Z" w:initials="JM">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I know this tends to make tables like this more unwieldy, but I tend to prefer a table where each column is a single predictor, with each row indicating presence/absence of that term. That way it’s much easier to compare across models which predictors are/aren’t included.</w:t>
      </w:r>
    </w:p>
  </w:comment>
  <w:comment w:id="3" w:author="Jeroen Minderman" w:date="2021-08-30T12:59:02Z" w:initials="JM">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Same point as S19 above; personally I’d restructure the table but it’s a matter of preference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51ced"/>
    <w:rPr>
      <w:sz w:val="16"/>
      <w:szCs w:val="16"/>
    </w:rPr>
  </w:style>
  <w:style w:type="character" w:styleId="CommentTextChar" w:customStyle="1">
    <w:name w:val="Comment Text Char"/>
    <w:basedOn w:val="DefaultParagraphFont"/>
    <w:link w:val="CommentText"/>
    <w:uiPriority w:val="99"/>
    <w:semiHidden/>
    <w:qFormat/>
    <w:rsid w:val="00651ced"/>
    <w:rPr>
      <w:sz w:val="20"/>
      <w:szCs w:val="20"/>
    </w:rPr>
  </w:style>
  <w:style w:type="character" w:styleId="CommentSubjectChar" w:customStyle="1">
    <w:name w:val="Comment Subject Char"/>
    <w:basedOn w:val="CommentTextChar"/>
    <w:link w:val="CommentSubject"/>
    <w:uiPriority w:val="99"/>
    <w:semiHidden/>
    <w:qFormat/>
    <w:rsid w:val="00651ced"/>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1e6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51ce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51ce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803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Application>LibreOffice/6.4.7.2$Linux_X86_64 LibreOffice_project/40$Build-2</Application>
  <Pages>30</Pages>
  <Words>7518</Words>
  <Characters>42856</Characters>
  <CharactersWithSpaces>50274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2021-04-15T08:02:00Z</dcterms:created>
  <dc:creator>Matthew Nuttall</dc:creator>
  <dc:description/>
  <dc:language>en-GB</dc:language>
  <cp:lastModifiedBy>Jeroen Minderman</cp:lastModifiedBy>
  <dcterms:modified xsi:type="dcterms:W3CDTF">2021-08-30T15:07:30Z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9" name="ZOTERO_PREF_2">
    <vt:lpwstr>rnalAbbreviations" value="true"/&gt;&lt;/prefs&gt;&lt;/data&gt;</vt:lpwstr>
  </property>
</Properties>
</file>