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337EA05" w14:textId="68197676" w:rsidR="0005444F"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w:t>
      </w:r>
      <w:r w:rsidR="00524C0E">
        <w:t xml:space="preserve">, increasing the value of local studies. Local socioeconomic conditions </w:t>
      </w:r>
      <w:r w:rsidR="007723BD">
        <w:t>are</w:t>
      </w:r>
      <w:r w:rsidR="00524C0E">
        <w:t xml:space="preserve"> important</w:t>
      </w:r>
      <w:r w:rsidR="007723BD">
        <w:t xml:space="preserve"> factors</w:t>
      </w:r>
      <w:r w:rsidR="00524C0E">
        <w:t xml:space="preserve"> in understanding the link between broader drivers </w:t>
      </w:r>
      <w:r w:rsidR="007723BD">
        <w:t>of land use change</w:t>
      </w:r>
      <w:r w:rsidR="00890C61">
        <w:t xml:space="preserve"> (LUC)</w:t>
      </w:r>
      <w:r w:rsidR="007723BD">
        <w:t xml:space="preserve"> and deforestation, and can be effective predictors of forest loss </w:t>
      </w:r>
      <w:r w:rsidR="007723BD">
        <w:fldChar w:fldCharType="begin"/>
      </w:r>
      <w:r w:rsidR="009107F5">
        <w:instrText xml:space="preserve"> ADDIN ZOTERO_ITEM CSL_CITATION {"citationID":"slJQJ1SI","properties":{"formattedCitation":"(Liu et al. 2016; Bonilla-Bedoya et al. 2018)","plainCitation":"(Liu et al. 2016; Bonilla-Bedoya et al. 2018)","noteIndex":0},"citationItems":[{"id":2952,"uris":["http://zotero.org/users/2170232/items/6LIR9TKR"],"uri":["http://zotero.org/users/2170232/items/6LIR9TKR"],"itemData":{"id":2952,"type":"article-journal","abstract":"Forest loss and fragmentation, which generate various negative environmental and ecological consequences, have become widespread phenomena across the globe. Motivation to investigate the underlying drivers is essential for land use planning and policy decision making. This paper characterizes forest loss and fragmentation from 1979 to 2014 in the Ningbo region (China) using multitemporal satellite imageries and a set of landscape metrics (area-weighted mean patch area, edge density, area-weighted shape index, Euclidean nearest neighbor distance, effective mesh size and total area); and then quantifies the responsible socioeconomic drivers (economy, social activities, science and technology, culture and policy, demography) under different land use planning schemes (urban and non-urban) using multivariate linear regression. Results show that the two zones present identical trend of intensifying forest loss and fragmentation but differ in changing magnitude and speed. More specifically, forest loss and fragmentation in the non-urban planning zone occurs at a significantly higher pace and magnitude. For the urban planning zone, population pressure, economic growth and fruit consumption are the primary drivers of forest loss, while forest fragmentation is mainly driven by economic openness, cash crop consumption and environmental protection consciousness. For the non-urban planning zone, income increases, fruit consumption and infrastructure development are the primary drivers of forest loss, while infrastructure and tourism development are the major drivers of forest fragmentation. Besides, forest loss and fragmentation in the two zones are both heavily subjected to land use policy. The variance partitioning analysis highlights that the policy driver is the most influential one and economic driver also has strong effect on forest loss and fragmentation in the urban planning zone. For the non-urban planning zone, the influence of policy driver is the strongest and social activity is also very powerful. These results provide compelling evidence that land use planning fails to play an efficient role in protecting forest resources in the Ningbo region. The failure should be attributed to several issues associated with land use planning and forestry governance that widely exist in China. We finally propose some pertinent implications and suggestions for China’s land use planning and forest policy. This study is believed to advance the understanding of the socioeconomic drivers of forest loss and fragmentation. It therefore provides some new insights in land use policy.","container-title":"Land Use Policy","DOI":"10.1016/j.landusepol.2016.01.016","ISSN":"0264-8377","journalAbbreviation":"Land Use Policy","language":"en","page":"58-68","source":"ScienceDirect","title":"Socioeconomic drivers of forest loss and fragmentation: A comparison between different land use planning schemes and policy implications","title-short":"Socioeconomic drivers of forest loss and fragmentation","volume":"54","author":[{"family":"Liu","given":"Yaolin"},{"family":"Feng","given":"Yuhao"},{"family":"Zhao","given":"Zhe"},{"family":"Zhang","given":"Qianwen"},{"family":"Su","given":"Shiliang"}],"issued":{"date-parts":[["2016",7,1]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7723BD">
        <w:fldChar w:fldCharType="separate"/>
      </w:r>
      <w:r w:rsidR="009107F5" w:rsidRPr="009107F5">
        <w:rPr>
          <w:rFonts w:ascii="Calibri" w:hAnsi="Calibri" w:cs="Calibri"/>
        </w:rPr>
        <w:t>(Liu et al. 2016; Bonilla-Bedoya et al. 2018)</w:t>
      </w:r>
      <w:r w:rsidR="007723BD">
        <w:fldChar w:fldCharType="end"/>
      </w:r>
      <w:r w:rsidR="007723BD">
        <w:t>.</w:t>
      </w:r>
      <w:r w:rsidR="00524C0E">
        <w:t xml:space="preserve"> </w:t>
      </w:r>
      <w:r w:rsidR="0005444F">
        <w:t xml:space="preserve">Proximate causes of deforestation such as agricultural expansion and infrastructure development are often closely linked via feedback loops and dependencies to socioeconomic conditions including poverty, migration, local economies, and land and wealth inequality </w:t>
      </w:r>
      <w:r w:rsidR="0005444F">
        <w:fldChar w:fldCharType="begin"/>
      </w:r>
      <w:r w:rsidR="0005444F">
        <w:instrText xml:space="preserve"> ADDIN ZOTERO_ITEM CSL_CITATION {"citationID":"p7dz9ICJ","properties":{"formattedCitation":"(Geist &amp; Lambin 2002; Khuc et al. 2018)","plainCitation":"(Geist &amp; Lambin 2002; Khuc et al. 2018)","noteIndex":0},"citationItems":[{"id":1947,"uris":["http://zotero.org/users/2170232/items/HNTSNFG3"],"uri":["http://zotero.org/users/2170232/items/HNTSNFG3"],"itemData":{"id":1947,"type":"article-journal","abstract":"One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05444F">
        <w:fldChar w:fldCharType="separate"/>
      </w:r>
      <w:r w:rsidR="0005444F" w:rsidRPr="0005444F">
        <w:rPr>
          <w:rFonts w:ascii="Calibri" w:hAnsi="Calibri" w:cs="Calibri"/>
        </w:rPr>
        <w:t xml:space="preserve">(Geist &amp; </w:t>
      </w:r>
      <w:proofErr w:type="spellStart"/>
      <w:r w:rsidR="0005444F" w:rsidRPr="0005444F">
        <w:rPr>
          <w:rFonts w:ascii="Calibri" w:hAnsi="Calibri" w:cs="Calibri"/>
        </w:rPr>
        <w:t>Lambin</w:t>
      </w:r>
      <w:proofErr w:type="spellEnd"/>
      <w:r w:rsidR="0005444F" w:rsidRPr="0005444F">
        <w:rPr>
          <w:rFonts w:ascii="Calibri" w:hAnsi="Calibri" w:cs="Calibri"/>
        </w:rPr>
        <w:t xml:space="preserve"> 2002; </w:t>
      </w:r>
      <w:proofErr w:type="spellStart"/>
      <w:r w:rsidR="0005444F" w:rsidRPr="0005444F">
        <w:rPr>
          <w:rFonts w:ascii="Calibri" w:hAnsi="Calibri" w:cs="Calibri"/>
        </w:rPr>
        <w:t>Khuc</w:t>
      </w:r>
      <w:proofErr w:type="spellEnd"/>
      <w:r w:rsidR="0005444F" w:rsidRPr="0005444F">
        <w:rPr>
          <w:rFonts w:ascii="Calibri" w:hAnsi="Calibri" w:cs="Calibri"/>
        </w:rPr>
        <w:t xml:space="preserve"> et al. 2018)</w:t>
      </w:r>
      <w:r w:rsidR="0005444F">
        <w:fldChar w:fldCharType="end"/>
      </w:r>
      <w:r w:rsidR="005F24FA">
        <w:t xml:space="preserve">. Therefore, understanding </w:t>
      </w:r>
      <w:r w:rsidR="006F0007">
        <w:t>the link between</w:t>
      </w:r>
      <w:r w:rsidR="005F24FA">
        <w:t xml:space="preserve"> socioeconomics </w:t>
      </w:r>
      <w:r w:rsidR="006F0007">
        <w:t>and</w:t>
      </w:r>
      <w:r w:rsidR="005F24FA">
        <w:t xml:space="preserve"> forest cover at different scales is a crucial step in the development of effective economic and environmental policies that have positive effects on both people and forests. </w:t>
      </w:r>
    </w:p>
    <w:p w14:paraId="7CF7A200" w14:textId="77777777" w:rsidR="00E62493" w:rsidRDefault="00890C61">
      <w:r>
        <w:t xml:space="preserve">Socioeconomics can encompass a huge variety of conditions that describe the social, demographic, and economic state of local people, and can affect which drivers of LUC are most influential in causing forest loss </w:t>
      </w:r>
      <w:r>
        <w:fldChar w:fldCharType="begin"/>
      </w:r>
      <w:r>
        <w:instrText xml:space="preserve"> ADDIN ZOTERO_ITEM CSL_CITATION {"citationID":"IbVJMlPr","properties":{"formattedCitation":"(Mena et al. 2006)","plainCitation":"(Mena et al. 2006)","noteIndex":0},"citationItems":[{"id":2260,"uris":["http://zotero.org/users/2170232/items/BTIITC3E"],"uri":["http://zotero.org/users/2170232/items/BTIITC3E"],"itemData":{"id":2260,"type":"article-journal","abstract":"Investigations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E."}],"issued":{"date-parts":[["2006",6,1]]}}}],"schema":"https://github.com/citation-style-language/schema/raw/master/csl-citation.json"} </w:instrText>
      </w:r>
      <w:r>
        <w:fldChar w:fldCharType="separate"/>
      </w:r>
      <w:r w:rsidRPr="00890C61">
        <w:rPr>
          <w:rFonts w:ascii="Calibri" w:hAnsi="Calibri" w:cs="Calibri"/>
        </w:rPr>
        <w:t>(Mena et al. 2006)</w:t>
      </w:r>
      <w:r>
        <w:fldChar w:fldCharType="end"/>
      </w:r>
      <w:r>
        <w:t xml:space="preserve">. </w:t>
      </w:r>
      <w:r w:rsidR="00451A01">
        <w:t>The complexity of social-ecological systems means that it is challenging for researchers to identify and model all the correct and appropriate socioeconomic predictors of forest loss, but there is a wealth of research that has helped to untangle certain relationships in specific locations and scales.</w:t>
      </w:r>
      <w:r w:rsidR="009107F5">
        <w:t xml:space="preserve"> At the local scale, socioeconomic drivers and local economics that both affect decision-making processes within households, </w:t>
      </w:r>
      <w:r w:rsidR="00E7333A">
        <w:t>coupled with</w:t>
      </w:r>
      <w:r w:rsidR="009107F5">
        <w:t xml:space="preserve"> institutional factors</w:t>
      </w:r>
      <w:r w:rsidR="00E7333A">
        <w:t>,</w:t>
      </w:r>
      <w:r w:rsidR="009107F5">
        <w:t xml:space="preserve"> are often the most relevant for influencing LUC </w:t>
      </w:r>
      <w:r w:rsidR="00E7333A">
        <w:fldChar w:fldCharType="begin"/>
      </w:r>
      <w:r w:rsidR="00E7333A">
        <w:instrText xml:space="preserve"> ADDIN ZOTERO_ITEM CSL_CITATION {"citationID":"nfREo3kL","properties":{"formattedCitation":"(Van Den Hoek et al. 2014; Gatto et al. 2015)","plainCitation":"(Van Den Hoek et al. 2014; Gatto et al. 2015)","noteIndex":0},"citationItems":[{"id":2944,"uris":["http://zotero.org/users/2170232/items/2KHAFC44"],"uri":["http://zotero.org/users/2170232/items/2KHAFC44"],"itemData":{"id":2944,"type":"article-journal","abstract":"China's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E7333A">
        <w:fldChar w:fldCharType="separate"/>
      </w:r>
      <w:r w:rsidR="00E7333A" w:rsidRPr="00E7333A">
        <w:rPr>
          <w:rFonts w:ascii="Calibri" w:hAnsi="Calibri" w:cs="Calibri"/>
        </w:rPr>
        <w:t xml:space="preserve">(Van Den Hoek et al. 2014; </w:t>
      </w:r>
      <w:proofErr w:type="spellStart"/>
      <w:r w:rsidR="00E7333A" w:rsidRPr="00E7333A">
        <w:rPr>
          <w:rFonts w:ascii="Calibri" w:hAnsi="Calibri" w:cs="Calibri"/>
        </w:rPr>
        <w:t>Gatto</w:t>
      </w:r>
      <w:proofErr w:type="spellEnd"/>
      <w:r w:rsidR="00E7333A" w:rsidRPr="00E7333A">
        <w:rPr>
          <w:rFonts w:ascii="Calibri" w:hAnsi="Calibri" w:cs="Calibri"/>
        </w:rPr>
        <w:t xml:space="preserve"> et al. 2015)</w:t>
      </w:r>
      <w:r w:rsidR="00E7333A">
        <w:fldChar w:fldCharType="end"/>
      </w:r>
      <w:r w:rsidR="00E7333A">
        <w:t>.</w:t>
      </w:r>
      <w:r>
        <w:t xml:space="preserve"> </w:t>
      </w:r>
      <w:r w:rsidR="00E7333A">
        <w:t xml:space="preserve">Poverty was once believed to be the single most important socioeconomic driver of deforestation </w:t>
      </w:r>
      <w:r w:rsidR="00E7333A">
        <w:fldChar w:fldCharType="begin"/>
      </w:r>
      <w:r w:rsidR="00E7333A">
        <w:instrText xml:space="preserve"> ADDIN ZOTERO_ITEM CSL_CITATION {"citationID":"gg1hLWw4","properties":{"formattedCitation":"(Lomborg 2001)","plainCitation":"(Lomborg 2001)","noteIndex":0},"citationItems":[{"id":2955,"uris":["http://zotero.org/users/2170232/items/68NLRKFV"],"uri":["http://zotero.org/users/2170232/items/68NLRKFV"],"itemData":{"id":2955,"type":"book","abstract":"Bjørn Lomborg, a former member of Greenpeace, challenges widely held beliefs that the world environmental situation is getting worse and worse in his new book, The Skeptical Environmentalist. Using statistical information from internationally recognized research institutes, Lomborg systematically examines a range of major environmental issues that feature prominently in headline news around the world, including pollution, biodiversity, fear of chemicals, and the greenhouse effect, and documents that the world has actually improved. He supports his arguments with over 2500 footnotes, allowing readers to check his sources. Lomborg criticizes the way many environmental organizations make selective and misleading use of scientific evidence and argues that we are making decisions about the use of our limited resources based on inaccurate or incomplete information. Concluding that there are more reasons for optimism than pessimism, he stresses the need for clear-headed prioritization of resources to tackle real, not imagined, problems. The Skeptical Environmentalist offers readers a non-partisan evaluation that serves as a useful corrective to the more alarmist accounts favored by campaign groups and the media. Bjørn Lomborg is an associate professor of statistics in the Department of Political Science at the University of Aarhus. When he started to investigate the statistics behind the current gloomy view of the environment, he was genuinely surprised. He published four lengthy articles in the leading Danish newspaper, including statistics documenting an ever-improving world, and unleashed the biggest post-war debate with more than 400 articles in all the major papers. Since then, Lomborg has been a frequent participant in the European debate on environmentalism on television, radio, and in newspapers.","ISBN":"978-0-521-01068-9","language":"en","note":"Google-Books-ID: JuLko8USApwC","number-of-pages":"546","publisher":"Cambridge University Press","source":"Google Books","title":"The Skeptical Environmentalist: Measuring the Real State of the World","title-short":"The Skeptical Environmentalist","author":[{"family":"Lomborg","given":"Bjørn"}],"issued":{"date-parts":[["2001"]]}}}],"schema":"https://github.com/citation-style-language/schema/raw/master/csl-citation.json"} </w:instrText>
      </w:r>
      <w:r w:rsidR="00E7333A">
        <w:fldChar w:fldCharType="separate"/>
      </w:r>
      <w:r w:rsidR="00E7333A" w:rsidRPr="00E7333A">
        <w:rPr>
          <w:rFonts w:ascii="Calibri" w:hAnsi="Calibri" w:cs="Calibri"/>
        </w:rPr>
        <w:t>(Lomborg 2001)</w:t>
      </w:r>
      <w:r w:rsidR="00E7333A">
        <w:fldChar w:fldCharType="end"/>
      </w:r>
      <w:r w:rsidR="00E7333A">
        <w:t xml:space="preserve">, although more recent research has added significant nuance to this argument </w:t>
      </w:r>
      <w:r w:rsidR="00E7333A">
        <w:fldChar w:fldCharType="begin"/>
      </w:r>
      <w:r w:rsidR="00E7333A">
        <w:instrText xml:space="preserve"> ADDIN ZOTERO_ITEM CSL_CITATION {"citationID":"CSfOEerN","properties":{"formattedCitation":"(Geist &amp; Lambin 2003)","plainCitation":"(Geist &amp; Lambin 2003)","noteIndex":0},"citationItems":[{"id":2941,"uris":["http://zotero.org/users/2170232/items/PAZIGWER"],"uri":["http://zotero.org/users/2170232/items/PAZIGWER"],"itemData":{"id":2941,"type":"article-journal","container-title":"The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deforestation?","volume":"5","author":[{"family":"Geist","given":"H."},{"family":"Lambin","given":"E."}],"issued":{"date-parts":[["2003"]]}}}],"schema":"https://github.com/citation-style-language/schema/raw/master/csl-citation.json"} </w:instrText>
      </w:r>
      <w:r w:rsidR="00E7333A">
        <w:fldChar w:fldCharType="separate"/>
      </w:r>
      <w:r w:rsidR="00E7333A" w:rsidRPr="00E7333A">
        <w:rPr>
          <w:rFonts w:ascii="Calibri" w:hAnsi="Calibri" w:cs="Calibri"/>
        </w:rPr>
        <w:t xml:space="preserve">(Geist &amp; </w:t>
      </w:r>
      <w:proofErr w:type="spellStart"/>
      <w:r w:rsidR="00E7333A" w:rsidRPr="00E7333A">
        <w:rPr>
          <w:rFonts w:ascii="Calibri" w:hAnsi="Calibri" w:cs="Calibri"/>
        </w:rPr>
        <w:t>Lambin</w:t>
      </w:r>
      <w:proofErr w:type="spellEnd"/>
      <w:r w:rsidR="00E7333A" w:rsidRPr="00E7333A">
        <w:rPr>
          <w:rFonts w:ascii="Calibri" w:hAnsi="Calibri" w:cs="Calibri"/>
        </w:rPr>
        <w:t xml:space="preserve"> 2003)</w:t>
      </w:r>
      <w:r w:rsidR="00E7333A">
        <w:fldChar w:fldCharType="end"/>
      </w:r>
      <w:r w:rsidR="00E7333A">
        <w:t>. Poverty</w:t>
      </w:r>
      <w:r w:rsidR="00902F41">
        <w:t xml:space="preserve"> itself is a complex metric encompassing a multitude of factors such as income, wealth, land, agriculture, migration, education, and healthcare, all of which interact to influence deforestation </w:t>
      </w:r>
      <w:r w:rsidR="00902F41">
        <w:fldChar w:fldCharType="begin"/>
      </w:r>
      <w:r w:rsidR="00902F41">
        <w:instrText xml:space="preserve"> ADDIN ZOTERO_ITEM CSL_CITATION {"citationID":"WoSeO5zL","properties":{"formattedCitation":"(Khuc et al. 2018)","plainCitation":"(Khuc et al. 2018)","noteIndex":0},"citationItems":[{"id":2118,"uris":["http://zotero.org/users/2170232/items/W2T66ULU"],"uri":["http://zotero.org/users/2170232/items/W2T66ULU"],"itemData":{"id":2118,"type":"article-journal","abstract":"Climate change is a pressing global issue and it negatively affects many developing countries, including Vietnam. To help Vietnam effectively respond to this pressing challenge, the country has recently introduced a major program for reducing carbon emissions arising from deforestation and forest degradation, fostering conservation, managing forests sustainably, and enhancing forest carbon stocks (REDD+). Current policies in Vietnam provide a sound platform for the development of REDD+, and REDD+ can potentially greatly contribute to the reduction of deforestation and forest degradation. However, these policies and the REDD+ program are hindered by limited understanding of the extent of deforestation and forest degradation and their underlying causes. This study employed geographic information system (GIS) tools, a structural regression model (structural model), and a regression tree method to quantify the extent as well as the approximate causes of deforestation and forest degradation in Vietnam. Results show that around 1.77 and 0.65 million ha of forests were lost and degraded, respectively, between 2000 and 2010. Deforestation and forest degradation were most notable in the north central, northeast, central highland, and northwest areas of the nation. There were several underlying indicators of deforestation and forest degradation including initial forest cover, per capita income, agricultural production, governance, population growth, food, and poverty. Our results illustrate several important policy implications for forest restoration and the REDD+ program in Vietnam: Vietnam should focus most strongly on reducing poverty, preserving existing forests, improving provincial-level governance, and controlling population growth.","container-title":"Forest Policy and Economics","DOI":"10.1016/j.forpol.2018.02.004","ISSN":"1389-9341","journalAbbreviation":"Forest Policy and Economics","language":"en","page":"128-141","source":"ScienceDirect","title":"Drivers of deforestation and forest degradation in Vietnam: An exploratory analysis at the national level","title-short":"Drivers of deforestation and forest degradation in Vietnam","volume":"90","author":[{"family":"Khuc","given":"Quy Van"},{"family":"Tran","given":"Bao Quang"},{"family":"Meyfroidt","given":"Patrick"},{"family":"Paschke","given":"Mark W."}],"issued":{"date-parts":[["2018",5,1]]}}}],"schema":"https://github.com/citation-style-language/schema/raw/master/csl-citation.json"} </w:instrText>
      </w:r>
      <w:r w:rsidR="00902F41">
        <w:fldChar w:fldCharType="separate"/>
      </w:r>
      <w:r w:rsidR="00902F41" w:rsidRPr="00902F41">
        <w:rPr>
          <w:rFonts w:ascii="Calibri" w:hAnsi="Calibri" w:cs="Calibri"/>
        </w:rPr>
        <w:t>(</w:t>
      </w:r>
      <w:proofErr w:type="spellStart"/>
      <w:r w:rsidR="00902F41" w:rsidRPr="00902F41">
        <w:rPr>
          <w:rFonts w:ascii="Calibri" w:hAnsi="Calibri" w:cs="Calibri"/>
        </w:rPr>
        <w:t>Khuc</w:t>
      </w:r>
      <w:proofErr w:type="spellEnd"/>
      <w:r w:rsidR="00902F41" w:rsidRPr="00902F41">
        <w:rPr>
          <w:rFonts w:ascii="Calibri" w:hAnsi="Calibri" w:cs="Calibri"/>
        </w:rPr>
        <w:t xml:space="preserve"> et al. 2018)</w:t>
      </w:r>
      <w:r w:rsidR="00902F41">
        <w:fldChar w:fldCharType="end"/>
      </w:r>
      <w:r w:rsidR="00902F41">
        <w:t>. Inequalities in land, income, and wealth, and insecure land tenure and forest rights for local people are all common factors in driving deforestation</w:t>
      </w:r>
      <w:r w:rsidR="004022CF">
        <w:t xml:space="preserve"> </w:t>
      </w:r>
      <w:r w:rsidR="004022CF">
        <w:fldChar w:fldCharType="begin"/>
      </w:r>
      <w:r w:rsidR="004022CF">
        <w:instrText xml:space="preserve"> ADDIN ZOTERO_ITEM CSL_CITATION {"citationID":"pvCt8fqO","properties":{"formattedCitation":"(Ceddia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Ceddia</w:t>
      </w:r>
      <w:proofErr w:type="spellEnd"/>
      <w:r w:rsidR="004022CF" w:rsidRPr="004022CF">
        <w:rPr>
          <w:rFonts w:ascii="Calibri" w:hAnsi="Calibri" w:cs="Calibri"/>
        </w:rPr>
        <w:t xml:space="preserve"> 2019)</w:t>
      </w:r>
      <w:r w:rsidR="004022CF">
        <w:fldChar w:fldCharType="end"/>
      </w:r>
      <w:r w:rsidR="004022CF">
        <w:t xml:space="preserve">. Such inequalities, in combination with debt and overpopulation, drive the expansion of agriculture and other natural resource-based activities as local people strive for subsistence and economic development </w:t>
      </w:r>
      <w:r w:rsidR="004022CF">
        <w:fldChar w:fldCharType="begin"/>
      </w:r>
      <w:r w:rsidR="004022CF">
        <w:instrText xml:space="preserve"> ADDIN ZOTERO_ITEM CSL_CITATION {"citationID":"ogrQFYLK","properties":{"formattedCitation":"(Culas 2012; Ceddia et al. 2015)","plainCitation":"(Culas 2012; Ceddia et al. 2015)","noteIndex":0},"citationItems":[{"id":2143,"uris":["http://zotero.org/users/2170232/items/TPIWN6QK"],"uri":["http://zotero.org/users/2170232/items/TPIWN6QK"],"itemData":{"id":2143,"type":"article-journal","abstract":"International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4022CF">
        <w:fldChar w:fldCharType="separate"/>
      </w:r>
      <w:r w:rsidR="004022CF" w:rsidRPr="004022CF">
        <w:rPr>
          <w:rFonts w:ascii="Calibri" w:hAnsi="Calibri" w:cs="Calibri"/>
        </w:rPr>
        <w:t>(</w:t>
      </w:r>
      <w:proofErr w:type="spellStart"/>
      <w:r w:rsidR="004022CF" w:rsidRPr="004022CF">
        <w:rPr>
          <w:rFonts w:ascii="Calibri" w:hAnsi="Calibri" w:cs="Calibri"/>
        </w:rPr>
        <w:t>Culas</w:t>
      </w:r>
      <w:proofErr w:type="spellEnd"/>
      <w:r w:rsidR="004022CF" w:rsidRPr="004022CF">
        <w:rPr>
          <w:rFonts w:ascii="Calibri" w:hAnsi="Calibri" w:cs="Calibri"/>
        </w:rPr>
        <w:t xml:space="preserve"> 2012; </w:t>
      </w:r>
      <w:proofErr w:type="spellStart"/>
      <w:r w:rsidR="004022CF" w:rsidRPr="004022CF">
        <w:rPr>
          <w:rFonts w:ascii="Calibri" w:hAnsi="Calibri" w:cs="Calibri"/>
        </w:rPr>
        <w:t>Ceddia</w:t>
      </w:r>
      <w:proofErr w:type="spellEnd"/>
      <w:r w:rsidR="004022CF" w:rsidRPr="004022CF">
        <w:rPr>
          <w:rFonts w:ascii="Calibri" w:hAnsi="Calibri" w:cs="Calibri"/>
        </w:rPr>
        <w:t xml:space="preserve"> et al. 2015)</w:t>
      </w:r>
      <w:r w:rsidR="004022CF">
        <w:fldChar w:fldCharType="end"/>
      </w:r>
      <w:r w:rsidR="004022CF">
        <w:t xml:space="preserve">.  </w:t>
      </w:r>
      <w:r w:rsidR="00902F41">
        <w:t xml:space="preserve">  </w:t>
      </w:r>
    </w:p>
    <w:p w14:paraId="62005430" w14:textId="77319B17" w:rsidR="006F0007" w:rsidRDefault="00316B6B">
      <w:r>
        <w:t xml:space="preserve">Studies from Asia have highlighted the importance of socioeconomics in </w:t>
      </w:r>
      <w:r w:rsidR="00D1536D">
        <w:t>influencing</w:t>
      </w:r>
      <w:r>
        <w:t xml:space="preserve"> the effects of economic drivers on deforestation. </w:t>
      </w:r>
      <w:r w:rsidR="00D1536D">
        <w:t>The differences in population density between</w:t>
      </w:r>
      <w:r>
        <w:t xml:space="preserve"> urban and rural locations</w:t>
      </w:r>
      <w:r w:rsidR="00D1536D">
        <w:t xml:space="preserve"> and the choice of agricultural crop had an interaction effect on deforestation in Indonesia </w:t>
      </w:r>
      <w:r w:rsidR="00D1536D">
        <w:fldChar w:fldCharType="begin"/>
      </w:r>
      <w:r w:rsidR="00D1536D">
        <w:instrText xml:space="preserve"> ADDIN ZOTERO_ITEM CSL_CITATION {"citationID":"nmfLHmNZ","properties":{"formattedCitation":"(Gatto et al. 2015)","plainCitation":"(Gatto et al. 2015)","noteIndex":0},"citationItems":[{"id":1533,"uris":["http://zotero.org/users/2170232/items/FNSEJ3E4"],"uri":["http://zotero.org/users/2170232/items/FNSEJ3E4"],"itemData":{"id":1533,"type":"article-journal","abstract":"We investigate land-use dynamics in Jambi, Sumatra, one of the hotspots of Indonesia's recent oil palm boom. Data from a structured village survey are used to analyze the role of socioeconomic and policy factors. Oil palm is partly grown on large plantations, but smallholders are also involved to a significant extent. We find that, in spite of considerable oil palm expansion, rubber remains the dominant crop. Most of the oil palm growth takes place on previous fallow and rubber land. Oil palm has not been a major driver of deforestation. Much of the forest in Jambi was cleared more than 20 years ago, and rubber was an established cash crop long before the oil palm boom started. However, oil palm growth occurs in locations with ongoing logging activities, so indirect effects on deforestation are possible. The Indonesian government's transmigration program of the 1980s and 1990s was instrumental for the start and spread of oil palm in Jambi. Some autochthonous villages have adopted oil palm. But oil palm adoption in autochthonous villages started later and happens at a slower pace than in the villages of the transmigrants from Java.","container-title":"Land Use Policy","DOI":"10.1016/j.landusepol.2015.03.001","ISSN":"0264-8377","journalAbbreviation":"Land Use Policy","page":"292-303","source":"ScienceDirect","title":"Oil palm boom and land-use dynamics in Indonesia: The role of policies and socioeconomic factors","title-short":"Oil palm boom and land-use dynamics in Indonesia","volume":"46","author":[{"family":"Gatto","given":"Marcel"},{"family":"Wollni","given":"Meike"},{"family":"Qaim","given":"Matin"}],"issued":{"date-parts":[["2015",7,1]]}}}],"schema":"https://github.com/citation-style-language/schema/raw/master/csl-citation.json"} </w:instrText>
      </w:r>
      <w:r w:rsidR="00D1536D">
        <w:fldChar w:fldCharType="separate"/>
      </w:r>
      <w:r w:rsidR="00D1536D" w:rsidRPr="00D1536D">
        <w:rPr>
          <w:rFonts w:ascii="Calibri" w:hAnsi="Calibri" w:cs="Calibri"/>
        </w:rPr>
        <w:t>(</w:t>
      </w:r>
      <w:proofErr w:type="spellStart"/>
      <w:r w:rsidR="00D1536D" w:rsidRPr="00D1536D">
        <w:rPr>
          <w:rFonts w:ascii="Calibri" w:hAnsi="Calibri" w:cs="Calibri"/>
        </w:rPr>
        <w:t>Gatto</w:t>
      </w:r>
      <w:proofErr w:type="spellEnd"/>
      <w:r w:rsidR="00D1536D" w:rsidRPr="00D1536D">
        <w:rPr>
          <w:rFonts w:ascii="Calibri" w:hAnsi="Calibri" w:cs="Calibri"/>
        </w:rPr>
        <w:t xml:space="preserve"> et al. 2015)</w:t>
      </w:r>
      <w:r w:rsidR="00D1536D">
        <w:fldChar w:fldCharType="end"/>
      </w:r>
      <w:r w:rsidR="00D1536D">
        <w:t xml:space="preserve">, and changes in urban structure and local economic development boosted in-migration in Shenzhen, China, which drove urban forest fragmentation </w:t>
      </w:r>
      <w:r w:rsidR="00D1536D">
        <w:fldChar w:fldCharType="begin"/>
      </w:r>
      <w:r w:rsidR="00D1536D">
        <w:instrText xml:space="preserve"> ADDIN ZOTERO_ITEM CSL_CITATION {"citationID":"uc49X24Q","properties":{"formattedCitation":"(Gong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D1536D">
        <w:fldChar w:fldCharType="separate"/>
      </w:r>
      <w:r w:rsidR="00D1536D" w:rsidRPr="00D1536D">
        <w:rPr>
          <w:rFonts w:ascii="Calibri" w:hAnsi="Calibri" w:cs="Calibri"/>
        </w:rPr>
        <w:t>(Gong et al. 2013)</w:t>
      </w:r>
      <w:r w:rsidR="00D1536D">
        <w:fldChar w:fldCharType="end"/>
      </w:r>
      <w:r w:rsidR="00D1536D">
        <w:t xml:space="preserve">. </w:t>
      </w:r>
    </w:p>
    <w:p w14:paraId="45CC032F" w14:textId="66E7B4AA" w:rsidR="005744DE" w:rsidRDefault="00C64B16">
      <w:r w:rsidRPr="00C64B16">
        <w:t>Forest loss and fragmentation in rapidly developing areas are largely influenced by socioeconomic changes and human demands</w:t>
      </w:r>
      <w:r w:rsidR="00072256">
        <w:t xml:space="preserve"> (Liu et al 2016</w:t>
      </w:r>
      <w:r w:rsidR="00072256" w:rsidRPr="009107F5">
        <w:rPr>
          <w:highlight w:val="lightGray"/>
        </w:rPr>
        <w:t>)</w:t>
      </w:r>
      <w:r w:rsidRPr="00C64B16">
        <w:rPr>
          <w:highlight w:val="lightGray"/>
        </w:rPr>
        <w:t>.</w:t>
      </w:r>
      <w:r w:rsidR="00072256" w:rsidRPr="009107F5">
        <w:rPr>
          <w:highlight w:val="lightGray"/>
        </w:rPr>
        <w:t xml:space="preserve"> </w:t>
      </w:r>
      <w:r w:rsidR="00072256" w:rsidRPr="009107F5">
        <w:rPr>
          <w:highlight w:val="lightGray"/>
        </w:rPr>
        <w:t>village level socioeconomic drivers and institutional factors, and household decision-making processes are typically most relevant to LUC at the local level</w:t>
      </w:r>
      <w:r w:rsidR="00072256" w:rsidRPr="009107F5">
        <w:rPr>
          <w:highlight w:val="lightGray"/>
        </w:rPr>
        <w:t xml:space="preserve"> (Van Den Hoek et al 2014)</w:t>
      </w:r>
      <w:r w:rsidR="00072256" w:rsidRPr="009107F5">
        <w:rPr>
          <w:highlight w:val="lightGray"/>
        </w:rPr>
        <w:t>.</w:t>
      </w:r>
      <w:r w:rsidR="00072256">
        <w:t xml:space="preserve"> </w:t>
      </w:r>
    </w:p>
    <w:p w14:paraId="494FB10E" w14:textId="5223E318" w:rsidR="006F0007" w:rsidRDefault="006F0007">
      <w:r w:rsidRPr="00E62493">
        <w:rPr>
          <w:highlight w:val="lightGray"/>
        </w:rPr>
        <w:lastRenderedPageBreak/>
        <w:t xml:space="preserve">Poverty </w:t>
      </w:r>
      <w:r w:rsidR="00285D11" w:rsidRPr="00E62493">
        <w:rPr>
          <w:highlight w:val="lightGray"/>
        </w:rPr>
        <w:t xml:space="preserve">– traditional view was that it caused </w:t>
      </w:r>
      <w:proofErr w:type="spellStart"/>
      <w:r w:rsidR="00285D11" w:rsidRPr="00E62493">
        <w:rPr>
          <w:highlight w:val="lightGray"/>
        </w:rPr>
        <w:t>defor</w:t>
      </w:r>
      <w:proofErr w:type="spellEnd"/>
      <w:r w:rsidR="00285D11" w:rsidRPr="00E62493">
        <w:rPr>
          <w:highlight w:val="lightGray"/>
        </w:rPr>
        <w:t xml:space="preserve"> (Lomborg). Now we understand its more complicated (Geist &amp; </w:t>
      </w:r>
      <w:proofErr w:type="spellStart"/>
      <w:r w:rsidR="00285D11" w:rsidRPr="00E62493">
        <w:rPr>
          <w:highlight w:val="lightGray"/>
        </w:rPr>
        <w:t>Lambin</w:t>
      </w:r>
      <w:proofErr w:type="spellEnd"/>
      <w:r w:rsidR="00285D11" w:rsidRPr="00E62493">
        <w:rPr>
          <w:highlight w:val="lightGray"/>
        </w:rPr>
        <w:t xml:space="preserve"> 2003). But some local examples of where poverty is still a good predictor (</w:t>
      </w:r>
      <w:proofErr w:type="spellStart"/>
      <w:r w:rsidR="00285D11" w:rsidRPr="00E62493">
        <w:rPr>
          <w:highlight w:val="lightGray"/>
        </w:rPr>
        <w:t>Khuc</w:t>
      </w:r>
      <w:proofErr w:type="spellEnd"/>
      <w:r w:rsidR="00285D11" w:rsidRPr="00E62493">
        <w:rPr>
          <w:highlight w:val="lightGray"/>
        </w:rPr>
        <w:t xml:space="preserve"> et al 2018, Bonilla-</w:t>
      </w:r>
      <w:r w:rsidR="000A5C90" w:rsidRPr="00E62493">
        <w:rPr>
          <w:highlight w:val="lightGray"/>
        </w:rPr>
        <w:t>Bedoya 2019</w:t>
      </w:r>
      <w:r w:rsidR="00285D11" w:rsidRPr="00E62493">
        <w:rPr>
          <w:highlight w:val="lightGray"/>
        </w:rPr>
        <w:t>).</w:t>
      </w:r>
      <w:r w:rsidR="00285D11">
        <w:t xml:space="preserve"> </w:t>
      </w:r>
    </w:p>
    <w:p w14:paraId="43803515" w14:textId="6872E928" w:rsidR="00285D11" w:rsidRPr="00E62493" w:rsidRDefault="00285D11">
      <w:pPr>
        <w:rPr>
          <w:highlight w:val="lightGray"/>
        </w:rPr>
      </w:pPr>
      <w:r w:rsidRPr="00E62493">
        <w:rPr>
          <w:highlight w:val="lightGray"/>
        </w:rPr>
        <w:t xml:space="preserve">Link between poverty/inequality and proximate drivers - Inequality increases </w:t>
      </w:r>
      <w:proofErr w:type="spellStart"/>
      <w:r w:rsidRPr="00E62493">
        <w:rPr>
          <w:highlight w:val="lightGray"/>
        </w:rPr>
        <w:t>agric</w:t>
      </w:r>
      <w:proofErr w:type="spellEnd"/>
      <w:r w:rsidRPr="00E62493">
        <w:rPr>
          <w:highlight w:val="lightGray"/>
        </w:rPr>
        <w:t xml:space="preserve"> expansion</w:t>
      </w:r>
      <w:r w:rsidR="000A5C90" w:rsidRPr="00E62493">
        <w:rPr>
          <w:highlight w:val="lightGray"/>
        </w:rPr>
        <w:t xml:space="preserve"> (</w:t>
      </w:r>
      <w:proofErr w:type="spellStart"/>
      <w:r w:rsidR="000A5C90" w:rsidRPr="00E62493">
        <w:rPr>
          <w:highlight w:val="lightGray"/>
        </w:rPr>
        <w:t>Ceddia</w:t>
      </w:r>
      <w:proofErr w:type="spellEnd"/>
      <w:r w:rsidR="000A5C90" w:rsidRPr="00E62493">
        <w:rPr>
          <w:highlight w:val="lightGray"/>
        </w:rPr>
        <w:t xml:space="preserve"> 2019)</w:t>
      </w:r>
      <w:r w:rsidRPr="00E62493">
        <w:rPr>
          <w:highlight w:val="lightGray"/>
        </w:rPr>
        <w:t xml:space="preserve">. </w:t>
      </w:r>
    </w:p>
    <w:p w14:paraId="1B678949" w14:textId="2441E415" w:rsidR="005744DE" w:rsidRDefault="005744DE">
      <w:r w:rsidRPr="00E62493">
        <w:rPr>
          <w:highlight w:val="lightGray"/>
        </w:rPr>
        <w:t>Indigenous forest rights – positive effect on land sparing (</w:t>
      </w:r>
      <w:proofErr w:type="spellStart"/>
      <w:r w:rsidRPr="00E62493">
        <w:rPr>
          <w:highlight w:val="lightGray"/>
        </w:rPr>
        <w:t>Ceddia</w:t>
      </w:r>
      <w:proofErr w:type="spellEnd"/>
      <w:r w:rsidRPr="00E62493">
        <w:rPr>
          <w:highlight w:val="lightGray"/>
        </w:rPr>
        <w:t xml:space="preserve"> 2015).</w:t>
      </w:r>
    </w:p>
    <w:p w14:paraId="528C0217" w14:textId="0E56FB6B" w:rsidR="00285D11" w:rsidRDefault="00285D11">
      <w:r w:rsidRPr="00E7333A">
        <w:rPr>
          <w:highlight w:val="lightGray"/>
        </w:rPr>
        <w:t>Local economic drivers important</w:t>
      </w:r>
      <w:r>
        <w:t xml:space="preserve">. </w:t>
      </w:r>
      <w:r w:rsidRPr="00D1536D">
        <w:rPr>
          <w:highlight w:val="lightGray"/>
        </w:rPr>
        <w:t>Can play out in unexpected ways depending on other factors</w:t>
      </w:r>
      <w:r w:rsidR="00072256" w:rsidRPr="00D1536D">
        <w:rPr>
          <w:highlight w:val="lightGray"/>
        </w:rPr>
        <w:t xml:space="preserve"> such as whether areas are urban or rural, which crops are involved in agricultural expansion</w:t>
      </w:r>
      <w:r w:rsidRPr="00D1536D">
        <w:rPr>
          <w:highlight w:val="lightGray"/>
        </w:rPr>
        <w:t xml:space="preserve"> (</w:t>
      </w:r>
      <w:proofErr w:type="spellStart"/>
      <w:r w:rsidRPr="00D1536D">
        <w:rPr>
          <w:highlight w:val="lightGray"/>
        </w:rPr>
        <w:t>Gatto</w:t>
      </w:r>
      <w:proofErr w:type="spellEnd"/>
      <w:r w:rsidRPr="00D1536D">
        <w:rPr>
          <w:highlight w:val="lightGray"/>
        </w:rPr>
        <w:t xml:space="preserve"> et al 2015</w:t>
      </w:r>
      <w:r w:rsidR="00072256" w:rsidRPr="00D1536D">
        <w:rPr>
          <w:highlight w:val="lightGray"/>
        </w:rPr>
        <w:t>, Liu et al 2016</w:t>
      </w:r>
      <w:r w:rsidRPr="00D1536D">
        <w:rPr>
          <w:highlight w:val="lightGray"/>
        </w:rPr>
        <w:t>).</w:t>
      </w:r>
      <w:r w:rsidR="005744DE">
        <w:t xml:space="preserve"> In China </w:t>
      </w:r>
      <w:r w:rsidR="00C64B16">
        <w:t>–</w:t>
      </w:r>
      <w:r w:rsidR="005744DE">
        <w:t xml:space="preserve"> </w:t>
      </w:r>
      <w:r w:rsidR="00C64B16">
        <w:t xml:space="preserve">forest fragmentation driven </w:t>
      </w:r>
      <w:r w:rsidR="00C64B16" w:rsidRPr="00C64B16">
        <w:t>urban structure change, industry-related economic boom, increased in-migration</w:t>
      </w:r>
      <w:r w:rsidR="00C64B16">
        <w:t xml:space="preserve"> (Gong et al 2013), and in India population density shown to reduce forest cover (</w:t>
      </w:r>
      <w:proofErr w:type="spellStart"/>
      <w:r w:rsidR="00C64B16">
        <w:t>Krishnadas</w:t>
      </w:r>
      <w:proofErr w:type="spellEnd"/>
      <w:r w:rsidR="00C64B16">
        <w:t xml:space="preserve"> et al 2019).</w:t>
      </w:r>
      <w:r w:rsidR="005D0E96">
        <w:t xml:space="preserve"> </w:t>
      </w:r>
      <w:r w:rsidR="005D0E96">
        <w:t>LUC in Pakistan driven by combination of socioeconomic, environmental, and geographic factors</w:t>
      </w:r>
      <w:r w:rsidR="005D0E96">
        <w:t xml:space="preserve"> (Mannan et al 2019)</w:t>
      </w:r>
      <w:r w:rsidR="005D0E96">
        <w:t xml:space="preserve">. </w:t>
      </w:r>
    </w:p>
    <w:p w14:paraId="47FBB685" w14:textId="0B57810F" w:rsidR="005744DE" w:rsidRDefault="005744DE">
      <w:r>
        <w:t xml:space="preserve">In SEA – LUC in mountain areas driven by national policies and local economics (Fox &amp; </w:t>
      </w:r>
      <w:proofErr w:type="spellStart"/>
      <w:r>
        <w:t>Volger</w:t>
      </w:r>
      <w:proofErr w:type="spellEnd"/>
      <w:r>
        <w:t xml:space="preserve"> 2005)</w:t>
      </w:r>
    </w:p>
    <w:p w14:paraId="0D1FF7C3" w14:textId="0978CA23" w:rsidR="005744DE" w:rsidRDefault="005744DE">
      <w:r>
        <w:t>Cambodia –</w:t>
      </w:r>
      <w:r w:rsidR="00C64B16" w:rsidRPr="00C64B16">
        <w:t xml:space="preserve"> in northwest Cambodia there are a bunch of direct and indirect drivers of LUC and forest loss since 1975. In terms of socioeconomics – clearance for subsistence agriculture, repatriation of KR, in-migration, refugee repatriation</w:t>
      </w:r>
      <w:r w:rsidR="00C64B16">
        <w:t xml:space="preserve"> (Kong et al 2019)</w:t>
      </w:r>
      <w:r w:rsidR="00C64B16" w:rsidRPr="00C64B16">
        <w:t xml:space="preserve">. </w:t>
      </w:r>
      <w:r>
        <w:t xml:space="preserve">forest loss around </w:t>
      </w:r>
      <w:proofErr w:type="spellStart"/>
      <w:r>
        <w:t>Angjor</w:t>
      </w:r>
      <w:proofErr w:type="spellEnd"/>
      <w:r>
        <w:t xml:space="preserve"> driven by small scale </w:t>
      </w:r>
      <w:proofErr w:type="spellStart"/>
      <w:r>
        <w:t>agirc</w:t>
      </w:r>
      <w:proofErr w:type="spellEnd"/>
      <w:r>
        <w:t xml:space="preserve"> expansion and charcoal for tourism industry</w:t>
      </w:r>
      <w:r w:rsidR="00C64B16">
        <w:t xml:space="preserve"> (</w:t>
      </w:r>
      <w:proofErr w:type="spellStart"/>
      <w:r w:rsidR="00C64B16">
        <w:t>Gaughan</w:t>
      </w:r>
      <w:proofErr w:type="spellEnd"/>
      <w:r w:rsidR="00C64B16">
        <w:t xml:space="preserve"> et al 2013). </w:t>
      </w:r>
      <w:r w:rsidR="00C64B16" w:rsidRPr="00C64B16">
        <w:t>deforestation in northwest Cambodia largely driven by small-holder agricultural expansion for subsistence crops (initially because of migrants returning to the area post-conflict), expansion of cash crop production (cassava)</w:t>
      </w:r>
      <w:r w:rsidR="00C64B16">
        <w:t xml:space="preserve"> (</w:t>
      </w:r>
      <w:proofErr w:type="spellStart"/>
      <w:r w:rsidR="00C64B16">
        <w:t>Hought</w:t>
      </w:r>
      <w:proofErr w:type="spellEnd"/>
      <w:r w:rsidR="00C64B16">
        <w:t xml:space="preserve"> et al 2012)</w:t>
      </w:r>
      <w:r w:rsidR="00C64B16" w:rsidRPr="00C64B16">
        <w:t>.</w:t>
      </w:r>
    </w:p>
    <w:p w14:paraId="63063DA3" w14:textId="77777777" w:rsidR="005744DE" w:rsidRDefault="005744DE"/>
    <w:p w14:paraId="48EA68E1" w14:textId="505EDAE5" w:rsidR="004E5487" w:rsidRDefault="004E5487">
      <w:r w:rsidRPr="00E62493">
        <w:rPr>
          <w:highlight w:val="lightGray"/>
        </w:rPr>
        <w:t xml:space="preserve">Deforestation is accentuated in low income countries where poverty, debt, and overpopulation are high, and thus so are the demands for economic growth via agricultural commodities and other natural resource-based products </w:t>
      </w:r>
      <w:r w:rsidRPr="00E62493">
        <w:rPr>
          <w:highlight w:val="lightGray"/>
        </w:rPr>
        <w:fldChar w:fldCharType="begin"/>
      </w:r>
      <w:r w:rsidR="000111C4" w:rsidRPr="00E62493">
        <w:rPr>
          <w:highlight w:val="lightGray"/>
        </w:rP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Pr="00E62493">
        <w:rPr>
          <w:highlight w:val="lightGray"/>
        </w:rPr>
        <w:fldChar w:fldCharType="separate"/>
      </w:r>
      <w:r w:rsidR="000111C4" w:rsidRPr="00E62493">
        <w:rPr>
          <w:rFonts w:ascii="Calibri" w:hAnsi="Calibri" w:cs="Calibri"/>
          <w:highlight w:val="lightGray"/>
        </w:rPr>
        <w:t>(Culas 2012)</w:t>
      </w:r>
      <w:r w:rsidRPr="00E62493">
        <w:rPr>
          <w:highlight w:val="lightGray"/>
        </w:rPr>
        <w:fldChar w:fldCharType="end"/>
      </w:r>
      <w:r w:rsidRPr="00E62493">
        <w:rPr>
          <w:highlight w:val="lightGray"/>
        </w:rPr>
        <w:t>.</w:t>
      </w:r>
    </w:p>
    <w:p w14:paraId="783AA03A" w14:textId="050937F7" w:rsidR="004E5487" w:rsidRDefault="004E5487">
      <w:r w:rsidRPr="004E5487">
        <w:t xml:space="preserve">Successfully isolating the signals of these relationships is however, challenging, due to the complexity of social-ecological systems, the non-linear feedback loops, and the heterogeneity in system dynamics at different scales.   </w:t>
      </w:r>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Data on economic land concessions, protected areas, and elevation (digital elevation model), and shapefiles for the country, provinces, and communes were 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019B5A55"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7723B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2018)","dontUpdate":true,"noteIndex":0},"citationItems":[{"id":2258,"uris":["http://zotero.org/users/2170232/items/GW5M54UX"],"uri":["http://zotero.org/users/2170232/items/GW5M54UX"],"itemData":{"id":2258,"type":"article-journal","abstract":"Summary\nThis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w:t>
      </w:r>
      <w:r w:rsidRPr="001E05DC">
        <w:lastRenderedPageBreak/>
        <w:t xml:space="preserve">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(Zuur et al. 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w:t>
      </w:r>
      <w:proofErr w:type="spellStart"/>
      <w:r w:rsidRPr="001E05DC">
        <w:t>MuMIn</w:t>
      </w:r>
      <w:proofErr w:type="spellEnd"/>
      <w:r w:rsidRPr="001E05DC">
        <w:t xml:space="preserve">’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 xml:space="preserve">Table </w:t>
      </w:r>
      <w:proofErr w:type="spellStart"/>
      <w:r w:rsidRPr="00535B36">
        <w:rPr>
          <w:highlight w:val="yellow"/>
        </w:rPr>
        <w:t>Sx</w:t>
      </w:r>
      <w:proofErr w:type="spellEnd"/>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w:t>
            </w:r>
            <w:proofErr w:type="spellStart"/>
            <w:r w:rsidRPr="001E05DC">
              <w:t>Kenessey</w:t>
            </w:r>
            <w:proofErr w:type="spellEnd"/>
            <w:r w:rsidRPr="001E05DC">
              <w:t xml:space="preserve">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w:t>
            </w:r>
            <w:proofErr w:type="spellStart"/>
            <w:r w:rsidRPr="001E05DC">
              <w:t>Kenessey</w:t>
            </w:r>
            <w:proofErr w:type="spellEnd"/>
            <w:r w:rsidRPr="001E05DC">
              <w:t xml:space="preserve">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w:t>
            </w:r>
            <w:proofErr w:type="spellStart"/>
            <w:r w:rsidRPr="001E05DC">
              <w:t>masl</w:t>
            </w:r>
            <w:proofErr w:type="spellEnd"/>
            <w:r w:rsidRPr="001E05DC">
              <w:t>)</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Heatmap showing the variable values for each cluster. Variables were categorised as “</w:t>
      </w:r>
      <w:proofErr w:type="spellStart"/>
      <w:r w:rsidRPr="001168E7">
        <w:rPr>
          <w:b/>
          <w:bCs/>
          <w:sz w:val="20"/>
          <w:szCs w:val="20"/>
        </w:rPr>
        <w:t>v.low</w:t>
      </w:r>
      <w:proofErr w:type="spellEnd"/>
      <w:r w:rsidRPr="001168E7">
        <w:rPr>
          <w:b/>
          <w:bCs/>
          <w:sz w:val="20"/>
          <w:szCs w:val="20"/>
        </w:rPr>
        <w:t>” if the mean (across provinces within that cluster) was below the 25% quantile for that variable across the whole country, “low” if the mean was above 25 and below 50%, “high” if the mean was above 50% but below 75%, and “</w:t>
      </w:r>
      <w:proofErr w:type="spellStart"/>
      <w:r w:rsidRPr="001168E7">
        <w:rPr>
          <w:b/>
          <w:bCs/>
          <w:sz w:val="20"/>
          <w:szCs w:val="20"/>
        </w:rPr>
        <w:t>v.high</w:t>
      </w:r>
      <w:proofErr w:type="spellEnd"/>
      <w:r w:rsidRPr="001168E7">
        <w:rPr>
          <w:b/>
          <w:bCs/>
          <w:sz w:val="20"/>
          <w:szCs w:val="20"/>
        </w:rPr>
        <w:t xml:space="preserve">” if the mean was above the 75% quantile. </w:t>
      </w:r>
      <w:proofErr w:type="spellStart"/>
      <w:r w:rsidRPr="001168E7">
        <w:rPr>
          <w:b/>
          <w:bCs/>
          <w:sz w:val="20"/>
          <w:szCs w:val="20"/>
        </w:rPr>
        <w:t>Pax_migt_out</w:t>
      </w:r>
      <w:proofErr w:type="spellEnd"/>
      <w:r w:rsidRPr="001168E7">
        <w:rPr>
          <w:b/>
          <w:bCs/>
          <w:sz w:val="20"/>
          <w:szCs w:val="20"/>
        </w:rPr>
        <w:t xml:space="preserve"> = numbers of out-migrants, </w:t>
      </w:r>
      <w:proofErr w:type="spellStart"/>
      <w:r w:rsidRPr="001168E7">
        <w:rPr>
          <w:b/>
          <w:bCs/>
          <w:sz w:val="20"/>
          <w:szCs w:val="20"/>
        </w:rPr>
        <w:t>Pax_migt_in</w:t>
      </w:r>
      <w:proofErr w:type="spellEnd"/>
      <w:r w:rsidRPr="001168E7">
        <w:rPr>
          <w:b/>
          <w:bCs/>
          <w:sz w:val="20"/>
          <w:szCs w:val="20"/>
        </w:rPr>
        <w:t xml:space="preserve"> = numbers of in-migrants, </w:t>
      </w:r>
      <w:proofErr w:type="spellStart"/>
      <w:r w:rsidRPr="001168E7">
        <w:rPr>
          <w:b/>
          <w:bCs/>
          <w:sz w:val="20"/>
          <w:szCs w:val="20"/>
        </w:rPr>
        <w:t>land_confl</w:t>
      </w:r>
      <w:proofErr w:type="spellEnd"/>
      <w:r w:rsidRPr="001168E7">
        <w:rPr>
          <w:b/>
          <w:bCs/>
          <w:sz w:val="20"/>
          <w:szCs w:val="20"/>
        </w:rPr>
        <w:t xml:space="preserve"> = number of land conflicts, </w:t>
      </w:r>
      <w:proofErr w:type="spellStart"/>
      <w:r w:rsidRPr="001168E7">
        <w:rPr>
          <w:b/>
          <w:bCs/>
          <w:sz w:val="20"/>
          <w:szCs w:val="20"/>
        </w:rPr>
        <w:t>crim_case</w:t>
      </w:r>
      <w:proofErr w:type="spellEnd"/>
      <w:r w:rsidRPr="001168E7">
        <w:rPr>
          <w:b/>
          <w:bCs/>
          <w:sz w:val="20"/>
          <w:szCs w:val="20"/>
        </w:rPr>
        <w:t xml:space="preserve"> = criminal cases per capita, </w:t>
      </w:r>
      <w:proofErr w:type="spellStart"/>
      <w:r w:rsidRPr="001168E7">
        <w:rPr>
          <w:b/>
          <w:bCs/>
          <w:sz w:val="20"/>
          <w:szCs w:val="20"/>
        </w:rPr>
        <w:t>KM_Comm</w:t>
      </w:r>
      <w:proofErr w:type="spellEnd"/>
      <w:r w:rsidRPr="001168E7">
        <w:rPr>
          <w:b/>
          <w:bCs/>
          <w:sz w:val="20"/>
          <w:szCs w:val="20"/>
        </w:rPr>
        <w:t xml:space="preserve"> = distance to commune office, garbage = proportion of families with access to waste collection, </w:t>
      </w:r>
      <w:proofErr w:type="spellStart"/>
      <w:r w:rsidRPr="001168E7">
        <w:rPr>
          <w:b/>
          <w:bCs/>
          <w:sz w:val="20"/>
          <w:szCs w:val="20"/>
        </w:rPr>
        <w:t>dist_school</w:t>
      </w:r>
      <w:proofErr w:type="spellEnd"/>
      <w:r w:rsidRPr="001168E7">
        <w:rPr>
          <w:b/>
          <w:bCs/>
          <w:sz w:val="20"/>
          <w:szCs w:val="20"/>
        </w:rPr>
        <w:t xml:space="preserve"> = distance to nearest school, </w:t>
      </w:r>
      <w:proofErr w:type="spellStart"/>
      <w:r w:rsidRPr="001168E7">
        <w:rPr>
          <w:b/>
          <w:bCs/>
          <w:sz w:val="20"/>
          <w:szCs w:val="20"/>
        </w:rPr>
        <w:t>pig_fam</w:t>
      </w:r>
      <w:proofErr w:type="spellEnd"/>
      <w:r w:rsidRPr="001168E7">
        <w:rPr>
          <w:b/>
          <w:bCs/>
          <w:sz w:val="20"/>
          <w:szCs w:val="20"/>
        </w:rPr>
        <w:t xml:space="preserve"> = proportion of families who keep pigs, Les1_R_Land = proportion of families with no rice land, </w:t>
      </w:r>
      <w:proofErr w:type="spellStart"/>
      <w:r w:rsidRPr="001168E7">
        <w:rPr>
          <w:b/>
          <w:bCs/>
          <w:sz w:val="20"/>
          <w:szCs w:val="20"/>
        </w:rPr>
        <w:t>propSecSec</w:t>
      </w:r>
      <w:proofErr w:type="spellEnd"/>
      <w:r w:rsidRPr="001168E7">
        <w:rPr>
          <w:b/>
          <w:bCs/>
          <w:sz w:val="20"/>
          <w:szCs w:val="20"/>
        </w:rPr>
        <w:t xml:space="preserve"> = proportion of adults employed in the secondary sector, </w:t>
      </w:r>
      <w:proofErr w:type="spellStart"/>
      <w:r w:rsidRPr="001168E7">
        <w:rPr>
          <w:b/>
          <w:bCs/>
          <w:sz w:val="20"/>
          <w:szCs w:val="20"/>
        </w:rPr>
        <w:t>propPrimSec</w:t>
      </w:r>
      <w:proofErr w:type="spellEnd"/>
      <w:r w:rsidRPr="001168E7">
        <w:rPr>
          <w:b/>
          <w:bCs/>
          <w:sz w:val="20"/>
          <w:szCs w:val="20"/>
        </w:rPr>
        <w:t xml:space="preserve"> = proportion of adults employed in the primary sector, M6_24_sch = proportion of males aged 6-24 in education, </w:t>
      </w:r>
      <w:proofErr w:type="spellStart"/>
      <w:r w:rsidRPr="001168E7">
        <w:rPr>
          <w:b/>
          <w:bCs/>
          <w:sz w:val="20"/>
          <w:szCs w:val="20"/>
        </w:rPr>
        <w:t>prop_ind</w:t>
      </w:r>
      <w:proofErr w:type="spellEnd"/>
      <w:r w:rsidRPr="001168E7">
        <w:rPr>
          <w:b/>
          <w:bCs/>
          <w:sz w:val="20"/>
          <w:szCs w:val="20"/>
        </w:rPr>
        <w:t xml:space="preserve"> = proportion of the population that is indigenous, </w:t>
      </w:r>
      <w:proofErr w:type="spellStart"/>
      <w:r w:rsidRPr="001168E7">
        <w:rPr>
          <w:b/>
          <w:bCs/>
          <w:sz w:val="20"/>
          <w:szCs w:val="20"/>
        </w:rPr>
        <w:t>pop_den</w:t>
      </w:r>
      <w:proofErr w:type="spellEnd"/>
      <w:r w:rsidRPr="001168E7">
        <w:rPr>
          <w:b/>
          <w:bCs/>
          <w:sz w:val="20"/>
          <w:szCs w:val="20"/>
        </w:rPr>
        <w:t xml:space="preserve">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w:t>
      </w:r>
      <w:proofErr w:type="spellStart"/>
      <w:r w:rsidRPr="004874EB">
        <w:rPr>
          <w:b/>
          <w:bCs/>
          <w:sz w:val="20"/>
          <w:szCs w:val="20"/>
        </w:rPr>
        <w:t>masl</w:t>
      </w:r>
      <w:proofErr w:type="spellEnd"/>
      <w:r w:rsidRPr="004874EB">
        <w:rPr>
          <w:b/>
          <w:bCs/>
          <w:sz w:val="20"/>
          <w:szCs w:val="20"/>
        </w:rPr>
        <w:t xml:space="preserve">),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proofErr w:type="spellStart"/>
            <w:r w:rsidRPr="00634903">
              <w:rPr>
                <w:sz w:val="20"/>
                <w:szCs w:val="20"/>
              </w:rPr>
              <w:t>Mondulkiri</w:t>
            </w:r>
            <w:proofErr w:type="spellEnd"/>
            <w:r w:rsidRPr="00634903">
              <w:rPr>
                <w:sz w:val="20"/>
                <w:szCs w:val="20"/>
              </w:rPr>
              <w:t xml:space="preserve">, </w:t>
            </w:r>
            <w:proofErr w:type="spellStart"/>
            <w:r w:rsidRPr="00634903">
              <w:rPr>
                <w:sz w:val="20"/>
                <w:szCs w:val="20"/>
              </w:rPr>
              <w:t>Ratanikiri</w:t>
            </w:r>
            <w:proofErr w:type="spellEnd"/>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proofErr w:type="spellStart"/>
            <w:r w:rsidRPr="00634903">
              <w:rPr>
                <w:sz w:val="20"/>
                <w:szCs w:val="20"/>
              </w:rPr>
              <w:t>Pailin</w:t>
            </w:r>
            <w:proofErr w:type="spellEnd"/>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 xml:space="preserve">Kampong Chhnang, Kampong </w:t>
            </w:r>
            <w:proofErr w:type="spellStart"/>
            <w:r w:rsidRPr="00634903">
              <w:rPr>
                <w:sz w:val="20"/>
                <w:szCs w:val="20"/>
              </w:rPr>
              <w:t>Speu</w:t>
            </w:r>
            <w:proofErr w:type="spellEnd"/>
            <w:r w:rsidRPr="00634903">
              <w:rPr>
                <w:sz w:val="20"/>
                <w:szCs w:val="20"/>
              </w:rPr>
              <w:t xml:space="preserve">, Kampong Thom, </w:t>
            </w:r>
            <w:proofErr w:type="spellStart"/>
            <w:r w:rsidRPr="00634903">
              <w:rPr>
                <w:sz w:val="20"/>
                <w:szCs w:val="20"/>
              </w:rPr>
              <w:t>Kampot</w:t>
            </w:r>
            <w:proofErr w:type="spellEnd"/>
            <w:r w:rsidRPr="00634903">
              <w:rPr>
                <w:sz w:val="20"/>
                <w:szCs w:val="20"/>
              </w:rPr>
              <w:t xml:space="preserve">, </w:t>
            </w:r>
            <w:proofErr w:type="spellStart"/>
            <w:r w:rsidRPr="00634903">
              <w:rPr>
                <w:sz w:val="20"/>
                <w:szCs w:val="20"/>
              </w:rPr>
              <w:t>Kep</w:t>
            </w:r>
            <w:proofErr w:type="spellEnd"/>
            <w:r w:rsidRPr="00634903">
              <w:rPr>
                <w:sz w:val="20"/>
                <w:szCs w:val="20"/>
              </w:rPr>
              <w:t xml:space="preserve">, Koh Kong, </w:t>
            </w:r>
            <w:proofErr w:type="spellStart"/>
            <w:r w:rsidRPr="00634903">
              <w:rPr>
                <w:sz w:val="20"/>
                <w:szCs w:val="20"/>
              </w:rPr>
              <w:t>Kracheh</w:t>
            </w:r>
            <w:proofErr w:type="spellEnd"/>
            <w:r w:rsidRPr="00634903">
              <w:rPr>
                <w:sz w:val="20"/>
                <w:szCs w:val="20"/>
              </w:rPr>
              <w:t xml:space="preserve">, </w:t>
            </w:r>
            <w:proofErr w:type="spellStart"/>
            <w:r w:rsidRPr="00634903">
              <w:rPr>
                <w:sz w:val="20"/>
                <w:szCs w:val="20"/>
              </w:rPr>
              <w:t>Otdar</w:t>
            </w:r>
            <w:proofErr w:type="spellEnd"/>
            <w:r w:rsidRPr="00634903">
              <w:rPr>
                <w:sz w:val="20"/>
                <w:szCs w:val="20"/>
              </w:rPr>
              <w:t xml:space="preserve"> Meanchey, Preah Sihanouk, Preah </w:t>
            </w:r>
            <w:proofErr w:type="spellStart"/>
            <w:r w:rsidRPr="00634903">
              <w:rPr>
                <w:sz w:val="20"/>
                <w:szCs w:val="20"/>
              </w:rPr>
              <w:t>Vihear</w:t>
            </w:r>
            <w:proofErr w:type="spellEnd"/>
            <w:r w:rsidRPr="00634903">
              <w:rPr>
                <w:sz w:val="20"/>
                <w:szCs w:val="20"/>
              </w:rPr>
              <w:t xml:space="preserve">, </w:t>
            </w:r>
            <w:proofErr w:type="spellStart"/>
            <w:r w:rsidRPr="00634903">
              <w:rPr>
                <w:sz w:val="20"/>
                <w:szCs w:val="20"/>
              </w:rPr>
              <w:t>Pursat</w:t>
            </w:r>
            <w:proofErr w:type="spellEnd"/>
            <w:r w:rsidRPr="00634903">
              <w:rPr>
                <w:sz w:val="20"/>
                <w:szCs w:val="20"/>
              </w:rPr>
              <w:t xml:space="preserve">, </w:t>
            </w:r>
            <w:proofErr w:type="spellStart"/>
            <w:r w:rsidRPr="00634903">
              <w:rPr>
                <w:sz w:val="20"/>
                <w:szCs w:val="20"/>
              </w:rPr>
              <w:t>Siem</w:t>
            </w:r>
            <w:proofErr w:type="spellEnd"/>
            <w:r w:rsidRPr="00634903">
              <w:rPr>
                <w:sz w:val="20"/>
                <w:szCs w:val="20"/>
              </w:rPr>
              <w:t xml:space="preserve"> Reap, Stung </w:t>
            </w:r>
            <w:proofErr w:type="spellStart"/>
            <w:r w:rsidRPr="00634903">
              <w:rPr>
                <w:sz w:val="20"/>
                <w:szCs w:val="20"/>
              </w:rPr>
              <w:t>Treng</w:t>
            </w:r>
            <w:proofErr w:type="spellEnd"/>
            <w:r w:rsidRPr="00634903">
              <w:rPr>
                <w:sz w:val="20"/>
                <w:szCs w:val="20"/>
              </w:rPr>
              <w:t xml:space="preserve">, </w:t>
            </w:r>
            <w:proofErr w:type="spellStart"/>
            <w:r w:rsidRPr="00634903">
              <w:rPr>
                <w:sz w:val="20"/>
                <w:szCs w:val="20"/>
              </w:rPr>
              <w:t>Svay</w:t>
            </w:r>
            <w:proofErr w:type="spellEnd"/>
            <w:r w:rsidRPr="00634903">
              <w:rPr>
                <w:sz w:val="20"/>
                <w:szCs w:val="20"/>
              </w:rPr>
              <w:t xml:space="preserve"> </w:t>
            </w:r>
            <w:proofErr w:type="spellStart"/>
            <w:r w:rsidRPr="00634903">
              <w:rPr>
                <w:sz w:val="20"/>
                <w:szCs w:val="20"/>
              </w:rPr>
              <w:t>Rieng</w:t>
            </w:r>
            <w:proofErr w:type="spellEnd"/>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DFF1" w16cex:dateUtc="2021-09-23T19:29:00Z"/>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5444F"/>
    <w:rsid w:val="00072256"/>
    <w:rsid w:val="000920A2"/>
    <w:rsid w:val="000A5C90"/>
    <w:rsid w:val="0011048D"/>
    <w:rsid w:val="00127FD8"/>
    <w:rsid w:val="001A49B6"/>
    <w:rsid w:val="001C6CC0"/>
    <w:rsid w:val="00285D11"/>
    <w:rsid w:val="00316B6B"/>
    <w:rsid w:val="003D2547"/>
    <w:rsid w:val="004022CF"/>
    <w:rsid w:val="00451A01"/>
    <w:rsid w:val="004B2379"/>
    <w:rsid w:val="004E5487"/>
    <w:rsid w:val="00524C0E"/>
    <w:rsid w:val="00535B36"/>
    <w:rsid w:val="00567397"/>
    <w:rsid w:val="005744DE"/>
    <w:rsid w:val="005760C1"/>
    <w:rsid w:val="005B33C1"/>
    <w:rsid w:val="005C65BA"/>
    <w:rsid w:val="005D0E96"/>
    <w:rsid w:val="005D1F14"/>
    <w:rsid w:val="005F24FA"/>
    <w:rsid w:val="00663A82"/>
    <w:rsid w:val="006F0007"/>
    <w:rsid w:val="007173AE"/>
    <w:rsid w:val="00717426"/>
    <w:rsid w:val="00756D59"/>
    <w:rsid w:val="007723BD"/>
    <w:rsid w:val="007772FF"/>
    <w:rsid w:val="007E74E7"/>
    <w:rsid w:val="00890C61"/>
    <w:rsid w:val="008B6ED5"/>
    <w:rsid w:val="00902F41"/>
    <w:rsid w:val="009107F5"/>
    <w:rsid w:val="00A13D84"/>
    <w:rsid w:val="00B0710D"/>
    <w:rsid w:val="00B65CA2"/>
    <w:rsid w:val="00B91ACA"/>
    <w:rsid w:val="00BB17C1"/>
    <w:rsid w:val="00C51A4D"/>
    <w:rsid w:val="00C629EA"/>
    <w:rsid w:val="00C64B16"/>
    <w:rsid w:val="00C73044"/>
    <w:rsid w:val="00C769D9"/>
    <w:rsid w:val="00D1536D"/>
    <w:rsid w:val="00D6664E"/>
    <w:rsid w:val="00E62493"/>
    <w:rsid w:val="00E7333A"/>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22</Pages>
  <Words>21267</Words>
  <Characters>121227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2021-10-26T19:13:00Z</dcterms:created>
  <dcterms:modified xsi:type="dcterms:W3CDTF">2021-11-05T15:58:00Z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id="DlLEKdlZ"/&gt;&lt;style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