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(Geist &amp; Lambin 2002; Khuc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4DFE3C8F"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(Van Den Hoek et al. 2014; Gatto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w:t>
      </w:r>
      <w:r w:rsidR="004336C4">
        <w:rPr>
          <w:rFonts w:ascii="Calibri" w:hAnsi="Calibri" w:cs="Calibri"/>
        </w:rPr>
        <w:t xml:space="preserve">e.g., </w:t>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(Geist &amp; Lambin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(Onojeghuo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(Khuc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(Ceddia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(Culas 2012; Ceddia et al. 2015)</w:t>
      </w:r>
      <w:r w:rsidR="004022CF">
        <w:fldChar w:fldCharType="end"/>
      </w:r>
      <w:r w:rsidR="004022CF">
        <w:t xml:space="preserve">.  </w:t>
      </w:r>
      <w:r w:rsidR="00902F41">
        <w:t xml:space="preserve">  </w:t>
      </w:r>
    </w:p>
    <w:p w14:paraId="62005430" w14:textId="610B1A90" w:rsidR="006F0007" w:rsidRDefault="00316B6B">
      <w:r>
        <w:t xml:space="preserve">Studies from Asia have highlighted the importance of socioeconomics in </w:t>
      </w:r>
      <w:r w:rsidR="00D1536D">
        <w:t>influencing</w:t>
      </w:r>
      <w:r>
        <w:t xml:space="preserve"> the effects of economic</w:t>
      </w:r>
      <w:r w:rsidR="00900623">
        <w:t xml:space="preserve"> and other underlying</w:t>
      </w:r>
      <w:r>
        <w:t xml:space="preserve">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(Gatto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(Krishnadas et al. 2018)</w:t>
      </w:r>
      <w:r w:rsidR="003B4CB2">
        <w:fldChar w:fldCharType="end"/>
      </w:r>
      <w:r w:rsidR="003B4CB2">
        <w:t>, and</w:t>
      </w:r>
      <w:r w:rsidR="0014759D">
        <w:t xml:space="preserve"> in Pakistan, </w:t>
      </w:r>
      <w:r w:rsidR="0014759D">
        <w:fldChar w:fldCharType="begin"/>
      </w:r>
      <w:r w:rsidR="0014759D">
        <w:instrText xml:space="preserve"> ADDIN ZOTERO_ITEM CSL_CITATION {"citationID":"lI45j5OS","properties":{"formattedCitation":"(Mannan et al. 2019)","plainCitation":"(Mannan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w:t>
      </w:r>
      <w:r w:rsidR="003B4CB2">
        <w:lastRenderedPageBreak/>
        <w:t>and environmental factors were effective predictors of LUC</w:t>
      </w:r>
      <w:r w:rsidR="0014759D">
        <w:t xml:space="preserve">, whereas </w:t>
      </w:r>
      <w:r w:rsidR="0014759D">
        <w:fldChar w:fldCharType="begin"/>
      </w:r>
      <w:r w:rsidR="0014759D">
        <w:instrText xml:space="preserve"> ADDIN ZOTERO_ITEM CSL_CITATION {"citationID":"ysWcmXZN","properties":{"formattedCitation":"(Zeb et al. 2019)","plainCitation":"(Zeb et al. 2019)","noteIndex":0},"citationItems":[{"id":2219,"uris":["http://zotero.org/users/2170232/items/MIV6WX7N"],"uri":["http://zotero.org/users/2170232/items/MIV6WX7N"],"itemData":{"id":2219,"type":"article-journal","abstract":"Indigenous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t>
      </w:r>
      <w:r w:rsidR="004336C4">
        <w:t>has been</w:t>
      </w:r>
      <w:r w:rsidR="00BA0606">
        <w:t xml:space="preserve">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w:t>
      </w:r>
      <w:r w:rsidR="008B17DA" w:rsidRPr="009B6994">
        <w:t>are from very similar</w:t>
      </w:r>
      <w:r w:rsidR="008B17DA">
        <w:t xml:space="preserve"> areas</w:t>
      </w:r>
      <w:r w:rsidR="009B6994">
        <w:t xml:space="preserve"> within Pakistan, and conduct their analyses at a similar spatial resolution</w:t>
      </w:r>
      <w:r w:rsidR="008B17DA">
        <w:t>, yet identify different socioeconomic predictors of forest loss.</w:t>
      </w:r>
      <w:r w:rsidR="00D25F20">
        <w:t xml:space="preserve"> Therefore, environmental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
    <w:p w14:paraId="61F61256" w14:textId="256258AB" w:rsidR="00086943"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(Solcomb 2010; Milne &amp; Mahanty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r w:rsidR="00900623">
        <w:t xml:space="preserve">There has been dramatic socioeconomic development within Cambodia’s major urban centres, yet rural, marginalised groups and ethnic minorities, particularly in the remote provinces, </w:t>
      </w:r>
      <w:r w:rsidR="00B30997">
        <w:t>largely remain poor with minimal access to services</w:t>
      </w:r>
      <w:r w:rsidR="004336C4">
        <w:t>, and</w:t>
      </w:r>
      <w:r w:rsidR="00B30997">
        <w:t xml:space="preserve"> where insecure land tenure leaves them exposed to land grabbing and conflict </w:t>
      </w:r>
      <w:r w:rsidR="00B30997">
        <w:fldChar w:fldCharType="begin"/>
      </w:r>
      <w:r w:rsidR="00B30997">
        <w:instrText xml:space="preserve"> ADDIN ZOTERO_ITEM CSL_CITATION {"citationID":"cTih9Rtk","properties":{"formattedCitation":"(Hammer 2008; Ironside 2008; Neef &amp; Touch 2012; Phillips &amp; Davy 2021)","plainCitation":"(Hammer 2008; Ironside 2008; Neef &amp; Touch 2012; Phillips &amp; Davy 2021)","noteIndex":0},"citationItems":[{"id":2469,"uris":["http://zotero.org/users/2170232/items/FPTJAHVA"],"uri":["http://zotero.org/users/2170232/items/FPTJAHVA"],"itemData":{"id":2469,"type":"book","collection-title":"Mainland Southeast Asia at its Margins: MinorityGroups and Borders","event-place":"Siem Reap, Cambodia","ISBN":"978-99950-51-05-1","publisher":"Centre for Khmer Studies","publisher-place":"Siem Reap, Cambodia","title":"Living on the Margins: Minorities and Borderlines in Cambodia and Southeast Asia","URL":"www.khmerstudies.org.","author":[{"family":"Hammer","given":"Peter"}],"issued":{"date-parts":[["2008"]]}}},{"id":2470,"uris":["http://zotero.org/users/2170232/items/VN7LPSTW"],"uri":["http://zotero.org/users/2170232/items/VN7LPSTW"],"itemData":{"id":2470,"type":"chapter","container-title":"Living in margins: Minorities and boderlines in Cambodia and Southeast Asia","event-place":"Siem Reap, Cambodia","ISBN":"978-99950-51-05-1","page":"91-128","publisher":"Centre for Khmer Studies","publisher-place":"Siem Reap, Cambodia","title":"Development - In Whose Name? Cambodia's Economic Development and its Indigneous Communities - From Self-Reliance to Uncertainty","URL":"www.khmerstudies.org.","author":[{"family":"Ironside","given":"Jeremy"}],"issued":{"date-parts":[["2008"]]}}},{"id":2484,"uris":["http://zotero.org/users/2170232/items/Q3XBE22N"],"uri":["http://zotero.org/users/2170232/items/Q3XBE22N"],"itemData":{"id":2484,"type":"article-journal","abstract":"Rural areas in Cambodia have been the target of large-scale land acquisitions since the late 1990s. As of March 2012, economic land concessions in Cambodia covered more than 2 million hectares, equivalent to over half of the country’s arable land. In this paper, we discuss the policy narratives and discursive strategies that are employed by various actors to justify and legitimize large-scale land acquisitions. We then analyze the underlying mechanisms of such acquisitions and investments and examine how they are entangled with donor-assisted land use planning efforts. Finally, we explore local people’s strategies of resistance. Our findings suggest that the Cambodian ruling elite has enabled land grabbing through three major mechanisms: first, by establishing a form of ‘shadow governance’ and corrupting the legal culture; second, by discursively justifying expropriation and resettlement through emphasizing rural development, ecological restoration and poverty alleviation; third, by instrumentalizing donor-supported, pro-poor land allocation in the form of social land concessions towards legitimizing land grabbing and distributional injustices and minimizing opposition to land grabs among local communities. Local strategies of resistance have been desperate, sporadic and atomistic vis-à-vis the powerful coalition of government authorities, concessionaires and the military.","language":"en","page":"23","source":"Zotero","title":"Land Grabbing in Cambodia: Narratives, Mechanisms, Resistance","author":[{"family":"Neef","given":"Andreas"},{"family":"Touch","given":"Siphat"}],"issued":{"date-parts":[["2012"]]}}},{"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B30997">
        <w:fldChar w:fldCharType="separate"/>
      </w:r>
      <w:r w:rsidR="00B30997" w:rsidRPr="00B30997">
        <w:rPr>
          <w:rFonts w:ascii="Calibri" w:hAnsi="Calibri" w:cs="Calibri"/>
        </w:rPr>
        <w:t>(Hammer 2008; Ironside 2008; Neef &amp; Touch 2012; Phillips &amp; Davy 2021)</w:t>
      </w:r>
      <w:r w:rsidR="00B30997">
        <w:fldChar w:fldCharType="end"/>
      </w:r>
      <w:r w:rsidR="00B30997">
        <w:t xml:space="preserve">. Such rapid social and economic changes make identifying the drivers of deforestation </w:t>
      </w:r>
      <w:r w:rsidR="001E29BB">
        <w:t xml:space="preserve">particularly </w:t>
      </w:r>
      <w:r w:rsidR="00B30997">
        <w:t>challenging, as</w:t>
      </w:r>
      <w:r w:rsidR="001E29BB">
        <w:t xml:space="preserve"> broad-scale drivers</w:t>
      </w:r>
      <w:r w:rsidR="004336C4">
        <w:t xml:space="preserve"> and</w:t>
      </w:r>
      <w:r w:rsidR="001E29BB">
        <w:t xml:space="preserve"> their effect on local landscape actors, and the subsequent proximate causes</w:t>
      </w:r>
      <w:r w:rsidR="0011317E">
        <w:t xml:space="preserve"> of deforestation</w:t>
      </w:r>
      <w:r w:rsidR="004336C4">
        <w:t>,</w:t>
      </w:r>
      <w:r w:rsidR="001E29BB">
        <w:t xml:space="preserve"> are likely to fluctuate rapidly over time and space. </w:t>
      </w:r>
      <w:r w:rsidR="008F5576">
        <w:t>There are several studies from Cambodia that have focussed on socioeconomic predictors of deforestation, which provide some important context.</w:t>
      </w:r>
      <w:r w:rsidR="001E29BB">
        <w:t xml:space="preserve"> </w:t>
      </w:r>
      <w:r w:rsidR="008F5576">
        <w:t xml:space="preserve">At the national scale, human population pressure has been identified as an important driver of deforestation </w:t>
      </w:r>
      <w:r w:rsidR="008F5576">
        <w:fldChar w:fldCharType="begin"/>
      </w:r>
      <w:r w:rsidR="008F5576">
        <w:instrText xml:space="preserve"> ADDIN ZOTERO_ITEM CSL_CITATION {"citationID":"SN7N5ug6","properties":{"formattedCitation":"(Dasgupta et al. 2005)","plainCitation":"(Dasgupta et al. 2005)","noteIndex":0},"citationItems":[{"id":2258,"uris":["http://zotero.org/users/2170232/items/GW5M54UX"],"uri":["http://zotero.org/users/2170232/items/GW5M54UX"],"itemData":{"id":2258,"type":"article-journal","abstract":"Summary\nThis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schema":"https://github.com/citation-style-language/schema/raw/master/csl-citation.json"} </w:instrText>
      </w:r>
      <w:r w:rsidR="008F5576">
        <w:fldChar w:fldCharType="separate"/>
      </w:r>
      <w:r w:rsidR="008F5576" w:rsidRPr="008F5576">
        <w:rPr>
          <w:rFonts w:ascii="Calibri" w:hAnsi="Calibri" w:cs="Calibri"/>
        </w:rPr>
        <w:t>(Dasgupta et al. 2005)</w:t>
      </w:r>
      <w:r w:rsidR="008F5576">
        <w:fldChar w:fldCharType="end"/>
      </w:r>
      <w:r w:rsidR="008F5576">
        <w:t xml:space="preserve">, and </w:t>
      </w:r>
      <w:r w:rsidR="001E29BB">
        <w:t xml:space="preserve">in Northwest Cambodia there have been many direct and indirect drivers of deforestation since 1975, including repatriation of Khmer Rouge soldiers and </w:t>
      </w:r>
      <w:r w:rsidR="001E29BB">
        <w:t>in-migration</w:t>
      </w:r>
      <w:r w:rsidR="001E29BB">
        <w:t xml:space="preserve"> following the end of the civil conflict, refugee repatriation, </w:t>
      </w:r>
      <w:r w:rsidR="00CD0112">
        <w:t>the</w:t>
      </w:r>
      <w:r w:rsidR="001E29BB">
        <w:t xml:space="preserve"> subsequent clearance for subsistence agriculture</w:t>
      </w:r>
      <w:r w:rsidR="00CD0112">
        <w:t>, and the expansion of cash crops such as cassava</w:t>
      </w:r>
      <w:r w:rsidR="001E29BB">
        <w:t xml:space="preserve"> </w:t>
      </w:r>
      <w:r w:rsidR="001E29BB">
        <w:fldChar w:fldCharType="begin"/>
      </w:r>
      <w:r w:rsidR="00CD0112">
        <w:instrText xml:space="preserve"> ADDIN ZOTERO_ITEM CSL_CITATION {"citationID":"f0II8DcC","properties":{"formattedCitation":"(Hought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1E29BB">
        <w:fldChar w:fldCharType="separate"/>
      </w:r>
      <w:r w:rsidR="00CD0112" w:rsidRPr="00CD0112">
        <w:rPr>
          <w:rFonts w:ascii="Calibri" w:hAnsi="Calibri" w:cs="Calibri"/>
        </w:rPr>
        <w:t>(Hought et al. 2012; Kong et al. 2019)</w:t>
      </w:r>
      <w:r w:rsidR="001E29BB">
        <w:fldChar w:fldCharType="end"/>
      </w:r>
      <w:r w:rsidR="001E29BB">
        <w:t>. In the Angkor Basin, home to the Angkor temple</w:t>
      </w:r>
      <w:r w:rsidR="008542C1">
        <w:t>s</w:t>
      </w:r>
      <w:r w:rsidR="001E29BB">
        <w:t>,</w:t>
      </w:r>
      <w:r w:rsidR="008542C1">
        <w:t xml:space="preserve"> </w:t>
      </w:r>
      <w:r w:rsidR="008542C1">
        <w:t>a complex mix of global, regional, and local</w:t>
      </w:r>
      <w:r w:rsidR="008542C1">
        <w:t xml:space="preserve"> drivers including tourism, climate change, government policies, economic development, and environmental management </w:t>
      </w:r>
      <w:r w:rsidR="001E29BB">
        <w:t>between 1989 and 2005</w:t>
      </w:r>
      <w:r w:rsidR="008542C1">
        <w:t xml:space="preserve"> caused</w:t>
      </w:r>
      <w:r w:rsidR="001E29BB">
        <w:t xml:space="preserve"> over 23% of the existing forest cover </w:t>
      </w:r>
      <w:r w:rsidR="008542C1">
        <w:t>to be</w:t>
      </w:r>
      <w:r w:rsidR="001E29BB">
        <w:t xml:space="preserve"> lost to </w:t>
      </w:r>
      <w:r w:rsidR="008542C1">
        <w:t xml:space="preserve">agricultural expansion and charcoal production </w:t>
      </w:r>
      <w:r w:rsidR="008542C1">
        <w:fldChar w:fldCharType="begin"/>
      </w:r>
      <w:r w:rsidR="008542C1">
        <w:instrText xml:space="preserve"> ADDIN ZOTERO_ITEM CSL_CITATION {"citationID":"Tk4Yl3LS","properties":{"formattedCitation":"(Gaughan et al. 2009)","plainCitation":"(Gaughan et al. 2009)","noteIndex":0},"citationItems":[{"id":1664,"uris":["http://zotero.org/users/2170232/items/8DCNZD8D"],"uri":["http://zotero.org/users/2170232/items/8DCNZD8D"],"itemData":{"id":1664,"type":"article-journal","abstract":"The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W."},{"family":"Southworth","given":"Jane"}],"issued":{"date-parts":[["2009",4,1]]}}}],"schema":"https://github.com/citation-style-language/schema/raw/master/csl-citation.json"} </w:instrText>
      </w:r>
      <w:r w:rsidR="008542C1">
        <w:fldChar w:fldCharType="separate"/>
      </w:r>
      <w:r w:rsidR="008542C1" w:rsidRPr="008542C1">
        <w:rPr>
          <w:rFonts w:ascii="Calibri" w:hAnsi="Calibri" w:cs="Calibri"/>
        </w:rPr>
        <w:t>(Gaughan et al. 2009)</w:t>
      </w:r>
      <w:r w:rsidR="008542C1">
        <w:fldChar w:fldCharType="end"/>
      </w:r>
      <w:r w:rsidR="008542C1">
        <w:t xml:space="preserve">. </w:t>
      </w:r>
    </w:p>
    <w:p w14:paraId="5B3FE714" w14:textId="6F5AB86D" w:rsidR="00BB17C1" w:rsidRDefault="00086943">
      <w:r>
        <w:t>Integrated conservation and development projects</w:t>
      </w:r>
      <w:r w:rsidR="00E821FF">
        <w:t xml:space="preserve"> (ICDPs)</w:t>
      </w:r>
      <w:r>
        <w:t xml:space="preserve"> that</w:t>
      </w:r>
      <w:r w:rsidR="004336C4">
        <w:t xml:space="preserve"> aim to tackle both forest loss and socioeconomic development at the same time have </w:t>
      </w:r>
      <w:r>
        <w:t xml:space="preserve">had mixed results (e.g., </w:t>
      </w:r>
      <w:r>
        <w:fldChar w:fldCharType="begin"/>
      </w:r>
      <w:r>
        <w:instrText xml:space="preserve"> ADDIN ZOTERO_ITEM CSL_CITATION {"citationID":"eL10p2mg","properties":{"formattedCitation":"(Geist &amp; Lambin 2003; Chambers et al. 2020; Bernhard et al. 2021)","plainCitation":"(Geist &amp; Lambin 2003; Chambers et al. 2020; Bernhard et al. 2021)","noteIndex":0},"citationItems":[{"id":2941,"uris":["http://zotero.org/users/2170232/items/PAZIGWER"],"uri":["http://zotero.org/users/2170232/items/PAZIGWER"],"itemData":{"id":2941,"type":"article-journal","container-title":"The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id":2958,"uris":["http://zotero.org/users/2170232/items/ED8PEK8T"],"uri":["http://zotero.org/users/2170232/items/ED8PEK8T"],"itemData":{"id":2958,"type":"article-journal","abstract":"This study supplements spatial panel econometrics techniques with qualitative GIS to analyse spatio-temporal changes in the distribution of integrated conservation–development projects relative to poaching activity and unauthorized resource use in Volcanoes National Park, Rwanda. Cluster and spatial regression analyses were performed on data from ranger monitoring containing &gt; 35,000 combined observations of illegal activities in Volcanoes National Park, against tourism revenue sharing and conservation NGO funding data for 2006–2015. Results were enriched with qualitative GIS analysis from key informant interviews. We found a statistically significant negative linear effect of overall integrated conservation–development investments on unauthorized resource use in Volcanoes National Park. However, individually, funding from Rwanda's tourism revenue sharing policy did not have an effect in contrast to the significant negative effect of conservation NGO funding. In another contrast between NGO funding and tourism revenue sharing funding, spatial analysis revealed significant gaps in revenue sharing funding relative to the hotspots of illegal activities, but these gaps were not present for NGO funding. Insight from qualitative GIS analysis suggests that incongruity in prioritization by decision makers at least partly explains the differences between the effects of revenue sharing and conservation NGO investment. Although the overall results are encouraging for integrated conservation–development projects, we recommend increased spatial alignment of project funding with clusters of illegal activities, which can make investment decision-making more data-driven and projects more effective for conservation.","container-title":"Oryx","DOI":"10.1017/S0030605319000735","ISSN":"0030-6053, 1365-3008","issue":"4","language":"en","note":"publisher: Cambridge University Press","page":"613-624","source":"Cambridge University Press","title":"Effects of integrated conservation–development projects on unauthorized resource use in Volcanoes National Park, Rwanda: a mixed-methods spatio-temporal approach","title-short":"Effects of integrated conservation–development projects on unauthorized resource use in Volcanoes National Park, Rwanda","volume":"55","author":[{"family":"Bernhard","given":"Katie P."},{"family":"Smith","given":"Thomas E. L."},{"family":"Sabuhoro","given":"Edwin"},{"family":"Nyandwi","given":"Elias"},{"family":"Munanura","given":"Ian E."}],"issued":{"date-parts":[["2021",7]]}}}],"schema":"https://github.com/citation-style-language/schema/raw/master/csl-citation.json"} </w:instrText>
      </w:r>
      <w:r>
        <w:fldChar w:fldCharType="separate"/>
      </w:r>
      <w:r w:rsidRPr="00086943">
        <w:rPr>
          <w:rFonts w:ascii="Calibri" w:hAnsi="Calibri" w:cs="Calibri"/>
        </w:rPr>
        <w:t>Geist &amp; Lambin 2003; Chambers et al. 2020; Bernhard et al. 2021)</w:t>
      </w:r>
      <w:r>
        <w:fldChar w:fldCharType="end"/>
      </w:r>
      <w:r w:rsidR="00212B19">
        <w:t xml:space="preserve">. These projects can have unintended consequences for a number of reasons, including poor management of incentives or weak enforcement of protective laws, misinterpretation of stakeholder motivations, or failure to account for </w:t>
      </w:r>
      <w:r w:rsidR="000A7573">
        <w:t xml:space="preserve">underlying </w:t>
      </w:r>
      <w:r w:rsidR="00212B19">
        <w:t xml:space="preserve">economic drivers </w:t>
      </w:r>
      <w:r w:rsidR="000A7573">
        <w:t xml:space="preserve">operating at a broader scale </w:t>
      </w:r>
      <w:r w:rsidR="000A7573">
        <w:fldChar w:fldCharType="begin"/>
      </w:r>
      <w:r w:rsidR="000A7573">
        <w:instrText xml:space="preserve"> ADDIN ZOTERO_ITEM CSL_CITATION {"citationID":"9oPGvtHe","properties":{"formattedCitation":"(Chambers et al. 2020)","plainCitation":"(Chambers et al. 2020)","noteIndex":0},"citationItems":[{"id":2960,"uris":["http://zotero.org/users/2170232/items/TIGFEJD3"],"uri":["http://zotero.org/users/2170232/items/TIGFEJD3"],"itemData":{"id":2960,"type":"article-journal","abstract":"Conservation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Reátegui","given":"Raydith"},{"family":"Sandbrook","given":"Chris"}],"issued":{"date-parts":[["2020",6,1]]}}}],"schema":"https://github.com/citation-style-language/schema/raw/master/csl-citation.json"} </w:instrText>
      </w:r>
      <w:r w:rsidR="000A7573">
        <w:fldChar w:fldCharType="separate"/>
      </w:r>
      <w:r w:rsidR="000A7573" w:rsidRPr="000A7573">
        <w:rPr>
          <w:rFonts w:ascii="Calibri" w:hAnsi="Calibri" w:cs="Calibri"/>
        </w:rPr>
        <w:t>(Chambers et al. 2020)</w:t>
      </w:r>
      <w:r w:rsidR="000A7573">
        <w:fldChar w:fldCharType="end"/>
      </w:r>
      <w:r w:rsidR="000A7573">
        <w:t xml:space="preserve">. </w:t>
      </w:r>
      <w:r w:rsidR="00E821FF">
        <w:t xml:space="preserve">National </w:t>
      </w:r>
      <w:r w:rsidR="007F53DC">
        <w:t>economic and environmental policies, and i</w:t>
      </w:r>
      <w:r w:rsidR="00E821FF">
        <w:t>nterventions such as ICDPs</w:t>
      </w:r>
      <w:r w:rsidR="007F53DC">
        <w:t>,</w:t>
      </w:r>
      <w:r w:rsidR="00E821FF">
        <w:t xml:space="preserve"> will be vulnerable to failure if the relationships between forest cover and loss and 1) broad economic drivers and 2) </w:t>
      </w:r>
      <w:r w:rsidR="00E821FF">
        <w:t xml:space="preserve">local socioeconomic conditions </w:t>
      </w:r>
      <w:r w:rsidR="00E821FF">
        <w:t xml:space="preserve">are not </w:t>
      </w:r>
      <w:r w:rsidR="00E821FF">
        <w:lastRenderedPageBreak/>
        <w:t xml:space="preserve">understood and accounted for. </w:t>
      </w:r>
      <w:r w:rsidR="007F53DC">
        <w:t xml:space="preserve">In chapter 1 I addressed the relationships between macroeconomic drivers and forest loss at the national scale. Previous studies have evaluated the relationships between forest cover and socioeconomics in small, discrete locations within Cambodia </w:t>
      </w:r>
      <w:r w:rsidR="007F53DC">
        <w:fldChar w:fldCharType="begin"/>
      </w:r>
      <w:r w:rsidR="007F53DC">
        <w:instrText xml:space="preserve"> ADDIN ZOTERO_ITEM CSL_CITATION {"citationID":"stNxImhB","properties":{"formattedCitation":"(Dasgupta et al. 2005; Gaughan et al. 2009; Hought et al. 2012; Kong et al. 2019)","plainCitation":"(Dasgupta et al. 2005; Gaughan et al. 2009; Hought et al. 2012; Kong et al. 2019)","noteIndex":0},"citationItems":[{"id":2258,"uris":["http://zotero.org/users/2170232/items/GW5M54UX"],"uri":["http://zotero.org/users/2170232/items/GW5M54UX"],"itemData":{"id":2258,"type":"article-journal","abstract":"Summary\nThis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7F53DC">
        <w:fldChar w:fldCharType="separate"/>
      </w:r>
      <w:r w:rsidR="007F53DC" w:rsidRPr="007F53DC">
        <w:rPr>
          <w:rFonts w:ascii="Calibri" w:hAnsi="Calibri" w:cs="Calibri"/>
        </w:rPr>
        <w:t>(Dasgupta et al. 2005; Gaughan et al. 2009; Hought et al. 2012; Kong et al. 2019)</w:t>
      </w:r>
      <w:r w:rsidR="007F53DC">
        <w:fldChar w:fldCharType="end"/>
      </w:r>
      <w:r w:rsidR="007F53DC">
        <w:t>, but to my knowledge, no study has attempted this at a national scale.  Therefore, in this chapter I aim to fill this research gap by 1) modelling the relationship between socioeconomic variables and forest cover for the whole country a</w:t>
      </w:r>
      <w:r w:rsidR="0011317E">
        <w:t>t</w:t>
      </w:r>
      <w:r w:rsidR="007F53DC">
        <w:t xml:space="preserve"> two spatial resolutions (Province, Commune), and 2) use a cluster analysis to create a provincial-level socioeconomic typology which further describes the relationships between socioeconomic development and forest cover. </w:t>
      </w:r>
    </w:p>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5838DDB2"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w:t>
      </w:r>
      <w:r w:rsidR="004C58EB">
        <w:t xml:space="preserve">presence of </w:t>
      </w:r>
      <w:r w:rsidRPr="00D6664E">
        <w:t xml:space="preserve">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w:t>
      </w:r>
      <w:r w:rsidR="004C58EB">
        <w:t xml:space="preserve">presence of </w:t>
      </w:r>
      <w:r w:rsidRPr="00D6664E">
        <w:t xml:space="preserve">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8C04F5E" w:rsidR="00D6664E" w:rsidRPr="001E05DC" w:rsidRDefault="00D6664E" w:rsidP="00D6664E">
      <w:r w:rsidRPr="001E05DC">
        <w:lastRenderedPageBreak/>
        <w:t xml:space="preserve">Data from the Commune Database were at the resolution of individual village, and so the selected variables (Table </w:t>
      </w:r>
      <w:r w:rsidR="00535B36">
        <w:t>1</w:t>
      </w:r>
      <w:r w:rsidRPr="001E05DC">
        <w:t>) were aggregated</w:t>
      </w:r>
      <w:r w:rsidR="004C58EB">
        <w:t xml:space="preserve"> (averaged using either mean or median, or summed)</w:t>
      </w:r>
      <w:r w:rsidRPr="001E05DC">
        <w:t xml:space="preserve"> to the commune and province level after error checking and cleaning (</w:t>
      </w:r>
      <w:r w:rsidR="004C58EB">
        <w:t xml:space="preserve">see </w:t>
      </w:r>
      <w:r w:rsidRPr="001E05DC">
        <w:t>Supporting Information</w:t>
      </w:r>
      <w:r w:rsidR="004C58EB">
        <w:t xml:space="preserve"> for details on aggregation and error checking</w:t>
      </w:r>
      <w:r w:rsidRPr="001E05DC">
        <w:t xml:space="preserve">).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6AF32006"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‘MuMIn’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 from all commune-level predictions within each province was extracted as the provincial me</w:t>
      </w:r>
      <w:r w:rsidR="004C58EB">
        <w:t>dian</w:t>
      </w:r>
      <w:r w:rsidRPr="001E05DC">
        <w:t xml:space="preserve">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Table Sx</w:t>
      </w:r>
      <w:r w:rsidRPr="001E05DC">
        <w:t>) and model comparison was done using AIC.</w:t>
      </w:r>
    </w:p>
    <w:p w14:paraId="446B4494" w14:textId="77777777" w:rsidR="00D6664E" w:rsidRPr="000920A2" w:rsidRDefault="00D6664E" w:rsidP="00D6664E">
      <w:r w:rsidRPr="000920A2">
        <w:rPr>
          <w:i/>
          <w:iCs/>
        </w:rPr>
        <w:t>Cluster analysis</w:t>
      </w:r>
    </w:p>
    <w:p w14:paraId="6232B4B6" w14:textId="31E783A3" w:rsidR="00D6664E" w:rsidRPr="001E05DC" w:rsidRDefault="00D6664E" w:rsidP="00D6664E">
      <w:r w:rsidRPr="001E05DC">
        <w:lastRenderedPageBreak/>
        <w:t xml:space="preserve">Agglomerative clustering was conducted to create a typology for provinces based on the socioeconomic variables </w:t>
      </w:r>
      <w:r w:rsidR="00515BD5">
        <w:t>in Table 2 (excluding control variables)</w:t>
      </w:r>
      <w:r w:rsidRPr="001E05DC">
        <w:t>.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2AB18EB3"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w:t>
      </w:r>
      <w:r w:rsidR="004C58EB">
        <w:rPr>
          <w:b/>
          <w:bCs/>
        </w:rPr>
        <w:t>models</w:t>
      </w:r>
      <w:r w:rsidR="00515BD5">
        <w:rPr>
          <w:b/>
          <w:bCs/>
        </w:rPr>
        <w:t xml:space="preserve"> and the transformations done for the modelling</w:t>
      </w:r>
      <w:r w:rsidRPr="001E05DC">
        <w:rPr>
          <w:b/>
          <w:bCs/>
        </w:rPr>
        <w:t>.</w:t>
      </w:r>
      <w:r w:rsidR="004C58EB">
        <w:rPr>
          <w:b/>
          <w:bCs/>
        </w:rPr>
        <w:t xml:space="preserve"> Variables with a * indicate they were included in the cluster analysis.</w:t>
      </w:r>
      <w:r w:rsidRPr="001E05DC">
        <w:rPr>
          <w:b/>
          <w:bCs/>
        </w:rPr>
        <w:t xml:space="preserve">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F2A0F9C" w:rsidR="00D6664E" w:rsidRPr="001E05DC" w:rsidRDefault="00D6664E" w:rsidP="001A26A3">
            <w:pPr>
              <w:spacing w:after="160" w:line="259" w:lineRule="auto"/>
            </w:pPr>
            <w:r w:rsidRPr="001E05DC">
              <w:t>Total population</w:t>
            </w:r>
            <w:r w:rsidR="004C58EB">
              <w:t>*</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25111AB9" w:rsidR="00D6664E" w:rsidRPr="001E05DC" w:rsidRDefault="00D6664E" w:rsidP="001A26A3">
            <w:pPr>
              <w:spacing w:after="160" w:line="259" w:lineRule="auto"/>
            </w:pPr>
            <w:r w:rsidRPr="001E05DC">
              <w:t>Population density</w:t>
            </w:r>
            <w:r w:rsidR="004C58EB">
              <w:t>*</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04DCC8D4" w:rsidR="00D6664E" w:rsidRPr="001E05DC" w:rsidRDefault="00D6664E" w:rsidP="001A26A3">
            <w:pPr>
              <w:spacing w:after="160" w:line="259" w:lineRule="auto"/>
            </w:pPr>
            <w:r w:rsidRPr="001E05DC">
              <w:t>Number indigenous</w:t>
            </w:r>
            <w:r w:rsidR="004C58EB">
              <w:t>*</w:t>
            </w:r>
            <w:r w:rsidRPr="001E05DC">
              <w:t xml:space="preserve">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21FCA612" w:rsidR="00D6664E" w:rsidRPr="001E05DC" w:rsidRDefault="00D6664E" w:rsidP="001A26A3">
            <w:pPr>
              <w:spacing w:after="160" w:line="259" w:lineRule="auto"/>
            </w:pPr>
            <w:r w:rsidRPr="001E05DC">
              <w:t>Total number of people who are indigenous/ethnic minority</w:t>
            </w:r>
            <w:r w:rsidR="00515BD5">
              <w:t xml:space="preserve"> (non-Khmer, as defined by the RGC)</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1C3AFD68" w:rsidR="00D6664E" w:rsidRPr="001E05DC" w:rsidRDefault="00D6664E" w:rsidP="001A26A3">
            <w:pPr>
              <w:spacing w:after="160" w:line="259" w:lineRule="auto"/>
            </w:pPr>
            <w:r w:rsidRPr="001E05DC">
              <w:t>Males aged 6 – 24 in school</w:t>
            </w:r>
            <w:r w:rsidR="004C58EB">
              <w:t>*</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1E183C3A" w:rsidR="00D6664E" w:rsidRPr="001E05DC" w:rsidRDefault="00D6664E" w:rsidP="001A26A3">
            <w:pPr>
              <w:spacing w:after="160" w:line="259" w:lineRule="auto"/>
            </w:pPr>
            <w:r w:rsidRPr="001E05DC">
              <w:t>Number of adults employed in primary sector</w:t>
            </w:r>
            <w:r w:rsidR="004C58EB">
              <w:t>*</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(Kenessey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22CB2E73" w:rsidR="00D6664E" w:rsidRPr="001E05DC" w:rsidRDefault="00D6664E" w:rsidP="001A26A3">
            <w:pPr>
              <w:spacing w:after="160" w:line="259" w:lineRule="auto"/>
            </w:pPr>
            <w:r w:rsidRPr="001E05DC">
              <w:t>Number of adults employed in secondary sector</w:t>
            </w:r>
            <w:r w:rsidR="004C58EB">
              <w:t>*</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(Kenessey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67C1C026" w:rsidR="00D6664E" w:rsidRPr="001E05DC" w:rsidRDefault="00D6664E" w:rsidP="001A26A3">
            <w:pPr>
              <w:spacing w:after="160" w:line="259" w:lineRule="auto"/>
            </w:pPr>
            <w:r w:rsidRPr="001E05DC">
              <w:t>Number of families with &lt;1ha rice land (including no rice land)</w:t>
            </w:r>
            <w:r w:rsidR="004C58EB">
              <w:t>*</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0EF571DC" w:rsidR="00D6664E" w:rsidRPr="001E05DC" w:rsidRDefault="00D6664E" w:rsidP="001A26A3">
            <w:pPr>
              <w:spacing w:after="160" w:line="259" w:lineRule="auto"/>
            </w:pPr>
            <w:r w:rsidRPr="001E05DC">
              <w:t>Number of families who keep pigs</w:t>
            </w:r>
            <w:r w:rsidR="004C58EB">
              <w:t>*</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91DC8A7" w:rsidR="00D6664E" w:rsidRPr="001E05DC" w:rsidRDefault="00D6664E" w:rsidP="001A26A3">
            <w:pPr>
              <w:spacing w:after="160" w:line="259" w:lineRule="auto"/>
            </w:pPr>
            <w:r w:rsidRPr="001E05DC">
              <w:t>Distance to nearest school</w:t>
            </w:r>
            <w:r w:rsidR="004C58EB">
              <w:t>*</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06A7B6AB" w:rsidR="00D6664E" w:rsidRPr="001E05DC" w:rsidRDefault="00D6664E" w:rsidP="001A26A3">
            <w:pPr>
              <w:spacing w:after="160" w:line="259" w:lineRule="auto"/>
            </w:pPr>
            <w:r w:rsidRPr="001E05DC">
              <w:t>Number of families with access to waste collection</w:t>
            </w:r>
            <w:r w:rsidR="004C58EB">
              <w:t>*</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552F159D" w:rsidR="00D6664E" w:rsidRPr="001E05DC" w:rsidRDefault="00D6664E" w:rsidP="001A26A3">
            <w:pPr>
              <w:spacing w:after="160" w:line="259" w:lineRule="auto"/>
            </w:pPr>
            <w:r w:rsidRPr="001E05DC">
              <w:t>Distance to the Commune Office</w:t>
            </w:r>
            <w:r w:rsidR="00515BD5">
              <w:t>*</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0A5CFF68" w:rsidR="00D6664E" w:rsidRPr="001E05DC" w:rsidRDefault="00D6664E" w:rsidP="001A26A3">
            <w:pPr>
              <w:spacing w:after="160" w:line="259" w:lineRule="auto"/>
            </w:pPr>
            <w:r w:rsidRPr="001E05DC">
              <w:t>Number of criminal cases</w:t>
            </w:r>
            <w:r w:rsidR="00515BD5">
              <w:t>*</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0BA5E1E4" w:rsidR="00D6664E" w:rsidRPr="001E05DC" w:rsidRDefault="00D6664E" w:rsidP="001A26A3">
            <w:pPr>
              <w:spacing w:after="160" w:line="259" w:lineRule="auto"/>
            </w:pPr>
            <w:r w:rsidRPr="001E05DC">
              <w:t>Number of land conflict cases</w:t>
            </w:r>
            <w:r w:rsidR="004C58EB">
              <w:t>*</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5D79203" w:rsidR="00D6664E" w:rsidRPr="001E05DC" w:rsidRDefault="00D6664E" w:rsidP="001A26A3">
            <w:pPr>
              <w:spacing w:after="160" w:line="259" w:lineRule="auto"/>
            </w:pPr>
            <w:r w:rsidRPr="001E05DC">
              <w:t>Number of in-migrants</w:t>
            </w:r>
            <w:r w:rsidR="004C58EB">
              <w:t>*</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6A09610B" w:rsidR="00D6664E" w:rsidRPr="001E05DC" w:rsidRDefault="00D6664E" w:rsidP="001A26A3">
            <w:pPr>
              <w:spacing w:after="160" w:line="259" w:lineRule="auto"/>
            </w:pPr>
            <w:r w:rsidRPr="001E05DC">
              <w:t>Number of out-migrants</w:t>
            </w:r>
            <w:r w:rsidR="004C58EB">
              <w:t>*</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(masl)</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68172DC2" w:rsidR="00D6664E" w:rsidRDefault="00515BD5" w:rsidP="00D6664E">
      <w:pPr>
        <w:rPr>
          <w:i/>
          <w:iCs/>
        </w:rPr>
      </w:pPr>
      <w:r>
        <w:rPr>
          <w:i/>
          <w:iCs/>
        </w:rPr>
        <w:t>Socioeconomic predictors of forest cover at the Commune level</w:t>
      </w:r>
    </w:p>
    <w:p w14:paraId="155BC3D0" w14:textId="1D7035E4"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w:t>
      </w:r>
      <w:r w:rsidR="00267F13">
        <w:t>&gt;0.99.</w:t>
      </w:r>
      <w:r>
        <w:t xml:space="preserve">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667A9D5E" w14:textId="158307AA" w:rsidR="00515BD5" w:rsidRDefault="00515BD5" w:rsidP="00515BD5">
      <w:pPr>
        <w:rPr>
          <w:i/>
          <w:iCs/>
        </w:rPr>
      </w:pPr>
      <w:r>
        <w:rPr>
          <w:i/>
          <w:iCs/>
        </w:rPr>
        <w:t xml:space="preserve">Socioeconomic predictors of forest cover at the </w:t>
      </w:r>
      <w:r>
        <w:rPr>
          <w:i/>
          <w:iCs/>
        </w:rPr>
        <w:t>Province</w:t>
      </w:r>
      <w:r>
        <w:rPr>
          <w:i/>
          <w:iCs/>
        </w:rPr>
        <w:t xml:space="preserve"> level</w:t>
      </w:r>
    </w:p>
    <w:p w14:paraId="4E254E74" w14:textId="663BE5D9"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w:t>
      </w:r>
      <w:r>
        <w:lastRenderedPageBreak/>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187B067C" w:rsidR="0011048D" w:rsidRDefault="0011048D" w:rsidP="0011048D">
      <w:r>
        <w:t>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w:t>
      </w:r>
      <w:r w:rsidR="00AF7E60" w:rsidRPr="00AF7E60">
        <w:rPr>
          <w:i/>
          <w:iCs/>
        </w:rPr>
        <w:t>n</w:t>
      </w:r>
      <w:r w:rsidR="00AF7E60">
        <w:t xml:space="preserve"> = </w:t>
      </w:r>
      <w:r w:rsidRPr="00AF7E60">
        <w:t>16</w:t>
      </w:r>
      <w:r>
        <w:t xml:space="preserve">)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w:t>
      </w:r>
      <w:r>
        <w:lastRenderedPageBreak/>
        <w:t xml:space="preserve">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A66892">
              <w:rPr>
                <w:rFonts w:ascii="Calibri" w:eastAsia="Times New Roman" w:hAnsi="Calibri" w:cs="Calibri"/>
                <w:b/>
                <w:bCs/>
                <w:i/>
                <w:iCs/>
                <w:color w:val="000000"/>
                <w:sz w:val="20"/>
                <w:szCs w:val="20"/>
                <w:vertAlign w:val="superscript"/>
                <w:lang w:eastAsia="en-GB"/>
              </w:rPr>
              <w:t>a</w:t>
            </w:r>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0"/>
      <w:r w:rsidRPr="00591618">
        <w:rPr>
          <w:b/>
          <w:bCs/>
          <w:sz w:val="20"/>
          <w:szCs w:val="20"/>
        </w:rPr>
        <w:t xml:space="preserve">Predicted </w:t>
      </w:r>
      <w:commentRangeEnd w:id="0"/>
      <w:r>
        <w:rPr>
          <w:rStyle w:val="CommentReference"/>
        </w:rPr>
        <w:commentReference w:id="0"/>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commentRangeStart w:id="1"/>
      <w:r w:rsidRPr="00BA3DF2">
        <w:rPr>
          <w:b/>
          <w:bCs/>
          <w:sz w:val="20"/>
          <w:szCs w:val="20"/>
        </w:rPr>
        <w:t xml:space="preserve">Figure </w:t>
      </w:r>
      <w:r>
        <w:rPr>
          <w:b/>
          <w:bCs/>
          <w:sz w:val="20"/>
          <w:szCs w:val="20"/>
        </w:rPr>
        <w:t>7</w:t>
      </w:r>
      <w:r w:rsidRPr="00BA3DF2">
        <w:rPr>
          <w:b/>
          <w:bCs/>
          <w:sz w:val="20"/>
          <w:szCs w:val="20"/>
        </w:rPr>
        <w:t>.</w:t>
      </w:r>
      <w:commentRangeEnd w:id="1"/>
      <w:r w:rsidR="00AF7E60">
        <w:rPr>
          <w:rStyle w:val="CommentReference"/>
        </w:rPr>
        <w:commentReference w:id="1"/>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commentRangeStart w:id="2"/>
      <w:r w:rsidRPr="00BA3DF2">
        <w:rPr>
          <w:b/>
          <w:bCs/>
          <w:sz w:val="20"/>
          <w:szCs w:val="20"/>
        </w:rPr>
        <w:t xml:space="preserve">Figure </w:t>
      </w:r>
      <w:r>
        <w:rPr>
          <w:b/>
          <w:bCs/>
          <w:sz w:val="20"/>
          <w:szCs w:val="20"/>
        </w:rPr>
        <w:t>8</w:t>
      </w:r>
      <w:commentRangeEnd w:id="2"/>
      <w:r w:rsidR="00AF7E60">
        <w:rPr>
          <w:rStyle w:val="CommentReference"/>
        </w:rPr>
        <w:commentReference w:id="2"/>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commentRangeStart w:id="3"/>
      <w:r w:rsidRPr="008850DC">
        <w:rPr>
          <w:b/>
          <w:bCs/>
          <w:sz w:val="20"/>
          <w:szCs w:val="20"/>
        </w:rPr>
        <w:t xml:space="preserve">Figure </w:t>
      </w:r>
      <w:r>
        <w:rPr>
          <w:b/>
          <w:bCs/>
          <w:sz w:val="20"/>
          <w:szCs w:val="20"/>
        </w:rPr>
        <w:t>9</w:t>
      </w:r>
      <w:commentRangeEnd w:id="3"/>
      <w:r w:rsidR="00AF7E60">
        <w:rPr>
          <w:rStyle w:val="CommentReference"/>
        </w:rPr>
        <w:commentReference w:id="3"/>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commentRangeStart w:id="4"/>
      <w:r w:rsidRPr="001168E7">
        <w:rPr>
          <w:b/>
          <w:bCs/>
          <w:sz w:val="20"/>
          <w:szCs w:val="20"/>
        </w:rPr>
        <w:t xml:space="preserve">Figure </w:t>
      </w:r>
      <w:r>
        <w:rPr>
          <w:b/>
          <w:bCs/>
          <w:sz w:val="20"/>
          <w:szCs w:val="20"/>
        </w:rPr>
        <w:t>11</w:t>
      </w:r>
      <w:r w:rsidRPr="001168E7">
        <w:rPr>
          <w:b/>
          <w:bCs/>
          <w:sz w:val="20"/>
          <w:szCs w:val="20"/>
        </w:rPr>
        <w:t xml:space="preserve">. </w:t>
      </w:r>
      <w:commentRangeEnd w:id="4"/>
      <w:r w:rsidR="00AF7E60">
        <w:rPr>
          <w:rStyle w:val="CommentReference"/>
        </w:rPr>
        <w:commentReference w:id="4"/>
      </w:r>
      <w:r w:rsidRPr="001168E7">
        <w:rPr>
          <w:b/>
          <w:bCs/>
          <w:sz w:val="20"/>
          <w:szCs w:val="20"/>
        </w:rPr>
        <w:t xml:space="preserve">Heatmap showing the variable values for each cluster. Variables were categorised as “v.low” if the mean (across provinces within that cluster) was below the 25% quantile for that variable across the whole country, “low” if the mean was above 25 and below 50%, “high” if the mean was above 50% but below 75%, and “v.high” if the mean was above the 75% quantile. Pax_migt_out = numbers of out-migrants, Pax_migt_in = numbers of in-migrants, land_confl = number of land conflicts, crim_case = criminal cases per capita, KM_Comm = distance to commune office, garbage = proportion of families with access to waste collection, dist_school = distance to nearest school, pig_fam = proportion of families who keep pigs, Les1_R_Land = proportion of families with no rice land, propSecSec = proportion of adults employed in the secondary sector, propPrimSec = proportion of adults employed in the primary sector, M6_24_sch = proportion of males aged 6-24 in education, prop_ind = proportion of the population that is indigenous, pop_den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5"/>
      <w:r w:rsidRPr="004874EB">
        <w:rPr>
          <w:b/>
          <w:bCs/>
          <w:sz w:val="20"/>
          <w:szCs w:val="20"/>
        </w:rPr>
        <w:t>Figure 1</w:t>
      </w:r>
      <w:r>
        <w:rPr>
          <w:b/>
          <w:bCs/>
          <w:sz w:val="20"/>
          <w:szCs w:val="20"/>
        </w:rPr>
        <w:t>2</w:t>
      </w:r>
      <w:r w:rsidRPr="004874EB">
        <w:rPr>
          <w:b/>
          <w:bCs/>
          <w:sz w:val="20"/>
          <w:szCs w:val="20"/>
        </w:rPr>
        <w:t xml:space="preserve">. </w:t>
      </w:r>
      <w:commentRangeEnd w:id="5"/>
      <w:r w:rsidR="00C73044">
        <w:rPr>
          <w:rStyle w:val="CommentReference"/>
        </w:rPr>
        <w:commentReference w:id="5"/>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(masl),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r w:rsidRPr="00634903">
              <w:rPr>
                <w:sz w:val="20"/>
                <w:szCs w:val="20"/>
              </w:rPr>
              <w:t>Mondulkiri, Ratanikiri</w:t>
            </w:r>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r w:rsidRPr="00634903">
              <w:rPr>
                <w:sz w:val="20"/>
                <w:szCs w:val="20"/>
              </w:rPr>
              <w:t>Pailin</w:t>
            </w:r>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Kampong Chhnang, Kampong Speu, Kampong Thom, Kampot, Kep, Koh Kong, Kracheh, Otdar Meanchey, Preah Sihanouk, Preah Vihear, Pursat, Siem Reap, Stung Treng, Svay Rieng</w:t>
            </w:r>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1" w:author="Matthew Nuttall" w:date="2021-11-08T11:48:00Z" w:initials="MN">
    <w:p w14:paraId="669EA7D4" w14:textId="30041F55" w:rsidR="00AF7E60" w:rsidRDefault="00AF7E60">
      <w:pPr>
        <w:pStyle w:val="CommentText"/>
      </w:pPr>
      <w:r>
        <w:rPr>
          <w:rStyle w:val="CommentReference"/>
        </w:rPr>
        <w:annotationRef/>
      </w:r>
      <w:r>
        <w:t>Plot as bars and add SE?</w:t>
      </w:r>
    </w:p>
  </w:comment>
  <w:comment w:id="2" w:author="Matthew Nuttall" w:date="2021-11-08T11:48:00Z" w:initials="MN">
    <w:p w14:paraId="2932BB39" w14:textId="07214887" w:rsidR="00AF7E60" w:rsidRDefault="00AF7E60">
      <w:pPr>
        <w:pStyle w:val="CommentText"/>
      </w:pPr>
      <w:r>
        <w:rPr>
          <w:rStyle w:val="CommentReference"/>
        </w:rPr>
        <w:annotationRef/>
      </w:r>
      <w:r>
        <w:t>Plot as bars and add SE</w:t>
      </w:r>
    </w:p>
  </w:comment>
  <w:comment w:id="3" w:author="Matthew Nuttall" w:date="2021-11-08T11:48:00Z" w:initials="MN">
    <w:p w14:paraId="22E820A3" w14:textId="3F2AF90F" w:rsidR="00AF7E60" w:rsidRDefault="00AF7E60">
      <w:pPr>
        <w:pStyle w:val="CommentText"/>
      </w:pPr>
      <w:r>
        <w:rPr>
          <w:rStyle w:val="CommentReference"/>
        </w:rPr>
        <w:annotationRef/>
      </w:r>
      <w:r>
        <w:t>Move to SI</w:t>
      </w:r>
    </w:p>
  </w:comment>
  <w:comment w:id="4" w:author="Matthew Nuttall" w:date="2021-11-08T11:49:00Z" w:initials="MN">
    <w:p w14:paraId="6EA17A5B" w14:textId="01A585F7" w:rsidR="00AF7E60" w:rsidRDefault="00AF7E60">
      <w:pPr>
        <w:pStyle w:val="CommentText"/>
      </w:pPr>
      <w:r>
        <w:rPr>
          <w:rStyle w:val="CommentReference"/>
        </w:rPr>
        <w:annotationRef/>
      </w:r>
      <w:r>
        <w:t>Move to SI?</w:t>
      </w:r>
    </w:p>
  </w:comment>
  <w:comment w:id="5" w:author="Matthew Nuttall" w:date="2021-10-28T11:36:00Z" w:initials="MN">
    <w:p w14:paraId="13C889B6" w14:textId="77777777" w:rsidR="00C73044" w:rsidRDefault="00C73044">
      <w:pPr>
        <w:pStyle w:val="CommentText"/>
      </w:pPr>
      <w:r>
        <w:rPr>
          <w:rStyle w:val="CommentReference"/>
        </w:rPr>
        <w:annotationRef/>
      </w:r>
      <w:r>
        <w:t>Check units for y axis for a, c, e, f</w:t>
      </w:r>
    </w:p>
    <w:p w14:paraId="1A0F7703" w14:textId="10FDE3F4" w:rsidR="00AF7E60" w:rsidRDefault="00AF7E60">
      <w:pPr>
        <w:pStyle w:val="CommentText"/>
      </w:pPr>
      <w:r>
        <w:t>Adjust y axis for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83D35" w15:done="0"/>
  <w15:commentEx w15:paraId="669EA7D4" w15:done="0"/>
  <w15:commentEx w15:paraId="2932BB39" w15:done="0"/>
  <w15:commentEx w15:paraId="22E820A3" w15:done="0"/>
  <w15:commentEx w15:paraId="6EA17A5B"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338D0B" w16cex:dateUtc="2021-11-08T11:48:00Z"/>
  <w16cex:commentExtensible w16cex:durableId="25338D1A" w16cex:dateUtc="2021-11-08T11:48:00Z"/>
  <w16cex:commentExtensible w16cex:durableId="25338D24" w16cex:dateUtc="2021-11-08T11:48:00Z"/>
  <w16cex:commentExtensible w16cex:durableId="25338D32" w16cex:dateUtc="2021-11-08T11:49: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83D35" w16cid:durableId="24A542F3"/>
  <w16cid:commentId w16cid:paraId="669EA7D4" w16cid:durableId="25338D0B"/>
  <w16cid:commentId w16cid:paraId="2932BB39" w16cid:durableId="25338D1A"/>
  <w16cid:commentId w16cid:paraId="22E820A3" w16cid:durableId="25338D24"/>
  <w16cid:commentId w16cid:paraId="6EA17A5B" w16cid:durableId="25338D32"/>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86943"/>
    <w:rsid w:val="000920A2"/>
    <w:rsid w:val="000A5C90"/>
    <w:rsid w:val="000A7573"/>
    <w:rsid w:val="0011048D"/>
    <w:rsid w:val="0011317E"/>
    <w:rsid w:val="00127FD8"/>
    <w:rsid w:val="0014759D"/>
    <w:rsid w:val="001A49B6"/>
    <w:rsid w:val="001C6CC0"/>
    <w:rsid w:val="001E29BB"/>
    <w:rsid w:val="00212B19"/>
    <w:rsid w:val="00267F13"/>
    <w:rsid w:val="00285D11"/>
    <w:rsid w:val="002C711B"/>
    <w:rsid w:val="00316B6B"/>
    <w:rsid w:val="003B4CB2"/>
    <w:rsid w:val="003D2547"/>
    <w:rsid w:val="004022CF"/>
    <w:rsid w:val="004336C4"/>
    <w:rsid w:val="00451A01"/>
    <w:rsid w:val="004B2379"/>
    <w:rsid w:val="004C58EB"/>
    <w:rsid w:val="004E5487"/>
    <w:rsid w:val="00515BD5"/>
    <w:rsid w:val="00524C0E"/>
    <w:rsid w:val="00535B36"/>
    <w:rsid w:val="00567397"/>
    <w:rsid w:val="005744DE"/>
    <w:rsid w:val="005760C1"/>
    <w:rsid w:val="00592712"/>
    <w:rsid w:val="005B33C1"/>
    <w:rsid w:val="005C65BA"/>
    <w:rsid w:val="005D0E96"/>
    <w:rsid w:val="005D1F14"/>
    <w:rsid w:val="005F24FA"/>
    <w:rsid w:val="00663A82"/>
    <w:rsid w:val="006F0007"/>
    <w:rsid w:val="007173AE"/>
    <w:rsid w:val="00717426"/>
    <w:rsid w:val="00756D59"/>
    <w:rsid w:val="007723BD"/>
    <w:rsid w:val="007772FF"/>
    <w:rsid w:val="00780D5F"/>
    <w:rsid w:val="007E74E7"/>
    <w:rsid w:val="007F53DC"/>
    <w:rsid w:val="008542C1"/>
    <w:rsid w:val="00890C61"/>
    <w:rsid w:val="008B17DA"/>
    <w:rsid w:val="008B6ED5"/>
    <w:rsid w:val="008F5576"/>
    <w:rsid w:val="00900623"/>
    <w:rsid w:val="00902F41"/>
    <w:rsid w:val="009107F5"/>
    <w:rsid w:val="009B6994"/>
    <w:rsid w:val="00A13D84"/>
    <w:rsid w:val="00A63D6A"/>
    <w:rsid w:val="00AF717F"/>
    <w:rsid w:val="00AF7E60"/>
    <w:rsid w:val="00B0710D"/>
    <w:rsid w:val="00B30997"/>
    <w:rsid w:val="00B65CA2"/>
    <w:rsid w:val="00B91ACA"/>
    <w:rsid w:val="00BA0606"/>
    <w:rsid w:val="00BB17C1"/>
    <w:rsid w:val="00C51A4D"/>
    <w:rsid w:val="00C629EA"/>
    <w:rsid w:val="00C64B16"/>
    <w:rsid w:val="00C73044"/>
    <w:rsid w:val="00C769D9"/>
    <w:rsid w:val="00CD0112"/>
    <w:rsid w:val="00D1536D"/>
    <w:rsid w:val="00D25F20"/>
    <w:rsid w:val="00D6664E"/>
    <w:rsid w:val="00E62493"/>
    <w:rsid w:val="00E7333A"/>
    <w:rsid w:val="00E821FF"/>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7087</TotalTime>
  <Pages>22</Pages>
  <Words>30360</Words>
  <Characters>173052</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25</cp:revision>
  <dcterms:created xsi:type="dcterms:W3CDTF">2021-10-26T19:13:00Z</dcterms:created>
  <dcterms:modified xsi:type="dcterms:W3CDTF">2021-11-08T11:50:00Z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