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102C4" w14:textId="1D0A8B5F" w:rsidR="00612128" w:rsidRDefault="005B33C1">
      <w:pPr>
        <w:rPr>
          <w:b/>
          <w:bCs/>
        </w:rPr>
      </w:pPr>
      <w:r>
        <w:rPr>
          <w:b/>
          <w:bCs/>
        </w:rPr>
        <w:t xml:space="preserve">Introduction </w:t>
      </w:r>
    </w:p>
    <w:p w14:paraId="2337EA05" w14:textId="2469E8EE" w:rsidR="0005444F" w:rsidRDefault="000111C4">
      <w:r>
        <w:t xml:space="preserve">Tropical deforestation is a significant threat to biodiversity, ecosystem processes, and local people </w:t>
      </w:r>
      <w:r>
        <w:fldChar w:fldCharType="begin"/>
      </w:r>
      <w:r>
        <w:instrText xml:space="preserve"> ADDIN ZOTERO_ITEM CSL_CITATION {"citationID":"IQD5xEzv","properties":{"formattedCitation":"(Frewer &amp; Chan 2014; Estoque et al. 2019)","plainCitation":"(Frewer &amp; Chan 2014; Estoque et al. 2019)","noteIndex":0},"citationItems":[{"id":1667,"uris":["http://zotero.org/users/2170232/items/W5KFBHFU"],"uri":["http://zotero.org/users/2170232/items/W5KFBHFU"],"itemData":{"id":1667,"type":"article-journal","abstract":"GIS-RS techniques offer great potential for providing insights into the spatiality and temporality of the messy realties of deforestation. However, rather than positing that the land use maps produced using these novel technologies can cut through politics, it is argued that the map is merely an artifact of the broader process of land use planning which is constitutive of politics. This article critically reflects on a major land use mapping exercise that the two authors were involved with, in central Cambodia. It argues that GIS analysts need to go beyond merely a concern for ‘the local’, and have their own ‘honest’ teleologies that can navigate the complexities of environmental politics. This article shows how particular categorizations of land use that the analyst creates in accordance with their own desires and the technical limitations of GIS, are often bound up in techniques of government.","container-title":"Human Ecology","DOI":"10.1007/s10745-013-9639-z","ISSN":"0300-7839, 1572-9915","issue":"2","journalAbbreviation":"Hum Ecol","language":"en","page":"267-281","source":"link.springer.com","title":"GIS and the ‘Usual Suspects’-[Mis]understanding Land Use Change in Cambodia","volume":"42","author":[{"family":"Frewer","given":"Tim"},{"family":"Chan","given":"Sopheak"}],"issued":{"date-parts":[["2014",4,1]]}}},{"id":2193,"uris":["http://zotero.org/users/2170232/items/XLXDWBAC"],"uri":["http://zotero.org/users/2170232/items/XLXDWBAC"],"itemData":{"id":2193,"type":"article-journal","abstract":"While Southeast Asia’s forests play important roles in biodiversity conservation and global carbon (C) balance, the region is also a deforestation hotspot. Here, we consider the five shared socioeconomic pathways (SSPs) to portray a range of plausible futures for the region’s forests, employing a state-of-the-art land change modelling procedure and remotely sensed data. We find that by 2050 under the worst-case scenario, SSP 3 (regional rivalry/a rocky road), the region’s forests would shrink by 5.2 million ha. The region’s aboveground forest carbon stock (AFCS) would decrease by 790 Tg C, 21% of which would be due to old-growth forest loss. Conversely, under the best-case scenario, SSP 1 (sustainability/taking the green road), the region is projected to gain 19.6 million ha of forests and 1651 Tg C of AFCS. The choice of the pathway is thus critical for the future of the region’s forests and their ecosystem functions and services.","container-title":"Nature Communications","DOI":"10.1038/s41467-019-09646-4","ISSN":"2041-1723","issue":"1","language":"en","page":"1829","source":"www.nature.com","title":"The future of Southeast Asia’s forests","volume":"10","author":[{"family":"Estoque","given":"Ronald C."},{"family":"Ooba","given":"Makoto"},{"family":"Avitabile","given":"Valerio"},{"family":"Hijioka","given":"Yasuaki"},{"family":"DasGupta","given":"Rajarshi"},{"family":"Togawa","given":"Takuya"},{"family":"Murayama","given":"Yuji"}],"issued":{"date-parts":[["2019",4,23]]}}}],"schema":"https://github.com/citation-style-language/schema/raw/master/csl-citation.json"} </w:instrText>
      </w:r>
      <w:r>
        <w:fldChar w:fldCharType="separate"/>
      </w:r>
      <w:r w:rsidRPr="000111C4">
        <w:rPr>
          <w:rFonts w:ascii="Calibri" w:hAnsi="Calibri" w:cs="Calibri"/>
        </w:rPr>
        <w:t>(Frewer &amp; Chan 2014; Estoque et al. 2019)</w:t>
      </w:r>
      <w:r>
        <w:fldChar w:fldCharType="end"/>
      </w:r>
      <w:r>
        <w:t xml:space="preserve">, and is particularly insidious in its complexity </w:t>
      </w:r>
      <w:r>
        <w:fldChar w:fldCharType="begin"/>
      </w:r>
      <w:r>
        <w:instrText xml:space="preserve"> ADDIN ZOTERO_ITEM CSL_CITATION {"citationID":"4Nk3K687","properties":{"formattedCitation":"(Mena et al. 2006; Rowcroft 2008; Kong et al. 2019)","plainCitation":"(Mena et al. 2006; Rowcroft 2008; Kong et al. 2019)","noteIndex":0},"citationItems":[{"id":2260,"uris":["http://zotero.org/users/2170232/items/BTIITC3E"],"uri":["http://zotero.org/users/2170232/items/BTIITC3E"],"itemData":{"id":2260,"type":"article-journal","abstract":"Investigations of land use/land cover (LULC) change and forest management are limited by a lack of understanding of how socioeconomic factors affect land use. This lack also constrains the predictions of future deforestation, which is especially important in the Amazon basin, where large tracts of natural forest are being converted to managed uses. Research presented in this article was conducted to address this lack of understanding. Its objectives are (a) to quantify deforestation in the Northern Ecuadorian Amazon (NEA) during the periods 1986–1996 and 1996–2002; and (b) to determine the significance and magnitude of the effects of socioeconomic factors on deforestation rates at both the parroquia (parish) and finca (farm) levels. Annual deforestation rates were quantified via satellite image processing and geographic information systems. Linear spatial lag regression analyses were then used to explore relationships between socioeconomic factors and deforestation. Socioeconomic factors were obtained, at the finca level, from a detailed household survey carried out in 1990 and 1999, and at the parroquia level from data in the 1990 and 2001 Ecuadorian censuses of population. We found that the average annual deforestation rate was 2.5% and 1.8%/year for 1986–1996 and 1996–2002, respectively. At the parroquia level, variables representing demographic factors (i.e., population density) and accessibility factors (i.e., road density), among others, were found to be significantly related to deforestation. At the farm level, the factors related to deforestation were household size, distance by road to main cities, education, and hired labor. The findings of this research demonstrate both the severity of deforestation in the Northern Ecuadorian Amazon and the array of factors affecting deforestation in the tropics.","container-title":"Environmental Management","DOI":"10.1007/s00267-003-0230-z","ISSN":"1432-1009","issue":"6","journalAbbreviation":"Environmental Management","language":"en","page":"802-815","source":"Springer Link","title":"Socioeconomic Drivers of Deforestation in the Northern Ecuadorian Amazon","volume":"37","author":[{"family":"Mena","given":"Carlos F."},{"family":"Bilsborrow","given":"Richard E."},{"family":"McClain","given":"Michael E."}],"issued":{"date-parts":[["2006",6,1]]}}},{"id":2942,"uris":["http://zotero.org/users/2170232/items/V6APMHVL"],"uri":["http://zotero.org/users/2170232/items/V6APMHVL"],"itemData":{"id":2942,"type":"article-journal","abstract":"Land-use change processes are commonly understood as simplified cause-effect relationships, which, in turn, support many environment-development policies. This paper uses wide-ranging evidence from a number of global case studies to challenge some of the prevailing “myths” around land-use change in the Mekong Basin and supports the conclusion that the simple explanations found in population growth, poverty, and infrastructure studies rarely provide an adequate understanding of land-use change.","container-title":"AMBIO: A Journal of the Human Environment","DOI":"10.1579/0044-7447(2008)37[213:FOCTRB]2.0.CO;2","ISSN":"0044-7447, 1654-7209","issue":"3","journalAbbreviation":"ambi","note":"publisher: Royal Swedish Academy of Sciences","page":"213-218","source":"bioone.org","title":"Frontiers of Change: The Reasons Behind Land-use Change in the Mekong Basin","title-short":"Frontiers of Change","volume":"37","author":[{"family":"Rowcroft","given":"Petrina"}],"issued":{"date-parts":[["2008",5]]}}},{"id":2939,"uris":["http://zotero.org/users/2170232/items/MNLFBPTF"],"uri":["http://zotero.org/users/2170232/items/MNLFBPTF"],"itemData":{"id":2939,"type":"article-journal","abstract":"At the end of the 1990s, the Northwestern uplands of Cambodia were one of the last forest frontiers of the country. In a region that was the last Khmer Rouge stronghold, the opening of former conflict zones after a peace agreement initiated a vast movement of agricultural colonization. This movement was economically triggered by high market demand for agricultural commodities such as maize and cassava and fueled by a massive flow of spontaneous in-migration of land-poor farmers from lowland regions around the entire country. Focused on four upland districts along a pioneer front of Northwestern Cambodia, we analyzed historical trajectories of land use/cover changes using a chronological series of Landsat data from 1976 to 2016. We identified key drivers of deforestation using demographic data and qualitative information from local actors and other relevant stakeholders. We found a 65 percent forest cover loss due to conversion by smallholders into agricultural land for maize and cassava cultivation over a period of 15 years. The underlying mechanisms of land use change were further investigated to understand the diversity of individual farm trajectories and decision-making processes in relation to land conversion. These elements of diagnosis are essential to engage farming communities in innovative land use systems and to develop sustainable alternatives to boom crops that have led to the current situation of land degradation and economic instability.","container-title":"Applied Geography","DOI":"10.1016/j.apgeog.2018.12.006","ISSN":"0143-6228","journalAbbreviation":"Applied Geography","language":"en","page":"84-98","source":"ScienceDirect","title":"Understanding the drivers of deforestation and agricultural transformations in the Northwestern uplands of Cambodia","volume":"102","author":[{"family":"Kong","given":"Rada"},{"family":"Diepart","given":"Jean-Christophe"},{"family":"Castella","given":"Jean-Christophe"},{"family":"Lestrelin","given":"Guillaume"},{"family":"Tivet","given":"Florent"},{"family":"Belmain","given":"Elisa"},{"family":"Bégué","given":"Agnès"}],"issued":{"date-parts":[["2019",1,1]]}}}],"schema":"https://github.com/citation-style-language/schema/raw/master/csl-citation.json"} </w:instrText>
      </w:r>
      <w:r>
        <w:fldChar w:fldCharType="separate"/>
      </w:r>
      <w:r w:rsidRPr="000111C4">
        <w:rPr>
          <w:rFonts w:ascii="Calibri" w:hAnsi="Calibri" w:cs="Calibri"/>
        </w:rPr>
        <w:t>(Mena et al. 2006; Rowcroft 2008; Kong et al. 2019)</w:t>
      </w:r>
      <w:r>
        <w:fldChar w:fldCharType="end"/>
      </w:r>
      <w:r>
        <w:t xml:space="preserve">. </w:t>
      </w:r>
      <w:r w:rsidR="004B2379">
        <w:t xml:space="preserve">The drivers of forest loss in the tropics are not only numerous and multifaceted, but they operate at multiple scales and are comprised of complex feedback loops between ecological, biophysical, social, </w:t>
      </w:r>
      <w:r w:rsidR="00B91ACA">
        <w:t xml:space="preserve">cultural, </w:t>
      </w:r>
      <w:r w:rsidR="004B2379">
        <w:t xml:space="preserve">political, and economic factors </w:t>
      </w:r>
      <w:r w:rsidR="004B2379">
        <w:fldChar w:fldCharType="begin"/>
      </w:r>
      <w:r w:rsidR="00B91ACA">
        <w:instrText xml:space="preserve"> ADDIN ZOTERO_ITEM CSL_CITATION {"citationID":"TdqqAGpI","properties":{"formattedCitation":"(Geist &amp; Lambin 2002, 2003; Shrestha et al. 2018; Xu et al. 2019; Mannan et al. 2019)","plainCitation":"(Geist &amp; Lambin 2002, 2003; Shrestha et al. 2018; Xu et al. 2019; Mannan et al. 2019)","noteIndex":0},"citationItems":[{"id":1947,"uris":["http://zotero.org/users/2170232/items/HNTSNFG3"],"uri":["http://zotero.org/users/2170232/items/HNTSNFG3"],"itemData":{"id":1947,"type":"article-journal","abstract":"One of the primary causes of global environmental change is tropical deforestation, but the question of what factors drive deforestation remains largely unanswe","container-title":"BioScience","DOI":"10.1641/0006-3568(2002)052[0143:PCAUDF]2.0.CO;2","ISSN":"0006-3568","issue":"2","journalAbbreviation":"BioScience","language":"en","page":"143-150","source":"academic.oup.com","title":"Proximate Causes and Underlying Driving Forces of Tropical DeforestationTropical forests are disappearing as the result of many pressures, both local and regional, acting in various combinations in different geographical locations","volume":"52","author":[{"family":"Geist","given":"Helmut J."},{"family":"Lambin","given":"Eric F."}],"issued":{"date-parts":[["2002",2,1]]}}},{"id":2941,"uris":["http://zotero.org/users/2170232/items/PAZIGWER"],"uri":["http://zotero.org/users/2170232/items/PAZIGWER"],"itemData":{"id":2941,"type":"article-journal","container-title":"The International Forestry Review","ISSN":"1465-5489","issue":"1","note":"publisher: Commonwealth Forestry Association","page":"64-67","source":"JSTOR","title":"Is poverty the cause of tropical deforestation?","volume":"5","author":[{"family":"Geist","given":"H."},{"family":"Lambin","given":"E."}],"issued":{"date-parts":[["2003"]]}}},{"id":2103,"uris":["http://zotero.org/users/2170232/items/QKT7ZI6Q"],"uri":["http://zotero.org/users/2170232/items/QKT7ZI6Q"],"itemData":{"id":2103,"type":"article-journal","abstract":"Despite the local and global importance of forests, deforestation is driven by various socio-economic and biophysical factors continues in many countries. In Nepal, in response to massive deforestation, the community forestry program has been implemented to reduce deforestation and support livelihoods. After four decades of its inception, the effectiveness of this program on forest cover change remains mostly unknown. This study analyses the spatial and temporal patterns of tree cover change along with a few socio-economic drivers of tree cover change to examine the effectiveness of the community forestry program for conserving forests or in reducing deforestation. We also investigate the socio-economic factors and policy responses as manifested through the community forestry program responsible for the tree cover change at the district level. The total tree cover area in the year 2000 in Nepal was </w:instrText>
      </w:r>
      <w:r w:rsidR="00B91ACA">
        <w:rPr>
          <w:rFonts w:ascii="Cambria Math" w:hAnsi="Cambria Math" w:cs="Cambria Math"/>
        </w:rPr>
        <w:instrText>∼</w:instrText>
      </w:r>
      <w:r w:rsidR="00B91ACA">
        <w:instrText xml:space="preserve">4,746,000 hectares, and our analysis reveals that between 2001 and 2016, Nepal has lost </w:instrText>
      </w:r>
      <w:r w:rsidR="00B91ACA">
        <w:rPr>
          <w:rFonts w:ascii="Cambria Math" w:hAnsi="Cambria Math" w:cs="Cambria Math"/>
        </w:rPr>
        <w:instrText>∼</w:instrText>
      </w:r>
      <w:r w:rsidR="00B91ACA">
        <w:instrText xml:space="preserve">46,000 ha and gained </w:instrText>
      </w:r>
      <w:r w:rsidR="00B91ACA">
        <w:rPr>
          <w:rFonts w:ascii="Cambria Math" w:hAnsi="Cambria Math" w:cs="Cambria Math"/>
        </w:rPr>
        <w:instrText>∼</w:instrText>
      </w:r>
      <w:r w:rsidR="00B91ACA">
        <w:instrText xml:space="preserve">12,200 ha of areas covered by trees with a substantial spatial and temporal variations. After accounting socio-economic drivers of forest cover change, our analysis showed that districts with the larger number of community forests had a minimum loss in tree cover, while districts with the higher proportion of vegetation covered by community forests had a maximum gain in tree cover. This indicates a positive contribution of the community forestry program to reducing deforestation and increasing tree cover.","container-title":"PeerJ","DOI":"10.7717/peerj.4855","ISSN":"2167-8359","journalAbbreviation":"PeerJ","language":"en","page":"e4855","source":"peerj.com","title":"Socio-economic factors and management regimes as drivers of tree cover change in Nepal","volume":"6","author":[{"family":"Shrestha","given":"Sujata"},{"family":"Shrestha","given":"Uttam B."},{"family":"Bawa","given":"Kamal"}],"issued":{"date-parts":[["2018",5,29]]}}},{"id":2021,"uris":["http://zotero.org/users/2170232/items/ABVWHT2J"],"uri":["http://zotero.org/users/2170232/items/ABVWHT2J"],"itemData":{"id":2021,"type":"article-journal","abstract":"South and Southeast Asia (SSEA) has been a hotspot for land use and land cover change (LULCC) in the past few decades. The identification and quantification of the drivers of LULCC are crucial for improving our understanding of LULCC trends. So far, the biophysical and socioeconomic drivers of forest change have not been quantified at the regional scale, particularly for SSEA. In this study, we quantify the biophysical and socioeconomic drivers of forest change on a country-by-country basis in SSEA using an integrated quantitative methodology, which systematically accounts for previously published driver information and regional datasets. We synthesize more than 200 publications to identify the drivers of the forest change at different spatial scales in SSEA. Subsequently, we collect spatially explicit proxy data to represent the identified drivers. We quantify the dynamics of forest and agricultural land from 1992 to 2015 using the Climate Change Initiative (CCI) land cover data developed by the European Space Agency (ESA). A geographically weighted regression method is employed to quantify the spatially heterogeneous drivers of forest change. Our results show that socioeconomic drivers are more important than biophysical drivers for the conversion of forest to agricultural land in South Asia and maritime Southeast Asia. In contrast, biophysical drivers are more important than socioeconomic drivers for the conversion of agricultural land to forest in maritime Southeast Asia and less important in South Asia. Both biophysical and socioeconomic drivers contribute approximately equally to both changes in the mainland Southeast Asia region. By quantifying the dynamics of forest and agricultural land and the spatially explicit drivers of their changes in SSEA, this study provides a solid foundation for LULCC modeling and projection.","container-title":"Global Change Biology","DOI":"10.1111/gcb.14611","ISSN":"1365-2486","issue":"6","language":"en","page":"2137-2151","source":"Wiley Online Library","title":"Quantifying the biophysical and socioeconomic drivers of changes in forest and agricultural land in South and Southeast Asia","volume":"25","author":[{"family":"Xu","given":"Xiaoming"},{"family":"Jain","given":"Atul K."},{"family":"Calvin","given":"Katherine V."}],"issued":{"date-parts":[["2019"]]}}},{"id":2007,"uris":["http://zotero.org/users/2170232/items/SMNGBI44"],"uri":["http://zotero.org/users/2170232/items/SMNGBI44"],"itemData":{"id":2007,"type":"article-journal","abstract":"Located at the foothills of the Himalayan Mountains, subtropical and moist temperate forests of Pakistan are very rich in flora and fauna. However, due to increased illegal and uncontrolled harvesting of wood, agricultural activities, and urbanization, these forests are fast disappearing. The recent expansion of human activities resulting illegal and uncontrolled harvesting, agricultural activities, and urbanization is a cause for concern. Using Landsat imagery, Markov Chain and Cellular Automata, this study focused on the quantitative assessment of spatiotemporal land use and land cover changes during 1998, 2008, 2018 and a simulation of 2028. In addition, a forest inventory survey of biomass and carbon sink were respectively calculated for these subtropical broad-leaved evergreen, subtropical chirpine and moist temperate forests. Results showed biomass was 560.56 ± 104.33 Mg ha−1, 350.95 ± 104.33 Mg ha−1 and 153.63 ± 104.33 Mg ha−1 in moist temperate, subtropical chirpine and subtropical broad-leaved forests respectively. Meanwhile, carbon was 313.94 ± 44.78 Mg C ha−1, 221.34 ± 44.78 Mg C ha−1 and 131.77 ± 44.78 Mg C ha−1 in moist temperate, subtropical chirpine and subtropical broad-leaved forests respectively. During the study period, land-use and land cover changes showed forest land changed from 40936.77 ha to 36709.23 ha, agricultural land from 4220.46 to 10374.64 ha, and built-up area from 1497.60 to 5395.12 ha. The average annual biomass and carbon loss were respectively 50.34 Gg ha−1yr−1 and 31.33 Gg C ha−1 yr−1. The information derived from this study could assist in the development of appropriate sustainable forest management policies in Pakistan.","container-title":"Global Ecology and Conservation","DOI":"10.1016/j.gecco.2019.e00535","ISSN":"2351-9894","journalAbbreviation":"Global Ecology and Conservation","page":"e00535","source":"ScienceDirect","title":"Application of land-use/land cover changes in monitoring and projecting forest biomass carbon loss in Pakistan","volume":"17","author":[{"family":"Mannan","given":"Abdul"},{"family":"Liu","given":"Jincheng"},{"family":"Zhongke","given":"Feng"},{"family":"Khan","given":"Tauheed Ullah"},{"family":"Saeed","given":"Sajjad"},{"family":"Mukete","given":"Beckline"},{"family":"ChaoYong","given":"Shen"},{"family":"Yongxiang","given":"Fan"},{"family":"Ahmad","given":"Adnan"},{"family":"Amir","given":"Muhammad"},{"family":"Ahmad","given":"Shahid"},{"family":"Shah","given":"Sher"}],"issued":{"date-parts":[["2019",1,1]]}}}],"schema":"https://github.com/citation-style-language/schema/raw/master/csl-citation.json"} </w:instrText>
      </w:r>
      <w:r w:rsidR="004B2379">
        <w:fldChar w:fldCharType="separate"/>
      </w:r>
      <w:r w:rsidR="00B91ACA" w:rsidRPr="00B91ACA">
        <w:rPr>
          <w:rFonts w:ascii="Calibri" w:hAnsi="Calibri" w:cs="Calibri"/>
        </w:rPr>
        <w:t>(Geist &amp; Lambin 2002, 2003; Shrestha et al. 2018; Xu et al. 2019; Mannan et al. 2019)</w:t>
      </w:r>
      <w:r w:rsidR="004B2379">
        <w:fldChar w:fldCharType="end"/>
      </w:r>
      <w:r w:rsidR="00B91ACA">
        <w:t xml:space="preserve">. This complexity means that underlying drivers operating at national, regional, or even global scales manifest themselves in a variety of proximate causes, which themselves are governed and shaped by local conditions </w:t>
      </w:r>
      <w:r w:rsidR="00B91ACA">
        <w:fldChar w:fldCharType="begin"/>
      </w:r>
      <w:r w:rsidR="00C769D9">
        <w:instrText xml:space="preserve"> ADDIN ZOTERO_ITEM CSL_CITATION {"citationID":"d38DZeYY","properties":{"formattedCitation":"(Geist &amp; Lambin 2002; Fox &amp; Vogler 2005; Van Den Hoek et al. 2014)","plainCitation":"(Geist &amp; Lambin 2002; Fox &amp; Vogler 2005; Van Den Hoek et al. 2014)","noteIndex":0},"citationItems":[{"id":1947,"uris":["http://zotero.org/users/2170232/items/HNTSNFG3"],"uri":["http://zotero.org/users/2170232/items/HNTSNFG3"],"itemData":{"id":1947,"type":"article-journal","abstract":"One of the primary causes of global environmental change is tropical deforestation, but the question of what factors drive deforestation remains largely unanswe","container-title":"BioScience","DOI":"10.1641/0006-3568(2002)052[0143:PCAUDF]2.0.CO;2","ISSN":"0006-3568","issue":"2","journalAbbreviation":"BioScience","language":"en","page":"143-150","source":"academic.oup.com","title":"Proximate Causes and Underlying Driving Forces of Tropical DeforestationTropical forests are disappearing as the result of many pressures, both local and regional, acting in various combinations in different geographical locations","volume":"52","author":[{"family":"Geist","given":"Helmut J."},{"family":"Lambin","given":"Eric F."}],"issued":{"date-parts":[["2002",2,1]]}}},{"id":1674,"uris":["http://zotero.org/users/2170232/items/J5LKSCXA"],"uri":["http://zotero.org/users/2170232/items/J5LKSCXA"],"itemData":{"id":1674,"type":"article-journal","abstract":"This paper summarizes land-cover and land-use change at eight sites in Thailand, Yunnan (China), Vietnam, Cambodia, and Laos over the last 50 years. Project methodology included incorporating information collected from a combination of semiformal, key informant, and formal household interviews with the development of spatial databases based on aerial photographs, satellite images, topographic maps, and GPS data. Results suggest that land use (e.g. swidden cultivation) and land cover (e.g. secondary vegetation) have remained stable and the minor amount of land-use change that has occurred has been a change from swidden to monocultural cash crops. Results suggest that two forces will increasingly determine land-use systems in this region. First, national land tenure policies—the nationalization of forest lands and efforts to increase control over upland resources by central governments—will provide a push factor making it increasingly difficult for farmers to maintain their traditional swidden land-use practices. Second, market pressures—the commercialization of subsistence resources and the substitution of commercial crops for subsistence crops—will provide a pull factor encouraging farmers to engage in new and different forms of commercial agriculture. These results appear to be robust as they come from eight studies conducted over the last decade. But important questions remain in terms of what research protocols are needed, if any, when linking social science data with remotely sensed data for understanding human-environment interactions.","container-title":"Environmental Management","DOI":"10.1007/s00267-003-0288-7","ISSN":"0364-152X, 1432-1009","issue":"3","journalAbbreviation":"Environmental Management","language":"en","page":"394-403","source":"link.springer.com","title":"Land-Use and Land-Cover Change in Montane Mainland Southeast Asia","volume":"36","author":[{"family":"Fox","given":"Jefferson"},{"family":"Vogler","given":"John B."}],"issued":{"date-parts":[["2005",9,1]]}}},{"id":2944,"uris":["http://zotero.org/users/2170232/items/2KHAFC44"],"uri":["http://zotero.org/users/2170232/items/2KHAFC44"],"itemData":{"id":2944,"type":"article-journal","abstract":"China's Natural Forest Protection Program (NFPP) and Sloping Land Conversion Program (SLCP), introduced in 1998 and 1999, respectively, are integral parts of the world's largest reforestation effort. State-reported forest cover data indicate effective policy implementation through net forest cover expansion but overlook the scale-dependence of and spatial variation in forest cover change patterns and also lack reliable data on small-scale and illegal logging. As a result, there is considerable uncertainty over the spatial distribution of forest cover change and ultimately the policies' effectiveness at increasing forest cover. This research uses Landsat Thematic Mapper imagery-derived multitemporal Tasseled Cap variables and a decision tree classifier to map short- and long-term forest cover change across three administrative levels in the priority conservation area of Diqing Tibetan Autonomous Prefecture in Yunnan Province. Results indicate a 73% reduction in the rate of forest cover loss and a more than doubled rate of forest cover gain from 1990–1999 to 1999–2009 across the prefecture, both of which support a positive assessment of policy implementation. However, prefectural results are countered by spatially disparate forest cover gain and loss trends at the county- and township-level in the decade following the policies' introductions. Further, more than half of Diqing's townships, mainly those in the prefecture's south where tourism has been rapidly developing, saw continued net forest cover loss attributable to small-scale timber harvesting for tourism-driven construction. This research thus exposes cross-scale spatially disparate forest cover change indicative of highly differentiated policy implementation effectiveness, and shows the pattern by which regional development has redirected, rather than reduced, forest cover loss, contrary to the goals of the NFPP and SLCP.","container-title":"Applied Geography","DOI":"10.1016/j.apgeog.2013.12.010","ISSN":"0143-6228","journalAbbreviation":"Applied Geography","language":"en","page":"177-189","source":"ScienceDirect","title":"Evaluating forest policy implementation effectiveness with a cross-scale remote sensing analysis in a priority conservation area of Southwest China","volume":"47","author":[{"family":"Van Den Hoek","given":"Jamon"},{"family":"Ozdogan","given":"Mutlu"},{"family":"Burnicki","given":"Amy"},{"family":"Zhu","given":"A-Xing"}],"issued":{"date-parts":[["2014",2,1]]}}}],"schema":"https://github.com/citation-style-language/schema/raw/master/csl-citation.json"} </w:instrText>
      </w:r>
      <w:r w:rsidR="00B91ACA">
        <w:fldChar w:fldCharType="separate"/>
      </w:r>
      <w:r w:rsidR="00C769D9" w:rsidRPr="00C769D9">
        <w:rPr>
          <w:rFonts w:ascii="Calibri" w:hAnsi="Calibri" w:cs="Calibri"/>
        </w:rPr>
        <w:t>(Geist &amp; Lambin 2002; Fox &amp; Vogler 2005; Van Den Hoek et al. 2014)</w:t>
      </w:r>
      <w:r w:rsidR="00B91ACA">
        <w:fldChar w:fldCharType="end"/>
      </w:r>
      <w:r w:rsidR="00C769D9">
        <w:t>. The dynamics between drivers at different scales makes disentangling the causes of deforestation highly contextual</w:t>
      </w:r>
      <w:r w:rsidR="00524C0E">
        <w:t xml:space="preserve">, increasing the value of local studies. Local socioeconomic conditions </w:t>
      </w:r>
      <w:r w:rsidR="007723BD">
        <w:t>are</w:t>
      </w:r>
      <w:r w:rsidR="00524C0E">
        <w:t xml:space="preserve"> important</w:t>
      </w:r>
      <w:r w:rsidR="007723BD">
        <w:t xml:space="preserve"> factors</w:t>
      </w:r>
      <w:r w:rsidR="00524C0E">
        <w:t xml:space="preserve"> in understanding the link between broader drivers </w:t>
      </w:r>
      <w:r w:rsidR="007723BD">
        <w:t>of land use change</w:t>
      </w:r>
      <w:r w:rsidR="00890C61">
        <w:t xml:space="preserve"> (LUC)</w:t>
      </w:r>
      <w:r w:rsidR="007723BD">
        <w:t xml:space="preserve"> and deforestation, and can be effective predictors of forest loss </w:t>
      </w:r>
      <w:r w:rsidR="007723BD">
        <w:fldChar w:fldCharType="begin"/>
      </w:r>
      <w:r w:rsidR="00BA0606">
        <w:instrText xml:space="preserve"> ADDIN ZOTERO_ITEM CSL_CITATION {"citationID":"WpIIj9BZ","properties":{"formattedCitation":"(Redo et al. 2012; Liu et al. 2016; Bonilla-Bedoya et al. 2018)","plainCitation":"(Redo et al. 2012; Liu et al. 2016; Bonilla-Bedoya et al. 2018)","noteIndex":0},"citationItems":[{"id":2946,"uris":["http://zotero.org/users/2170232/items/IVIAVP7Y"],"uri":["http://zotero.org/users/2170232/items/IVIAVP7Y"],"itemData":{"id":2946,"type":"article-journal","abstract":"Forest transitions (FT) have been observed in many developed countries and more recently in the developing world. However, our knowledge of FT from tropical regions is mostly derived from case studies from within a particular country, making it difficult to generalize findings across larger regions. Here we overcome these difficulties by conducting a recent (2001–2010) satellite-based analysis of trends in forest cover across Central America, stratified by biomes, which we related to socioeconomic variables associated with human development. Results show a net decrease of woody vegetation resulting from 12,201 km2 of deforestation of moist forests and 6,825 km2 of regrowth of conifer and dry forests. The Human Development Index was the socioeconomic variable best associated with forest cover change. The least-developed countries, Nicaragua and Guatemala, experienced both rapid deforestation of moist forests and significant recovery of conifer and dry forests. In contrast, the most developed countries, Panama and Costa Rica, had net woody vegetation gain and a more stable forest cover configuration. These results imply a good agreement with FT predictions of forest change in relation to socioeconomic development, but strong asymmetry in rates and directions of change largely dependent upon the biome where change is occurring. The FT model should be refined by incorporating ecological and socioeconomic heterogeneity, particularly in multicountry and regional studies. These asymmetric patterns of forest change should be evaluated when developing strategies for conserving biodiversity and environmental services.","container-title":"Proceedings of the National Academy of Sciences","DOI":"10.1073/pnas.1201664109","ISSN":"0027-8424, 1091-6490","issue":"23","journalAbbreviation":"PNAS","language":"en","note":"publisher: National Academy of Sciences\nsection: Physical Sciences\nPMID: 22615408","page":"8839-8844","source":"www.pnas.org","title":"Asymmetric forest transition driven by the interaction of socioeconomic development and environmental heterogeneity in Central America","volume":"109","author":[{"family":"Redo","given":"Daniel J."},{"family":"Grau","given":"H. Ricardo"},{"family":"Aide","given":"T. Mitchell"},{"family":"Clark","given":"Matthew L."}],"issued":{"date-parts":[["2012",6,5]]}}},{"id":2952,"uris":["http://zotero.org/users/2170232/items/6LIR9TKR"],"uri":["http://zotero.org/users/2170232/items/6LIR9TKR"],"itemData":{"id":2952,"type":"article-journal","abstract":"Forest loss and fragmentation, which generate various negative environmental and ecological consequences, have become widespread phenomena across the globe. Motivation to investigate the underlying drivers is essential for land use planning and policy decision making. This paper characterizes forest loss and fragmentation from 1979 to 2014 in the Ningbo region (China) using multitemporal satellite imageries and a set of landscape metrics (area-weighted mean patch area, edge density, area-weighted shape index, Euclidean nearest neighbor distance, effective mesh size and total area); and then quantifies the responsible socioeconomic drivers (economy, social activities, science and technology, culture and policy, demography) under different land use planning schemes (urban and non-urban) using multivariate linear regression. Results show that the two zones present identical trend of intensifying forest loss and fragmentation but differ in changing magnitude and speed. More specifically, forest loss and fragmentation in the non-urban planning zone occurs at a significantly higher pace and magnitude. For the urban planning zone, population pressure, economic growth and fruit consumption are the primary drivers of forest loss, while forest fragmentation is mainly driven by economic openness, cash crop consumption and environmental protection consciousness. For the non-urban planning zone, income increases, fruit consumption and infrastructure development are the primary drivers of forest loss, while infrastructure and tourism development are the major drivers of forest fragmentation. Besides, forest loss and fragmentation in the two zones are both heavily subjected to land use policy. The variance partitioning analysis highlights that the policy driver is the most influential one and economic driver also has strong effect on forest loss and fragmentation in the urban planning zone. For the non-urban planning zone, the influence of policy driver is the strongest and social activity is also very powerful. These results provide compelling evidence that land use planning fails to play an efficient role in protecting forest resources in the Ningbo region. The failure should be attributed to several issues associated with land use planning and forestry governance that widely exist in China. We finally propose some pertinent implications and suggestions for China’s land use planning and forest policy. This study is believed to advance the understanding of the socioeconomic drivers of forest loss and fragmentation. It therefore provides some new insights in land use policy.","container-title":"Land Use Policy","DOI":"10.1016/j.landusepol.2016.01.016","ISSN":"0264-8377","journalAbbreviation":"Land Use Policy","language":"en","page":"58-68","source":"ScienceDirect","title":"Socioeconomic drivers of forest loss and fragmentation: A comparison between different land use planning schemes and policy implications","title-short":"Socioeconomic drivers of forest loss and fragmentation","volume":"54","author":[{"family":"Liu","given":"Yaolin"},{"family":"Feng","given":"Yuhao"},{"family":"Zhao","given":"Zhe"},{"family":"Zhang","given":"Qianwen"},{"family":"Su","given":"Shiliang"}],"issued":{"date-parts":[["2016",7,1]]}}},{"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007723BD">
        <w:fldChar w:fldCharType="separate"/>
      </w:r>
      <w:r w:rsidR="00BA0606" w:rsidRPr="00BA0606">
        <w:rPr>
          <w:rFonts w:ascii="Calibri" w:hAnsi="Calibri" w:cs="Calibri"/>
        </w:rPr>
        <w:t>(Redo et al. 2012; Liu et al. 2016; Bonilla-Bedoya et al. 2018)</w:t>
      </w:r>
      <w:r w:rsidR="007723BD">
        <w:fldChar w:fldCharType="end"/>
      </w:r>
      <w:r w:rsidR="007723BD">
        <w:t>.</w:t>
      </w:r>
      <w:r w:rsidR="00524C0E">
        <w:t xml:space="preserve"> </w:t>
      </w:r>
      <w:r w:rsidR="0005444F">
        <w:t xml:space="preserve">Proximate causes of deforestation such as agricultural expansion and infrastructure development are often closely linked via feedback loops and dependencies to socioeconomic conditions including poverty, migration, local economies, and land and wealth inequality </w:t>
      </w:r>
      <w:r w:rsidR="0005444F">
        <w:fldChar w:fldCharType="begin"/>
      </w:r>
      <w:r w:rsidR="0005444F">
        <w:instrText xml:space="preserve"> ADDIN ZOTERO_ITEM CSL_CITATION {"citationID":"p7dz9ICJ","properties":{"formattedCitation":"(Geist &amp; Lambin 2002; Khuc et al. 2018)","plainCitation":"(Geist &amp; Lambin 2002; Khuc et al. 2018)","noteIndex":0},"citationItems":[{"id":1947,"uris":["http://zotero.org/users/2170232/items/HNTSNFG3"],"uri":["http://zotero.org/users/2170232/items/HNTSNFG3"],"itemData":{"id":1947,"type":"article-journal","abstract":"One of the primary causes of global environmental change is tropical deforestation, but the question of what factors drive deforestation remains largely unanswe","container-title":"BioScience","DOI":"10.1641/0006-3568(2002)052[0143:PCAUDF]2.0.CO;2","ISSN":"0006-3568","issue":"2","journalAbbreviation":"BioScience","language":"en","page":"143-150","source":"academic.oup.com","title":"Proximate Causes and Underlying Driving Forces of Tropical DeforestationTropical forests are disappearing as the result of many pressures, both local and regional, acting in various combinations in different geographical locations","volume":"52","author":[{"family":"Geist","given":"Helmut J."},{"family":"Lambin","given":"Eric F."}],"issued":{"date-parts":[["2002",2,1]]}}},{"id":2118,"uris":["http://zotero.org/users/2170232/items/W2T66ULU"],"uri":["http://zotero.org/users/2170232/items/W2T66ULU"],"itemData":{"id":2118,"type":"article-journal","abstract":"Climate change is a pressing global issue and it negatively affects many developing countries, including Vietnam. To help Vietnam effectively respond to this pressing challenge, the country has recently introduced a major program for reducing carbon emissions arising from deforestation and forest degradation, fostering conservation, managing forests sustainably, and enhancing forest carbon stocks (REDD+). Current policies in Vietnam provide a sound platform for the development of REDD+, and REDD+ can potentially greatly contribute to the reduction of deforestation and forest degradation. However, these policies and the REDD+ program are hindered by limited understanding of the extent of deforestation and forest degradation and their underlying causes. This study employed geographic information system (GIS) tools, a structural regression model (structural model), and a regression tree method to quantify the extent as well as the approximate causes of deforestation and forest degradation in Vietnam. Results show that around 1.77 and 0.65 million ha of forests were lost and degraded, respectively, between 2000 and 2010. Deforestation and forest degradation were most notable in the north central, northeast, central highland, and northwest areas of the nation. There were several underlying indicators of deforestation and forest degradation including initial forest cover, per capita income, agricultural production, governance, population growth, food, and poverty. Our results illustrate several important policy implications for forest restoration and the REDD+ program in Vietnam: Vietnam should focus most strongly on reducing poverty, preserving existing forests, improving provincial-level governance, and controlling population growth.","container-title":"Forest Policy and Economics","DOI":"10.1016/j.forpol.2018.02.004","ISSN":"1389-9341","journalAbbreviation":"Forest Policy and Economics","language":"en","page":"128-141","source":"ScienceDirect","title":"Drivers of deforestation and forest degradation in Vietnam: An exploratory analysis at the national level","title-short":"Drivers of deforestation and forest degradation in Vietnam","volume":"90","author":[{"family":"Khuc","given":"Quy Van"},{"family":"Tran","given":"Bao Quang"},{"family":"Meyfroidt","given":"Patrick"},{"family":"Paschke","given":"Mark W."}],"issued":{"date-parts":[["2018",5,1]]}}}],"schema":"https://github.com/citation-style-language/schema/raw/master/csl-citation.json"} </w:instrText>
      </w:r>
      <w:r w:rsidR="0005444F">
        <w:fldChar w:fldCharType="separate"/>
      </w:r>
      <w:r w:rsidR="0005444F" w:rsidRPr="0005444F">
        <w:rPr>
          <w:rFonts w:ascii="Calibri" w:hAnsi="Calibri" w:cs="Calibri"/>
        </w:rPr>
        <w:t xml:space="preserve">(Geist &amp; </w:t>
      </w:r>
      <w:proofErr w:type="spellStart"/>
      <w:r w:rsidR="0005444F" w:rsidRPr="0005444F">
        <w:rPr>
          <w:rFonts w:ascii="Calibri" w:hAnsi="Calibri" w:cs="Calibri"/>
        </w:rPr>
        <w:t>Lambin</w:t>
      </w:r>
      <w:proofErr w:type="spellEnd"/>
      <w:r w:rsidR="0005444F" w:rsidRPr="0005444F">
        <w:rPr>
          <w:rFonts w:ascii="Calibri" w:hAnsi="Calibri" w:cs="Calibri"/>
        </w:rPr>
        <w:t xml:space="preserve"> 2002; </w:t>
      </w:r>
      <w:proofErr w:type="spellStart"/>
      <w:r w:rsidR="0005444F" w:rsidRPr="0005444F">
        <w:rPr>
          <w:rFonts w:ascii="Calibri" w:hAnsi="Calibri" w:cs="Calibri"/>
        </w:rPr>
        <w:t>Khuc</w:t>
      </w:r>
      <w:proofErr w:type="spellEnd"/>
      <w:r w:rsidR="0005444F" w:rsidRPr="0005444F">
        <w:rPr>
          <w:rFonts w:ascii="Calibri" w:hAnsi="Calibri" w:cs="Calibri"/>
        </w:rPr>
        <w:t xml:space="preserve"> et al. 2018)</w:t>
      </w:r>
      <w:r w:rsidR="0005444F">
        <w:fldChar w:fldCharType="end"/>
      </w:r>
      <w:r w:rsidR="005F24FA">
        <w:t xml:space="preserve">. Therefore, understanding </w:t>
      </w:r>
      <w:r w:rsidR="006F0007">
        <w:t>the link between</w:t>
      </w:r>
      <w:r w:rsidR="005F24FA">
        <w:t xml:space="preserve"> socioeconomics </w:t>
      </w:r>
      <w:r w:rsidR="006F0007">
        <w:t>and</w:t>
      </w:r>
      <w:r w:rsidR="005F24FA">
        <w:t xml:space="preserve"> forest cover at different scales is a crucial step in the development of effective economic and environmental policies that have positive effects on both people and forests. </w:t>
      </w:r>
    </w:p>
    <w:p w14:paraId="7CF7A200" w14:textId="4DFE3C8F" w:rsidR="00E62493" w:rsidRDefault="00890C61">
      <w:r>
        <w:t xml:space="preserve">Socioeconomics can encompass a huge variety of conditions that describe the social, demographic, and economic state of local people, and can affect which drivers of LUC are most influential in causing forest loss </w:t>
      </w:r>
      <w:r>
        <w:fldChar w:fldCharType="begin"/>
      </w:r>
      <w:r>
        <w:instrText xml:space="preserve"> ADDIN ZOTERO_ITEM CSL_CITATION {"citationID":"IbVJMlPr","properties":{"formattedCitation":"(Mena et al. 2006)","plainCitation":"(Mena et al. 2006)","noteIndex":0},"citationItems":[{"id":2260,"uris":["http://zotero.org/users/2170232/items/BTIITC3E"],"uri":["http://zotero.org/users/2170232/items/BTIITC3E"],"itemData":{"id":2260,"type":"article-journal","abstract":"Investigations of land use/land cover (LULC) change and forest management are limited by a lack of understanding of how socioeconomic factors affect land use. This lack also constrains the predictions of future deforestation, which is especially important in the Amazon basin, where large tracts of natural forest are being converted to managed uses. Research presented in this article was conducted to address this lack of understanding. Its objectives are (a) to quantify deforestation in the Northern Ecuadorian Amazon (NEA) during the periods 1986–1996 and 1996–2002; and (b) to determine the significance and magnitude of the effects of socioeconomic factors on deforestation rates at both the parroquia (parish) and finca (farm) levels. Annual deforestation rates were quantified via satellite image processing and geographic information systems. Linear spatial lag regression analyses were then used to explore relationships between socioeconomic factors and deforestation. Socioeconomic factors were obtained, at the finca level, from a detailed household survey carried out in 1990 and 1999, and at the parroquia level from data in the 1990 and 2001 Ecuadorian censuses of population. We found that the average annual deforestation rate was 2.5% and 1.8%/year for 1986–1996 and 1996–2002, respectively. At the parroquia level, variables representing demographic factors (i.e., population density) and accessibility factors (i.e., road density), among others, were found to be significantly related to deforestation. At the farm level, the factors related to deforestation were household size, distance by road to main cities, education, and hired labor. The findings of this research demonstrate both the severity of deforestation in the Northern Ecuadorian Amazon and the array of factors affecting deforestation in the tropics.","container-title":"Environmental Management","DOI":"10.1007/s00267-003-0230-z","ISSN":"1432-1009","issue":"6","journalAbbreviation":"Environmental Management","language":"en","page":"802-815","source":"Springer Link","title":"Socioeconomic Drivers of Deforestation in the Northern Ecuadorian Amazon","volume":"37","author":[{"family":"Mena","given":"Carlos F."},{"family":"Bilsborrow","given":"Richard E."},{"family":"McClain","given":"Michael E."}],"issued":{"date-parts":[["2006",6,1]]}}}],"schema":"https://github.com/citation-style-language/schema/raw/master/csl-citation.json"} </w:instrText>
      </w:r>
      <w:r>
        <w:fldChar w:fldCharType="separate"/>
      </w:r>
      <w:r w:rsidRPr="00890C61">
        <w:rPr>
          <w:rFonts w:ascii="Calibri" w:hAnsi="Calibri" w:cs="Calibri"/>
        </w:rPr>
        <w:t>(Mena et al. 2006)</w:t>
      </w:r>
      <w:r>
        <w:fldChar w:fldCharType="end"/>
      </w:r>
      <w:r>
        <w:t xml:space="preserve">. </w:t>
      </w:r>
      <w:r w:rsidR="00451A01">
        <w:t>The complexity of social-ecological systems means that it is challenging for researchers to identify and model all the correct and appropriate socioeconomic predictors of forest loss, but there is a wealth of research that has helped to untangle certain relationships in specific locations and</w:t>
      </w:r>
      <w:r w:rsidR="003B4CB2">
        <w:t xml:space="preserve"> at specific</w:t>
      </w:r>
      <w:r w:rsidR="00451A01">
        <w:t xml:space="preserve"> scales.</w:t>
      </w:r>
      <w:r w:rsidR="009107F5">
        <w:t xml:space="preserve"> At the local scale, socioeconomic drivers and economics that affect decision-making processes within households, </w:t>
      </w:r>
      <w:r w:rsidR="00E7333A">
        <w:t>coupled with</w:t>
      </w:r>
      <w:r w:rsidR="009107F5">
        <w:t xml:space="preserve"> institutional factors</w:t>
      </w:r>
      <w:r w:rsidR="00E7333A">
        <w:t>,</w:t>
      </w:r>
      <w:r w:rsidR="009107F5">
        <w:t xml:space="preserve"> are often the most relevant for influencing LUC </w:t>
      </w:r>
      <w:r w:rsidR="00E7333A">
        <w:fldChar w:fldCharType="begin"/>
      </w:r>
      <w:r w:rsidR="00E7333A">
        <w:instrText xml:space="preserve"> ADDIN ZOTERO_ITEM CSL_CITATION {"citationID":"nfREo3kL","properties":{"formattedCitation":"(Van Den Hoek et al. 2014; Gatto et al. 2015)","plainCitation":"(Van Den Hoek et al. 2014; Gatto et al. 2015)","noteIndex":0},"citationItems":[{"id":2944,"uris":["http://zotero.org/users/2170232/items/2KHAFC44"],"uri":["http://zotero.org/users/2170232/items/2KHAFC44"],"itemData":{"id":2944,"type":"article-journal","abstract":"China's Natural Forest Protection Program (NFPP) and Sloping Land Conversion Program (SLCP), introduced in 1998 and 1999, respectively, are integral parts of the world's largest reforestation effort. State-reported forest cover data indicate effective policy implementation through net forest cover expansion but overlook the scale-dependence of and spatial variation in forest cover change patterns and also lack reliable data on small-scale and illegal logging. As a result, there is considerable uncertainty over the spatial distribution of forest cover change and ultimately the policies' effectiveness at increasing forest cover. This research uses Landsat Thematic Mapper imagery-derived multitemporal Tasseled Cap variables and a decision tree classifier to map short- and long-term forest cover change across three administrative levels in the priority conservation area of Diqing Tibetan Autonomous Prefecture in Yunnan Province. Results indicate a 73% reduction in the rate of forest cover loss and a more than doubled rate of forest cover gain from 1990–1999 to 1999–2009 across the prefecture, both of which support a positive assessment of policy implementation. However, prefectural results are countered by spatially disparate forest cover gain and loss trends at the county- and township-level in the decade following the policies' introductions. Further, more than half of Diqing's townships, mainly those in the prefecture's south where tourism has been rapidly developing, saw continued net forest cover loss attributable to small-scale timber harvesting for tourism-driven construction. This research thus exposes cross-scale spatially disparate forest cover change indicative of highly differentiated policy implementation effectiveness, and shows the pattern by which regional development has redirected, rather than reduced, forest cover loss, contrary to the goals of the NFPP and SLCP.","container-title":"Applied Geography","DOI":"10.1016/j.apgeog.2013.12.010","ISSN":"0143-6228","journalAbbreviation":"Applied Geography","language":"en","page":"177-189","source":"ScienceDirect","title":"Evaluating forest policy implementation effectiveness with a cross-scale remote sensing analysis in a priority conservation area of Southwest China","volume":"47","author":[{"family":"Van Den Hoek","given":"Jamon"},{"family":"Ozdogan","given":"Mutlu"},{"family":"Burnicki","given":"Amy"},{"family":"Zhu","given":"A-Xing"}],"issued":{"date-parts":[["2014",2,1]]}}},{"id":1533,"uris":["http://zotero.org/users/2170232/items/FNSEJ3E4"],"uri":["http://zotero.org/users/2170232/items/FNSEJ3E4"],"itemData":{"id":1533,"type":"article-journal","abstract":"We investigate land-use dynamics in Jambi, Sumatra, one of the hotspots of Indonesia's recent oil palm boom. Data from a structured village survey are used to analyze the role of socioeconomic and policy factors. Oil palm is partly grown on large plantations, but smallholders are also involved to a significant extent. We find that, in spite of considerable oil palm expansion, rubber remains the dominant crop. Most of the oil palm growth takes place on previous fallow and rubber land. Oil palm has not been a major driver of deforestation. Much of the forest in Jambi was cleared more than 20 years ago, and rubber was an established cash crop long before the oil palm boom started. However, oil palm growth occurs in locations with ongoing logging activities, so indirect effects on deforestation are possible. The Indonesian government's transmigration program of the 1980s and 1990s was instrumental for the start and spread of oil palm in Jambi. Some autochthonous villages have adopted oil palm. But oil palm adoption in autochthonous villages started later and happens at a slower pace than in the villages of the transmigrants from Java.","container-title":"Land Use Policy","DOI":"10.1016/j.landusepol.2015.03.001","ISSN":"0264-8377","journalAbbreviation":"Land Use Policy","page":"292-303","source":"ScienceDirect","title":"Oil palm boom and land-use dynamics in Indonesia: The role of policies and socioeconomic factors","title-short":"Oil palm boom and land-use dynamics in Indonesia","volume":"46","author":[{"family":"Gatto","given":"Marcel"},{"family":"Wollni","given":"Meike"},{"family":"Qaim","given":"Matin"}],"issued":{"date-parts":[["2015",7,1]]}}}],"schema":"https://github.com/citation-style-language/schema/raw/master/csl-citation.json"} </w:instrText>
      </w:r>
      <w:r w:rsidR="00E7333A">
        <w:fldChar w:fldCharType="separate"/>
      </w:r>
      <w:r w:rsidR="00E7333A" w:rsidRPr="00E7333A">
        <w:rPr>
          <w:rFonts w:ascii="Calibri" w:hAnsi="Calibri" w:cs="Calibri"/>
        </w:rPr>
        <w:t xml:space="preserve">(Van Den Hoek et al. 2014; </w:t>
      </w:r>
      <w:proofErr w:type="spellStart"/>
      <w:r w:rsidR="00E7333A" w:rsidRPr="00E7333A">
        <w:rPr>
          <w:rFonts w:ascii="Calibri" w:hAnsi="Calibri" w:cs="Calibri"/>
        </w:rPr>
        <w:t>Gatto</w:t>
      </w:r>
      <w:proofErr w:type="spellEnd"/>
      <w:r w:rsidR="00E7333A" w:rsidRPr="00E7333A">
        <w:rPr>
          <w:rFonts w:ascii="Calibri" w:hAnsi="Calibri" w:cs="Calibri"/>
        </w:rPr>
        <w:t xml:space="preserve"> et al. 2015)</w:t>
      </w:r>
      <w:r w:rsidR="00E7333A">
        <w:fldChar w:fldCharType="end"/>
      </w:r>
      <w:r w:rsidR="00E7333A">
        <w:t>.</w:t>
      </w:r>
      <w:r>
        <w:t xml:space="preserve"> </w:t>
      </w:r>
      <w:r w:rsidR="00E7333A">
        <w:t xml:space="preserve">Poverty was once believed to be the single most important socioeconomic driver of deforestation </w:t>
      </w:r>
      <w:r w:rsidR="00E7333A">
        <w:fldChar w:fldCharType="begin"/>
      </w:r>
      <w:r w:rsidR="00E7333A">
        <w:instrText xml:space="preserve"> ADDIN ZOTERO_ITEM CSL_CITATION {"citationID":"gg1hLWw4","properties":{"formattedCitation":"(Lomborg 2001)","plainCitation":"(Lomborg 2001)","noteIndex":0},"citationItems":[{"id":2955,"uris":["http://zotero.org/users/2170232/items/68NLRKFV"],"uri":["http://zotero.org/users/2170232/items/68NLRKFV"],"itemData":{"id":2955,"type":"book","abstract":"Bjørn Lomborg, a former member of Greenpeace, challenges widely held beliefs that the world environmental situation is getting worse and worse in his new book, The Skeptical Environmentalist. Using statistical information from internationally recognized research institutes, Lomborg systematically examines a range of major environmental issues that feature prominently in headline news around the world, including pollution, biodiversity, fear of chemicals, and the greenhouse effect, and documents that the world has actually improved. He supports his arguments with over 2500 footnotes, allowing readers to check his sources. Lomborg criticizes the way many environmental organizations make selective and misleading use of scientific evidence and argues that we are making decisions about the use of our limited resources based on inaccurate or incomplete information. Concluding that there are more reasons for optimism than pessimism, he stresses the need for clear-headed prioritization of resources to tackle real, not imagined, problems. The Skeptical Environmentalist offers readers a non-partisan evaluation that serves as a useful corrective to the more alarmist accounts favored by campaign groups and the media. Bjørn Lomborg is an associate professor of statistics in the Department of Political Science at the University of Aarhus. When he started to investigate the statistics behind the current gloomy view of the environment, he was genuinely surprised. He published four lengthy articles in the leading Danish newspaper, including statistics documenting an ever-improving world, and unleashed the biggest post-war debate with more than 400 articles in all the major papers. Since then, Lomborg has been a frequent participant in the European debate on environmentalism on television, radio, and in newspapers.","ISBN":"978-0-521-01068-9","language":"en","note":"Google-Books-ID: JuLko8USApwC","number-of-pages":"546","publisher":"Cambridge University Press","source":"Google Books","title":"The Skeptical Environmentalist: Measuring the Real State of the World","title-short":"The Skeptical Environmentalist","author":[{"family":"Lomborg","given":"Bjørn"}],"issued":{"date-parts":[["2001"]]}}}],"schema":"https://github.com/citation-style-language/schema/raw/master/csl-citation.json"} </w:instrText>
      </w:r>
      <w:r w:rsidR="00E7333A">
        <w:fldChar w:fldCharType="separate"/>
      </w:r>
      <w:r w:rsidR="00E7333A" w:rsidRPr="00E7333A">
        <w:rPr>
          <w:rFonts w:ascii="Calibri" w:hAnsi="Calibri" w:cs="Calibri"/>
        </w:rPr>
        <w:t>(</w:t>
      </w:r>
      <w:r w:rsidR="004336C4">
        <w:rPr>
          <w:rFonts w:ascii="Calibri" w:hAnsi="Calibri" w:cs="Calibri"/>
        </w:rPr>
        <w:t xml:space="preserve">e.g., </w:t>
      </w:r>
      <w:r w:rsidR="00E7333A" w:rsidRPr="00E7333A">
        <w:rPr>
          <w:rFonts w:ascii="Calibri" w:hAnsi="Calibri" w:cs="Calibri"/>
        </w:rPr>
        <w:t>Lomborg 2001)</w:t>
      </w:r>
      <w:r w:rsidR="00E7333A">
        <w:fldChar w:fldCharType="end"/>
      </w:r>
      <w:r w:rsidR="00E7333A">
        <w:t xml:space="preserve">, although more recent research has added significant nuance to this argument </w:t>
      </w:r>
      <w:r w:rsidR="00E7333A">
        <w:fldChar w:fldCharType="begin"/>
      </w:r>
      <w:r w:rsidR="00E7333A">
        <w:instrText xml:space="preserve"> ADDIN ZOTERO_ITEM CSL_CITATION {"citationID":"CSfOEerN","properties":{"formattedCitation":"(Geist &amp; Lambin 2003)","plainCitation":"(Geist &amp; Lambin 2003)","noteIndex":0},"citationItems":[{"id":2941,"uris":["http://zotero.org/users/2170232/items/PAZIGWER"],"uri":["http://zotero.org/users/2170232/items/PAZIGWER"],"itemData":{"id":2941,"type":"article-journal","container-title":"The International Forestry Review","ISSN":"1465-5489","issue":"1","note":"publisher: Commonwealth Forestry Association","page":"64-67","source":"JSTOR","title":"Is poverty the cause of tropical deforestation?","volume":"5","author":[{"family":"Geist","given":"H."},{"family":"Lambin","given":"E."}],"issued":{"date-parts":[["2003"]]}}}],"schema":"https://github.com/citation-style-language/schema/raw/master/csl-citation.json"} </w:instrText>
      </w:r>
      <w:r w:rsidR="00E7333A">
        <w:fldChar w:fldCharType="separate"/>
      </w:r>
      <w:r w:rsidR="00E7333A" w:rsidRPr="00E7333A">
        <w:rPr>
          <w:rFonts w:ascii="Calibri" w:hAnsi="Calibri" w:cs="Calibri"/>
        </w:rPr>
        <w:t xml:space="preserve">(Geist &amp; </w:t>
      </w:r>
      <w:proofErr w:type="spellStart"/>
      <w:r w:rsidR="00E7333A" w:rsidRPr="00E7333A">
        <w:rPr>
          <w:rFonts w:ascii="Calibri" w:hAnsi="Calibri" w:cs="Calibri"/>
        </w:rPr>
        <w:t>Lambin</w:t>
      </w:r>
      <w:proofErr w:type="spellEnd"/>
      <w:r w:rsidR="00E7333A" w:rsidRPr="00E7333A">
        <w:rPr>
          <w:rFonts w:ascii="Calibri" w:hAnsi="Calibri" w:cs="Calibri"/>
        </w:rPr>
        <w:t xml:space="preserve"> 2003)</w:t>
      </w:r>
      <w:r w:rsidR="00E7333A">
        <w:fldChar w:fldCharType="end"/>
      </w:r>
      <w:r w:rsidR="00BA0606">
        <w:t xml:space="preserve">, while other studies have demonstrated that poverty played very little role at all in deforestation </w:t>
      </w:r>
      <w:r w:rsidR="00BA0606">
        <w:fldChar w:fldCharType="begin"/>
      </w:r>
      <w:r w:rsidR="00BA0606">
        <w:instrText xml:space="preserve"> ADDIN ZOTERO_ITEM CSL_CITATION {"citationID":"Qdphm673","properties":{"formattedCitation":"(Onojeghuo &amp; Blackburn 2011)","plainCitation":"(Onojeghuo &amp; Blackburn 2011)","noteIndex":0},"citationItems":[{"id":2656,"uris":["http://zotero.org/users/2170232/items/N3SKWT73"],"uri":["http://zotero.org/users/2170232/items/N3SKWT73"],"itemData":{"id":2656,"type":"article-journal","abstract":"The influence of human related actives such as oil and gas exploration, intensified logging of trees and over exploitation of forest resources for food, have negatively impacted the once flourishing and ecologically diverse forest system of the Niger Delta region in Nigeria. Relevant information on the transitional changes of forested landscapes in the delta is poor compared to other tropical forests such as the Brazilian and Columbian Amazonian forest where numerous research studies have been conducted. Consequently, this study aimed at investigating the spatial extent and rates of forest transition in the Niger Delta region taking into consideration the patterns, causes and implications of the landscape dynamics. The study determined the spatial extent and rates of forest transition in the study area using remotely sensed data from 1986 and 2007. The results indicated that the spatial extent of deforestation, unchanged forest cover and afforestation were 1.38, 2.39, and 1.15 million hectares, respectively, while the annual deforestation and afforestation rates were 0.95 and 0.75% which are high compared to other areas in the humid tropics. The annual rate of change in forest cover was determined as −0.13% indicating an overall reduction in the spatial extent of forest cover for the entire delta. Changes in the spatial structure of forests were investigated using landscape metrics and the results showed there was a substantial increase in forest fragmentation. The variations in population dynamics and poverty indicators between different states of the Niger Delta were unable to explain the observed patterns of forest change. Instead, the authors observed that the main determinants of forest dynamics were the variations in state forest management policies and the influence of the oil and gas industry on the economies of the states. High rates of afforestation were found in states that have limited oil resources and were more economically dependent on forest products, while states with high deforestation rates were found in the main oil-producing parts of the study site. Using the present trend of forest transition dynamics, a 20-year forward simulation was generated using the Markov algorithm. The results concerning forest transition in the study area point to the urgent need for appropriate environmental policy development and implementation for the Niger Delta region.","container-title":"Ecological Indicators","DOI":"10.1016/j.ecolind.2011.03.017","ISSN":"1470-160X","issue":"5","journalAbbreviation":"Ecological Indicators","language":"en","page":"1437-1446","source":"ScienceDirect","title":"Forest transition in an ecologically important region: Patterns and causes for landscape dynamics in the Niger Delta","title-short":"Forest transition in an ecologically important region","volume":"11","author":[{"family":"Onojeghuo","given":"Alex O."},{"family":"Blackburn","given":"G. Alan"}],"issued":{"date-parts":[["2011",9,1]]}}}],"schema":"https://github.com/citation-style-language/schema/raw/master/csl-citation.json"} </w:instrText>
      </w:r>
      <w:r w:rsidR="00BA0606">
        <w:fldChar w:fldCharType="separate"/>
      </w:r>
      <w:r w:rsidR="00BA0606" w:rsidRPr="00BA0606">
        <w:rPr>
          <w:rFonts w:ascii="Calibri" w:hAnsi="Calibri" w:cs="Calibri"/>
        </w:rPr>
        <w:t>(</w:t>
      </w:r>
      <w:proofErr w:type="spellStart"/>
      <w:r w:rsidR="00BA0606" w:rsidRPr="00BA0606">
        <w:rPr>
          <w:rFonts w:ascii="Calibri" w:hAnsi="Calibri" w:cs="Calibri"/>
        </w:rPr>
        <w:t>Onojeghuo</w:t>
      </w:r>
      <w:proofErr w:type="spellEnd"/>
      <w:r w:rsidR="00BA0606" w:rsidRPr="00BA0606">
        <w:rPr>
          <w:rFonts w:ascii="Calibri" w:hAnsi="Calibri" w:cs="Calibri"/>
        </w:rPr>
        <w:t xml:space="preserve"> &amp; Blackburn 2011)</w:t>
      </w:r>
      <w:r w:rsidR="00BA0606">
        <w:fldChar w:fldCharType="end"/>
      </w:r>
      <w:r w:rsidR="00E7333A">
        <w:t>. Poverty</w:t>
      </w:r>
      <w:r w:rsidR="00902F41">
        <w:t xml:space="preserve"> itself is a complex metric encompassing a multitude of factors such as income, wealth, land, agriculture, migration, education, and healthcare, all of which interact to influence deforestation </w:t>
      </w:r>
      <w:r w:rsidR="00902F41">
        <w:fldChar w:fldCharType="begin"/>
      </w:r>
      <w:r w:rsidR="00902F41">
        <w:instrText xml:space="preserve"> ADDIN ZOTERO_ITEM CSL_CITATION {"citationID":"WoSeO5zL","properties":{"formattedCitation":"(Khuc et al. 2018)","plainCitation":"(Khuc et al. 2018)","noteIndex":0},"citationItems":[{"id":2118,"uris":["http://zotero.org/users/2170232/items/W2T66ULU"],"uri":["http://zotero.org/users/2170232/items/W2T66ULU"],"itemData":{"id":2118,"type":"article-journal","abstract":"Climate change is a pressing global issue and it negatively affects many developing countries, including Vietnam. To help Vietnam effectively respond to this pressing challenge, the country has recently introduced a major program for reducing carbon emissions arising from deforestation and forest degradation, fostering conservation, managing forests sustainably, and enhancing forest carbon stocks (REDD+). Current policies in Vietnam provide a sound platform for the development of REDD+, and REDD+ can potentially greatly contribute to the reduction of deforestation and forest degradation. However, these policies and the REDD+ program are hindered by limited understanding of the extent of deforestation and forest degradation and their underlying causes. This study employed geographic information system (GIS) tools, a structural regression model (structural model), and a regression tree method to quantify the extent as well as the approximate causes of deforestation and forest degradation in Vietnam. Results show that around 1.77 and 0.65 million ha of forests were lost and degraded, respectively, between 2000 and 2010. Deforestation and forest degradation were most notable in the north central, northeast, central highland, and northwest areas of the nation. There were several underlying indicators of deforestation and forest degradation including initial forest cover, per capita income, agricultural production, governance, population growth, food, and poverty. Our results illustrate several important policy implications for forest restoration and the REDD+ program in Vietnam: Vietnam should focus most strongly on reducing poverty, preserving existing forests, improving provincial-level governance, and controlling population growth.","container-title":"Forest Policy and Economics","DOI":"10.1016/j.forpol.2018.02.004","ISSN":"1389-9341","journalAbbreviation":"Forest Policy and Economics","language":"en","page":"128-141","source":"ScienceDirect","title":"Drivers of deforestation and forest degradation in Vietnam: An exploratory analysis at the national level","title-short":"Drivers of deforestation and forest degradation in Vietnam","volume":"90","author":[{"family":"Khuc","given":"Quy Van"},{"family":"Tran","given":"Bao Quang"},{"family":"Meyfroidt","given":"Patrick"},{"family":"Paschke","given":"Mark W."}],"issued":{"date-parts":[["2018",5,1]]}}}],"schema":"https://github.com/citation-style-language/schema/raw/master/csl-citation.json"} </w:instrText>
      </w:r>
      <w:r w:rsidR="00902F41">
        <w:fldChar w:fldCharType="separate"/>
      </w:r>
      <w:r w:rsidR="00902F41" w:rsidRPr="00902F41">
        <w:rPr>
          <w:rFonts w:ascii="Calibri" w:hAnsi="Calibri" w:cs="Calibri"/>
        </w:rPr>
        <w:t>(</w:t>
      </w:r>
      <w:proofErr w:type="spellStart"/>
      <w:r w:rsidR="00902F41" w:rsidRPr="00902F41">
        <w:rPr>
          <w:rFonts w:ascii="Calibri" w:hAnsi="Calibri" w:cs="Calibri"/>
        </w:rPr>
        <w:t>Khuc</w:t>
      </w:r>
      <w:proofErr w:type="spellEnd"/>
      <w:r w:rsidR="00902F41" w:rsidRPr="00902F41">
        <w:rPr>
          <w:rFonts w:ascii="Calibri" w:hAnsi="Calibri" w:cs="Calibri"/>
        </w:rPr>
        <w:t xml:space="preserve"> et al. 2018)</w:t>
      </w:r>
      <w:r w:rsidR="00902F41">
        <w:fldChar w:fldCharType="end"/>
      </w:r>
      <w:r w:rsidR="00902F41">
        <w:t>. Inequalities in land, income, and wealth, and insecure land tenure and forest rights for local people are all common factors in driving deforestation</w:t>
      </w:r>
      <w:r w:rsidR="004022CF">
        <w:t xml:space="preserve"> </w:t>
      </w:r>
      <w:r w:rsidR="004022CF">
        <w:fldChar w:fldCharType="begin"/>
      </w:r>
      <w:r w:rsidR="004022CF">
        <w:instrText xml:space="preserve"> ADDIN ZOTERO_ITEM CSL_CITATION {"citationID":"pvCt8fqO","properties":{"formattedCitation":"(Ceddia 2019)","plainCitation":"(Ceddia 2019)","noteIndex":0},"citationItems":[{"id":174,"uris":["http://zotero.org/users/2170232/items/8DFGLQ2A"],"uri":["http://zotero.org/users/2170232/items/8DFGLQ2A"],"itemData":{"id":174,"type":"article-journal","abstract":"Agricultural expansion remains the most prominent proximate cause of tropical deforestation in Latin America, a region characterized by deforestation rates substantially above the world average and extremely high inequality. This paper deploys several multivariate statistical models to test whether different aspects of inequality, within a context of increasing agricultural productivity, promote agricultural expansion (Jevons paradox) or contraction (land-sparing) in 10 Latin American countries over 1990–2010. Here I show the existence of distinct patterns between the instantaneous and the overall (i.e., accounting for temporal lags) effect of increasing agricultural productivity, conditional on the degree of income, land, and wealth inequality. In a context of perfect equality, the instantaneous effect of increases in agricultural productivity is to promote agricultural expansion (Jevons paradox). When temporal lags are accounted for, agricultural productivity appears to be mainly land-sparing. Increases in the level of inequality, in all its forms, promote agricultural expansion, thus eroding the land-sparing effects of increasing productivity. The results also suggest that the instantaneous impact of inequality is larger than the overall effect (accounting for temporal lags) and that the effects of income inequality are stronger than those of land and wealth inequality, respectively. Reaping the benefits of increasing agricultural productivity, and achieving sustainable agricultural intensification in Latin America, requires policy interventions that specifically address inequality.","container-title":"Proceedings of the National Academy of Sciences","DOI":"10.1073/pnas.1814894116","ISSN":"0027-8424, 1091-6490","issue":"7","journalAbbreviation":"PNAS","language":"en","note":"PMID: 30679279","page":"2527-2532","source":"www.pnas.org","title":"The impact of income, land, and wealth inequality on agricultural expansion in Latin America","volume":"116","author":[{"family":"Ceddia","given":"M. Graziano"}],"issued":{"date-parts":[["2019",2,12]]}}}],"schema":"https://github.com/citation-style-language/schema/raw/master/csl-citation.json"} </w:instrText>
      </w:r>
      <w:r w:rsidR="004022CF">
        <w:fldChar w:fldCharType="separate"/>
      </w:r>
      <w:r w:rsidR="004022CF" w:rsidRPr="004022CF">
        <w:rPr>
          <w:rFonts w:ascii="Calibri" w:hAnsi="Calibri" w:cs="Calibri"/>
        </w:rPr>
        <w:t>(</w:t>
      </w:r>
      <w:proofErr w:type="spellStart"/>
      <w:r w:rsidR="004022CF" w:rsidRPr="004022CF">
        <w:rPr>
          <w:rFonts w:ascii="Calibri" w:hAnsi="Calibri" w:cs="Calibri"/>
        </w:rPr>
        <w:t>Ceddia</w:t>
      </w:r>
      <w:proofErr w:type="spellEnd"/>
      <w:r w:rsidR="004022CF" w:rsidRPr="004022CF">
        <w:rPr>
          <w:rFonts w:ascii="Calibri" w:hAnsi="Calibri" w:cs="Calibri"/>
        </w:rPr>
        <w:t xml:space="preserve"> 2019)</w:t>
      </w:r>
      <w:r w:rsidR="004022CF">
        <w:fldChar w:fldCharType="end"/>
      </w:r>
      <w:r w:rsidR="004022CF">
        <w:t>. Such inequalities, in combination with debt and overpopulation, drive the expansion of agriculture and other natural resource-based activities</w:t>
      </w:r>
      <w:r w:rsidR="003B4CB2">
        <w:t>, to the detriment of forests,</w:t>
      </w:r>
      <w:r w:rsidR="004022CF">
        <w:t xml:space="preserve"> as local people strive for subsistence and economic development </w:t>
      </w:r>
      <w:r w:rsidR="004022CF">
        <w:fldChar w:fldCharType="begin"/>
      </w:r>
      <w:r w:rsidR="004022CF">
        <w:instrText xml:space="preserve"> ADDIN ZOTERO_ITEM CSL_CITATION {"citationID":"ogrQFYLK","properties":{"formattedCitation":"(Culas 2012; Ceddia et al. 2015)","plainCitation":"(Culas 2012; Ceddia et al. 2015)","noteIndex":0},"citationItems":[{"id":2143,"uris":["http://zotero.org/users/2170232/items/TPIWN6QK"],"uri":["http://zotero.org/users/2170232/items/TPIWN6QK"],"itemData":{"id":2143,"type":"article-journal","abstract":"International attention is focused on finding ways to reduce emissions from deforestation because of the emerging concerns over climate change. However the causes of deforestation are rooted in current economic and development paradigms. The causes of deforestation also vary across different geographical regions and have implications for the forest transition. Attempts to reach an international agreement on curbing deforestation have achieved little success despite over 30years of UN negotiations. New initiatives from REDD (Reducing Emissions from Deforestation and forest Degradation) could provide financial incentives to curb deforestation. Hence, alternative development paths for forest cover changes and forest transition are analyzed for the REDD policy within the framework of an environmental Kuznets curve (EKC) for deforestation. The EKC models are estimated for geographical regions of Latin America, Africa and Asia. The results based on the panel data analysis of 43 countries, covering the period 1970–1994, provides evidence that an inverted U-shaped EKC fits for Latin America and Africa, while a U-shaped EKC applies to Asia. The results also indicate that strengthening agricultural and forestry sector policies are important for curbing deforestation. The EKC models' estimates could provide guidance for decisions on financing the REDD policy as specific to each region.","container-title":"Ecological Economics","DOI":"10.1016/j.ecolecon.2012.04.015","ISSN":"0921-8009","journalAbbreviation":"Ecological Economics","language":"en","page":"44-51","source":"ScienceDirect","title":"REDD and forest transition: Tunneling through the environmental Kuznets curve","title-short":"REDD and forest transition","volume":"79","author":[{"family":"Culas","given":"Richard J."}],"issued":{"date-parts":[["2012",7,1]]}}},{"id":2142,"uris":["http://zotero.org/users/2170232/items/96TCP83Z"],"uri":["http://zotero.org/users/2170232/items/96TCP83Z"],"itemData":{"id":2142,"type":"article-journal","abstract":"Agricultural expansion remains the most important proximate cause of tropical deforestation, while interactions between socio-economic, technological and institutional factors represent the fundamental drivers. Projected population increases could further raise the pressure on the remaining forests, unless agricultural intensification allows raising agricultural output without expanding agricultural areas. The purpose of this article is to understand the role of institutional factors in governing the intensification process towards the goal of preserving forests from agricultural pressures, with a focus on Indigenous Peoples’ and local communities’ rights to forests (as embedded in the various tenure regimes). In this paper we adopt an international dimension and analyse the process of agricultural expansion across eleven Latin American countries over the period 1990–2010 to assess whether, in a context of agricultural intensification, different land tenure regimes impact differently on the realization of land-sparing or Jevons paradox. The results, based on a number of multivariate statistical models that controls for socio-economic factors, strongly suggest that the formal recognition of Indigenous Peoples and local communities’ forest rights has played an important role in promoting land sparing or attenuating Jevons paradox.","container-title":"Global Environmental Change","DOI":"10.1016/j.gloenvcha.2015.09.010","ISSN":"0959-3780","journalAbbreviation":"Global Environmental Change","language":"en","page":"316-322","source":"ScienceDirect","title":"Land tenure and agricultural expansion in Latin America: The role of Indigenous Peoples’ and local communities’ forest rights","title-short":"Land tenure and agricultural expansion in Latin America","volume":"35","author":[{"family":"Ceddia","given":"M. Graziano"},{"family":"Gunter","given":"Ulrich"},{"family":"Corriveau-Bourque","given":"Alexandre"}],"issued":{"date-parts":[["2015",11,1]]}}}],"schema":"https://github.com/citation-style-language/schema/raw/master/csl-citation.json"} </w:instrText>
      </w:r>
      <w:r w:rsidR="004022CF">
        <w:fldChar w:fldCharType="separate"/>
      </w:r>
      <w:r w:rsidR="004022CF" w:rsidRPr="004022CF">
        <w:rPr>
          <w:rFonts w:ascii="Calibri" w:hAnsi="Calibri" w:cs="Calibri"/>
        </w:rPr>
        <w:t>(</w:t>
      </w:r>
      <w:proofErr w:type="spellStart"/>
      <w:r w:rsidR="004022CF" w:rsidRPr="004022CF">
        <w:rPr>
          <w:rFonts w:ascii="Calibri" w:hAnsi="Calibri" w:cs="Calibri"/>
        </w:rPr>
        <w:t>Culas</w:t>
      </w:r>
      <w:proofErr w:type="spellEnd"/>
      <w:r w:rsidR="004022CF" w:rsidRPr="004022CF">
        <w:rPr>
          <w:rFonts w:ascii="Calibri" w:hAnsi="Calibri" w:cs="Calibri"/>
        </w:rPr>
        <w:t xml:space="preserve"> 2012; </w:t>
      </w:r>
      <w:proofErr w:type="spellStart"/>
      <w:r w:rsidR="004022CF" w:rsidRPr="004022CF">
        <w:rPr>
          <w:rFonts w:ascii="Calibri" w:hAnsi="Calibri" w:cs="Calibri"/>
        </w:rPr>
        <w:t>Ceddia</w:t>
      </w:r>
      <w:proofErr w:type="spellEnd"/>
      <w:r w:rsidR="004022CF" w:rsidRPr="004022CF">
        <w:rPr>
          <w:rFonts w:ascii="Calibri" w:hAnsi="Calibri" w:cs="Calibri"/>
        </w:rPr>
        <w:t xml:space="preserve"> et al. 2015)</w:t>
      </w:r>
      <w:r w:rsidR="004022CF">
        <w:fldChar w:fldCharType="end"/>
      </w:r>
      <w:r w:rsidR="004022CF">
        <w:t xml:space="preserve">.  </w:t>
      </w:r>
      <w:r w:rsidR="00902F41">
        <w:t xml:space="preserve">  </w:t>
      </w:r>
    </w:p>
    <w:p w14:paraId="62005430" w14:textId="610B1A90" w:rsidR="006F0007" w:rsidRDefault="00316B6B">
      <w:r>
        <w:t xml:space="preserve">Studies from Asia have highlighted the importance of socioeconomics in </w:t>
      </w:r>
      <w:r w:rsidR="00D1536D">
        <w:t>influencing</w:t>
      </w:r>
      <w:r>
        <w:t xml:space="preserve"> the effects of economic</w:t>
      </w:r>
      <w:r w:rsidR="00900623">
        <w:t xml:space="preserve"> and other underlying</w:t>
      </w:r>
      <w:r>
        <w:t xml:space="preserve"> drivers on deforestation. </w:t>
      </w:r>
      <w:r w:rsidR="00D1536D">
        <w:t>The differences in population density between</w:t>
      </w:r>
      <w:r>
        <w:t xml:space="preserve"> urban and rural locations</w:t>
      </w:r>
      <w:r w:rsidR="00D1536D">
        <w:t xml:space="preserve"> and the choice of agricultural crop had an interaction effect on deforestation in Indonesia </w:t>
      </w:r>
      <w:r w:rsidR="00D1536D">
        <w:fldChar w:fldCharType="begin"/>
      </w:r>
      <w:r w:rsidR="00D1536D">
        <w:instrText xml:space="preserve"> ADDIN ZOTERO_ITEM CSL_CITATION {"citationID":"nmfLHmNZ","properties":{"formattedCitation":"(Gatto et al. 2015)","plainCitation":"(Gatto et al. 2015)","noteIndex":0},"citationItems":[{"id":1533,"uris":["http://zotero.org/users/2170232/items/FNSEJ3E4"],"uri":["http://zotero.org/users/2170232/items/FNSEJ3E4"],"itemData":{"id":1533,"type":"article-journal","abstract":"We investigate land-use dynamics in Jambi, Sumatra, one of the hotspots of Indonesia's recent oil palm boom. Data from a structured village survey are used to analyze the role of socioeconomic and policy factors. Oil palm is partly grown on large plantations, but smallholders are also involved to a significant extent. We find that, in spite of considerable oil palm expansion, rubber remains the dominant crop. Most of the oil palm growth takes place on previous fallow and rubber land. Oil palm has not been a major driver of deforestation. Much of the forest in Jambi was cleared more than 20 years ago, and rubber was an established cash crop long before the oil palm boom started. However, oil palm growth occurs in locations with ongoing logging activities, so indirect effects on deforestation are possible. The Indonesian government's transmigration program of the 1980s and 1990s was instrumental for the start and spread of oil palm in Jambi. Some autochthonous villages have adopted oil palm. But oil palm adoption in autochthonous villages started later and happens at a slower pace than in the villages of the transmigrants from Java.","container-title":"Land Use Policy","DOI":"10.1016/j.landusepol.2015.03.001","ISSN":"0264-8377","journalAbbreviation":"Land Use Policy","page":"292-303","source":"ScienceDirect","title":"Oil palm boom and land-use dynamics in Indonesia: The role of policies and socioeconomic factors","title-short":"Oil palm boom and land-use dynamics in Indonesia","volume":"46","author":[{"family":"Gatto","given":"Marcel"},{"family":"Wollni","given":"Meike"},{"family":"Qaim","given":"Matin"}],"issued":{"date-parts":[["2015",7,1]]}}}],"schema":"https://github.com/citation-style-language/schema/raw/master/csl-citation.json"} </w:instrText>
      </w:r>
      <w:r w:rsidR="00D1536D">
        <w:fldChar w:fldCharType="separate"/>
      </w:r>
      <w:r w:rsidR="00D1536D" w:rsidRPr="00D1536D">
        <w:rPr>
          <w:rFonts w:ascii="Calibri" w:hAnsi="Calibri" w:cs="Calibri"/>
        </w:rPr>
        <w:t>(</w:t>
      </w:r>
      <w:proofErr w:type="spellStart"/>
      <w:r w:rsidR="00D1536D" w:rsidRPr="00D1536D">
        <w:rPr>
          <w:rFonts w:ascii="Calibri" w:hAnsi="Calibri" w:cs="Calibri"/>
        </w:rPr>
        <w:t>Gatto</w:t>
      </w:r>
      <w:proofErr w:type="spellEnd"/>
      <w:r w:rsidR="00D1536D" w:rsidRPr="00D1536D">
        <w:rPr>
          <w:rFonts w:ascii="Calibri" w:hAnsi="Calibri" w:cs="Calibri"/>
        </w:rPr>
        <w:t xml:space="preserve"> et al. 2015)</w:t>
      </w:r>
      <w:r w:rsidR="00D1536D">
        <w:fldChar w:fldCharType="end"/>
      </w:r>
      <w:r w:rsidR="00D1536D">
        <w:t xml:space="preserve">, and changes in urban structure and local economic development boosted in-migration in Shenzhen, China, which drove urban forest fragmentation </w:t>
      </w:r>
      <w:r w:rsidR="00D1536D">
        <w:fldChar w:fldCharType="begin"/>
      </w:r>
      <w:r w:rsidR="00D1536D">
        <w:instrText xml:space="preserve"> ADDIN ZOTERO_ITEM CSL_CITATION {"citationID":"uc49X24Q","properties":{"formattedCitation":"(Gong et al. 2013)","plainCitation":"(Gong et al. 2013)","noteIndex":0},"citationItems":[{"id":1526,"uris":["http://zotero.org/users/2170232/items/2LSJZH7A"],"uri":["http://zotero.org/users/2170232/items/2LSJZH7A"],"itemData":{"id":1526,"type":"article-journal","abstract":"Urban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schema":"https://github.com/citation-style-language/schema/raw/master/csl-citation.json"} </w:instrText>
      </w:r>
      <w:r w:rsidR="00D1536D">
        <w:fldChar w:fldCharType="separate"/>
      </w:r>
      <w:r w:rsidR="00D1536D" w:rsidRPr="00D1536D">
        <w:rPr>
          <w:rFonts w:ascii="Calibri" w:hAnsi="Calibri" w:cs="Calibri"/>
        </w:rPr>
        <w:t>(Gong et al. 2013)</w:t>
      </w:r>
      <w:r w:rsidR="00D1536D">
        <w:fldChar w:fldCharType="end"/>
      </w:r>
      <w:r w:rsidR="00D1536D">
        <w:t xml:space="preserve">. </w:t>
      </w:r>
      <w:r w:rsidR="003B4CB2">
        <w:t xml:space="preserve">Population density has been shown to drive forest loss in India </w:t>
      </w:r>
      <w:r w:rsidR="003B4CB2">
        <w:fldChar w:fldCharType="begin"/>
      </w:r>
      <w:r w:rsidR="003B4CB2">
        <w:instrText xml:space="preserve"> ADDIN ZOTERO_ITEM CSL_CITATION {"citationID":"x4jjDkAJ","properties":{"formattedCitation":"(Krishnadas et al. 2018)","plainCitation":"(Krishnadas et al. 2018)","noteIndex":0},"citationItems":[{"id":1763,"uris":["http://zotero.org/users/2170232/items/HZJ6GEEF"],"uri":["http://zotero.org/users/2170232/items/HZJ6GEEF"],"itemData":{"id":1763,"type":"article-journal","abstract":"Maintaining forest cover is important for Biodiversity Hotspots that support many endangered and endemic species but have lost much of their original forest extent. In developing countries, ongoing economic and demographic growth within Hotspots can alter rates and patterns of deforestation, making it a concern to quantify rates of forest loss and assess landscape-scale correlates of deforestation within Hotspots. Such analyses can help set baselines for future monitoring and provide landscape-scale perspectives to design conservation policy. For the Western Ghats Biodiversity Hotspot in India, we examined correlates of forest loss following rapid economic expansion (post-2000 CE). First, we used open-source remote-sensing data to estimate annual trends in recent forest loss (from 2000 to 2016) for the entire Hotspot. Across the entire Western Ghats, we assessed the relative importance of and interactions among demographic, administrative, and biophysical factors that predicted rates of forest loss—measured as the number of 30 × 30-m pixels of forest lost within randomly selected 1 km2 cells. Protected areas reduced forest loss by 30%, especially when forests were closer to roads (33%) and towns (36%). However, the advantage of protection declined by 32% when local population densities increased, implying that the difference in forest loss between protected and non-protected areas disappears at high local population densities. To check scale-dependency of spatial extent, we repeated the modelling process for two landscape subsets within Western Ghats. In contrast with results for the entire Western Ghats, both focal landscapes showed no difference in deforestation with protection status alone or its interactions with village population density and distance to towns. However, deforestation was 88% lower when forests were protected and farther from roads. Overall, our results indicate that protected areas help retain forest cover within a global Biodiversity Hotspot even with rapid development, but high human population densities and road development can reduce the benefits of protection.","container-title":"Biological Conservation","DOI":"10.1016/j.biocon.2018.04.034","ISSN":"0006-3207","journalAbbreviation":"Biological Conservation","page":"147-155","source":"ScienceDirect","title":"Parks protect forest cover in a tropical biodiversity hotspot, but high human population densities can limit success","volume":"223","author":[{"family":"Krishnadas","given":"Meghna"},{"family":"Agarwala","given":"Meghna"},{"family":"Sridhara","given":"Sachin"},{"family":"Eastwood","given":"Erin"}],"issued":{"date-parts":[["2018",7,1]]}}}],"schema":"https://github.com/citation-style-language/schema/raw/master/csl-citation.json"} </w:instrText>
      </w:r>
      <w:r w:rsidR="003B4CB2">
        <w:fldChar w:fldCharType="separate"/>
      </w:r>
      <w:r w:rsidR="003B4CB2" w:rsidRPr="003B4CB2">
        <w:rPr>
          <w:rFonts w:ascii="Calibri" w:hAnsi="Calibri" w:cs="Calibri"/>
        </w:rPr>
        <w:t>(</w:t>
      </w:r>
      <w:proofErr w:type="spellStart"/>
      <w:r w:rsidR="003B4CB2" w:rsidRPr="003B4CB2">
        <w:rPr>
          <w:rFonts w:ascii="Calibri" w:hAnsi="Calibri" w:cs="Calibri"/>
        </w:rPr>
        <w:t>Krishnadas</w:t>
      </w:r>
      <w:proofErr w:type="spellEnd"/>
      <w:r w:rsidR="003B4CB2" w:rsidRPr="003B4CB2">
        <w:rPr>
          <w:rFonts w:ascii="Calibri" w:hAnsi="Calibri" w:cs="Calibri"/>
        </w:rPr>
        <w:t xml:space="preserve"> et al. 2018)</w:t>
      </w:r>
      <w:r w:rsidR="003B4CB2">
        <w:fldChar w:fldCharType="end"/>
      </w:r>
      <w:r w:rsidR="003B4CB2">
        <w:t>, and</w:t>
      </w:r>
      <w:r w:rsidR="0014759D">
        <w:t xml:space="preserve"> in Pakistan, </w:t>
      </w:r>
      <w:r w:rsidR="0014759D">
        <w:fldChar w:fldCharType="begin"/>
      </w:r>
      <w:r w:rsidR="0014759D">
        <w:instrText xml:space="preserve"> ADDIN ZOTERO_ITEM CSL_CITATION {"citationID":"lI45j5OS","properties":{"formattedCitation":"(Mannan et al. 2019)","plainCitation":"(Mannan et al. 2019)","noteIndex":0},"citationItems":[{"id":2007,"uris":["http://zotero.org/users/2170232/items/SMNGBI44"],"uri":["http://zotero.org/users/2170232/items/SMNGBI44"],"itemData":{"id":2007,"type":"article-journal","abstract":"Located at the foothills of the Himalayan Mountains, subtropical and moist temperate forests of Pakistan are very rich in flora and fauna. However, due to increased illegal and uncontrolled harvesting of wood, agricultural activities, and urbanization, these forests are fast disappearing. The recent expansion of human activities resulting illegal and uncontrolled harvesting, agricultural activities, and urbanization is a cause for concern. Using Landsat imagery, Markov Chain and Cellular Automata, this study focused on the quantitative assessment of spatiotemporal land use and land cover changes during 1998, 2008, 2018 and a simulation of 2028. In addition, a forest inventory survey of biomass and carbon sink were respectively calculated for these subtropical broad-leaved evergreen, subtropical chirpine and moist temperate forests. Results showed biomass was 560.56 ± 104.33 Mg ha−1, 350.95 ± 104.33 Mg ha−1 and 153.63 ± 104.33 Mg ha−1 in moist temperate, subtropical chirpine and subtropical broad-leaved forests respectively. Meanwhile, carbon was 313.94 ± 44.78 Mg C ha−1, 221.34 ± 44.78 Mg C ha−1 and 131.77 ± 44.78 Mg C ha−1 in moist temperate, subtropical chirpine and subtropical broad-leaved forests respectively. During the study period, land-use and land cover changes showed forest land changed from 40936.77 ha to 36709.23 ha, agricultural land from 4220.46 to 10374.64 ha, and built-up area from 1497.60 to 5395.12 ha. The average annual biomass and carbon loss were respectively 50.34 Gg ha−1yr−1 and 31.33 Gg C ha−1 yr−1. The information derived from this study could assist in the development of appropriate sustainable forest management policies in Pakistan.","container-title":"Global Ecology and Conservation","DOI":"10.1016/j.gecco.2019.e00535","ISSN":"2351-9894","journalAbbreviation":"Global Ecology and Conservation","page":"e00535","source":"ScienceDirect","title":"Application of land-use/land cover changes in monitoring and projecting forest biomass carbon loss in Pakistan","volume":"17","author":[{"family":"Mannan","given":"Abdul"},{"family":"Liu","given":"Jincheng"},{"family":"Zhongke","given":"Feng"},{"family":"Khan","given":"Tauheed Ullah"},{"family":"Saeed","given":"Sajjad"},{"family":"Mukete","given":"Beckline"},{"family":"ChaoYong","given":"Shen"},{"family":"Yongxiang","given":"Fan"},{"family":"Ahmad","given":"Adnan"},{"family":"Amir","given":"Muhammad"},{"family":"Ahmad","given":"Shahid"},{"family":"Shah","given":"Sher"}],"issued":{"date-parts":[["2019",1,1]]}}}],"schema":"https://github.com/citation-style-language/schema/raw/master/csl-citation.json"} </w:instrText>
      </w:r>
      <w:r w:rsidR="0014759D">
        <w:fldChar w:fldCharType="separate"/>
      </w:r>
      <w:r w:rsidR="0014759D" w:rsidRPr="003B4CB2">
        <w:rPr>
          <w:rFonts w:ascii="Calibri" w:hAnsi="Calibri" w:cs="Calibri"/>
        </w:rPr>
        <w:t xml:space="preserve">Mannan et al </w:t>
      </w:r>
      <w:r w:rsidR="0014759D">
        <w:rPr>
          <w:rFonts w:ascii="Calibri" w:hAnsi="Calibri" w:cs="Calibri"/>
        </w:rPr>
        <w:t>(</w:t>
      </w:r>
      <w:r w:rsidR="0014759D" w:rsidRPr="003B4CB2">
        <w:rPr>
          <w:rFonts w:ascii="Calibri" w:hAnsi="Calibri" w:cs="Calibri"/>
        </w:rPr>
        <w:t>2019)</w:t>
      </w:r>
      <w:r w:rsidR="0014759D">
        <w:fldChar w:fldCharType="end"/>
      </w:r>
      <w:r w:rsidR="0014759D">
        <w:t xml:space="preserve"> found that</w:t>
      </w:r>
      <w:r w:rsidR="003B4CB2">
        <w:t xml:space="preserve"> a combination of geographic, socioeconomic, </w:t>
      </w:r>
      <w:r w:rsidR="003B4CB2">
        <w:lastRenderedPageBreak/>
        <w:t>and environmental factors were effective predictors of LUC</w:t>
      </w:r>
      <w:r w:rsidR="0014759D">
        <w:t xml:space="preserve">, whereas </w:t>
      </w:r>
      <w:r w:rsidR="0014759D">
        <w:fldChar w:fldCharType="begin"/>
      </w:r>
      <w:r w:rsidR="0014759D">
        <w:instrText xml:space="preserve"> ADDIN ZOTERO_ITEM CSL_CITATION {"citationID":"ysWcmXZN","properties":{"formattedCitation":"(Zeb et al. 2019)","plainCitation":"(Zeb et al. 2019)","noteIndex":0},"citationItems":[{"id":2219,"uris":["http://zotero.org/users/2170232/items/MIV6WX7N"],"uri":["http://zotero.org/users/2170232/items/MIV6WX7N"],"itemData":{"id":2219,"type":"article-journal","abstract":"Indigenous groups in many parts of the world are often forest dependent societies, and thereby may also play a disproportionate role in protecting and managing threatened forest resources. Taking the Kalasha indigenous group of Pakistan as a test case, this study contributes a socio-economic analysis at the household level aimed at understanding factors that influence forest clearing decisions. The findings of the study may help to develop general policies that facilitate sustainable resource for indigenous and other marginalized forest-dependent communities. The analysis was based on a contrast of 74 households at the forest margin that cleared nearby forested land versus 49 households that did not clear. Survey results indicated that the prime motivation for conversion of forests was expansion for cropland (77%), livestock grazing (18%), and orchards (5%). We found that families with more members and fewer physical assets were more likely to clear forested land for agricultural expansion. Families with more members employed off-farm, and members of Joint Forest Management Committees were less likely to be involved in forest clearing. For poor households, fuel wood constituted the largest part of their total income and for households with off-farm income the smallest. Social factors, such as education, ethnicity, and forest ownership were not significantly associated with clearing of forests. We conclude that programs focusing on off-farm income generation opportunities targeted towards the poorest households would be the most effective policy intervention for lowering deforestation and forest conversion.","container-title":"Global Environmental Change","DOI":"10.1016/j.gloenvcha.2019.102004","ISSN":"0959-3780","journalAbbreviation":"Global Environmental Change","language":"en","page":"102004","source":"ScienceDirect","title":"Forest conversion by the indigenous Kalasha of Pakistan: A household level analysis of socioeconomic drivers","title-short":"Forest conversion by the indigenous Kalasha of Pakistan","volume":"59","author":[{"family":"Zeb","given":"Alam"},{"family":"Armstrong","given":"Glen W."},{"family":"Hamann","given":"Andreas"}],"issued":{"date-parts":[["2019",11,1]]}}}],"schema":"https://github.com/citation-style-language/schema/raw/master/csl-citation.json"} </w:instrText>
      </w:r>
      <w:r w:rsidR="0014759D">
        <w:fldChar w:fldCharType="separate"/>
      </w:r>
      <w:r w:rsidR="0014759D" w:rsidRPr="0014759D">
        <w:rPr>
          <w:rFonts w:ascii="Calibri" w:hAnsi="Calibri" w:cs="Calibri"/>
        </w:rPr>
        <w:t xml:space="preserve">Zeb et al </w:t>
      </w:r>
      <w:r w:rsidR="0014759D">
        <w:rPr>
          <w:rFonts w:ascii="Calibri" w:hAnsi="Calibri" w:cs="Calibri"/>
        </w:rPr>
        <w:t>(</w:t>
      </w:r>
      <w:r w:rsidR="0014759D" w:rsidRPr="0014759D">
        <w:rPr>
          <w:rFonts w:ascii="Calibri" w:hAnsi="Calibri" w:cs="Calibri"/>
        </w:rPr>
        <w:t>2019)</w:t>
      </w:r>
      <w:r w:rsidR="0014759D">
        <w:fldChar w:fldCharType="end"/>
      </w:r>
      <w:r w:rsidR="0014759D">
        <w:t xml:space="preserve"> found that household demographics and poverty were underlying factors of forest clearance for livestock and agricultural expansion.</w:t>
      </w:r>
      <w:r w:rsidR="00BA0606">
        <w:t xml:space="preserve"> In Thailand and Vietnam livelihoods and local economics were highly influential in farmer’s decision-making related to LUC </w:t>
      </w:r>
      <w:r w:rsidR="00BA0606">
        <w:fldChar w:fldCharType="begin"/>
      </w:r>
      <w:r w:rsidR="00BA0606">
        <w:instrText xml:space="preserve"> ADDIN ZOTERO_ITEM CSL_CITATION {"citationID":"MZwRZaZR","properties":{"formattedCitation":"(Nguyen et al. 2017)","plainCitation":"(Nguyen et al. 2017)","noteIndex":0},"citationItems":[{"id":1657,"uris":["http://zotero.org/users/2170232/items/823SBA2X"],"uri":["http://zotero.org/users/2170232/items/823SBA2X"],"itemData":{"id":1657,"type":"article-journal","abstract":"Summary\nUnderstanding farmers’ land use decision-making is of interest to policy makers and scientific communities. Furthermore, comparing farmers’ land use decision-making between countries offers a functioning instrument to enhance this understanding, since one country can benefit from the experiences of another. This study extends the sustainable livelihoods framework to examine and compare the factors affecting farmers’ land use decision-making regarding land use choices and crop diversification. A panel dataset of 514 farm households in Ha Tinh (Vietnam) and 422 farm households in Ubon Ratchathani (Thailand) collected in 2007 and 2013 is used for the analyses. The results reveal that (i) farmers’ land use decision-making is determined by various factors representing the livelihood platforms, weather shock experience and expectation, and physical-economic conditions of the living localities, and (ii) crop diversification is a weather shock-coping strategy of rural households. We suggest that (i) promoting farm land reconsolidation and privatization, (ii) enhancing access to credit sources and national electricity networks, and (iii) improving rural road conditions and attracting investments in rural non-agricultural sectors contribute to reducing farmers’ vulnerability to climate variability.","container-title":"World Development","DOI":"10.1016/j.worlddev.2016.08.010","ISSN":"0305-750X","journalAbbreviation":"World Development","page":"199-213","source":"ScienceDirect","title":"Determinants of Farmers’ Land Use Decision-Making: Comparative Evidence From Thailand and Vietnam","title-short":"Determinants of Farmers’ Land Use Decision-Making","volume":"89","author":[{"family":"Nguyen","given":"Trung Thanh"},{"family":"Nguyen","given":"Loc Duc"},{"family":"Lippe","given":"Rattiya Suddeephong"},{"family":"Grote","given":"Ulrike"}],"issued":{"date-parts":[["2017",1,1]]}}}],"schema":"https://github.com/citation-style-language/schema/raw/master/csl-citation.json"} </w:instrText>
      </w:r>
      <w:r w:rsidR="00BA0606">
        <w:fldChar w:fldCharType="separate"/>
      </w:r>
      <w:r w:rsidR="00BA0606" w:rsidRPr="00BA0606">
        <w:rPr>
          <w:rFonts w:ascii="Calibri" w:hAnsi="Calibri" w:cs="Calibri"/>
        </w:rPr>
        <w:t>(Nguyen et al. 2017)</w:t>
      </w:r>
      <w:r w:rsidR="00BA0606">
        <w:fldChar w:fldCharType="end"/>
      </w:r>
      <w:r w:rsidR="00BA0606">
        <w:t xml:space="preserve">, and in the mountainous regions of Southeast Asia it </w:t>
      </w:r>
      <w:r w:rsidR="004336C4">
        <w:t>has been</w:t>
      </w:r>
      <w:r w:rsidR="00BA0606">
        <w:t xml:space="preserve"> national policies in combination with local economics that governed LUC </w:t>
      </w:r>
      <w:r w:rsidR="00BA0606">
        <w:fldChar w:fldCharType="begin"/>
      </w:r>
      <w:r w:rsidR="00BA0606">
        <w:instrText xml:space="preserve"> ADDIN ZOTERO_ITEM CSL_CITATION {"citationID":"IJXGxPJf","properties":{"formattedCitation":"(Fox &amp; Vogler 2005)","plainCitation":"(Fox &amp; Vogler 2005)","noteIndex":0},"citationItems":[{"id":1674,"uris":["http://zotero.org/users/2170232/items/J5LKSCXA"],"uri":["http://zotero.org/users/2170232/items/J5LKSCXA"],"itemData":{"id":1674,"type":"article-journal","abstract":"This paper summarizes land-cover and land-use change at eight sites in Thailand, Yunnan (China), Vietnam, Cambodia, and Laos over the last 50 years. Project methodology included incorporating information collected from a combination of semiformal, key informant, and formal household interviews with the development of spatial databases based on aerial photographs, satellite images, topographic maps, and GPS data. Results suggest that land use (e.g. swidden cultivation) and land cover (e.g. secondary vegetation) have remained stable and the minor amount of land-use change that has occurred has been a change from swidden to monocultural cash crops. Results suggest that two forces will increasingly determine land-use systems in this region. First, national land tenure policies—the nationalization of forest lands and efforts to increase control over upland resources by central governments—will provide a push factor making it increasingly difficult for farmers to maintain their traditional swidden land-use practices. Second, market pressures—the commercialization of subsistence resources and the substitution of commercial crops for subsistence crops—will provide a pull factor encouraging farmers to engage in new and different forms of commercial agriculture. These results appear to be robust as they come from eight studies conducted over the last decade. But important questions remain in terms of what research protocols are needed, if any, when linking social science data with remotely sensed data for understanding human-environment interactions.","container-title":"Environmental Management","DOI":"10.1007/s00267-003-0288-7","ISSN":"0364-152X, 1432-1009","issue":"3","journalAbbreviation":"Environmental Management","language":"en","page":"394-403","source":"link.springer.com","title":"Land-Use and Land-Cover Change in Montane Mainland Southeast Asia","volume":"36","author":[{"family":"Fox","given":"Jefferson"},{"family":"Vogler","given":"John B."}],"issued":{"date-parts":[["2005",9,1]]}}}],"schema":"https://github.com/citation-style-language/schema/raw/master/csl-citation.json"} </w:instrText>
      </w:r>
      <w:r w:rsidR="00BA0606">
        <w:fldChar w:fldCharType="separate"/>
      </w:r>
      <w:r w:rsidR="00BA0606" w:rsidRPr="00BA0606">
        <w:rPr>
          <w:rFonts w:ascii="Calibri" w:hAnsi="Calibri" w:cs="Calibri"/>
        </w:rPr>
        <w:t>(Fox &amp; Vogler 2005)</w:t>
      </w:r>
      <w:r w:rsidR="00BA0606">
        <w:fldChar w:fldCharType="end"/>
      </w:r>
      <w:r w:rsidR="00BA0606">
        <w:t>.</w:t>
      </w:r>
      <w:r w:rsidR="0014759D">
        <w:t xml:space="preserve"> The extensive literature on</w:t>
      </w:r>
      <w:r w:rsidR="002C711B">
        <w:t xml:space="preserve"> the</w:t>
      </w:r>
      <w:r w:rsidR="0014759D">
        <w:t xml:space="preserve"> socioeconomic </w:t>
      </w:r>
      <w:r w:rsidR="002C711B">
        <w:t>predictors</w:t>
      </w:r>
      <w:r w:rsidR="0014759D">
        <w:t xml:space="preserve"> of </w:t>
      </w:r>
      <w:r w:rsidR="00AF717F">
        <w:t>deforestation emphasise</w:t>
      </w:r>
      <w:r w:rsidR="002C711B">
        <w:t>s</w:t>
      </w:r>
      <w:r w:rsidR="00AF717F">
        <w:t xml:space="preserve"> the </w:t>
      </w:r>
      <w:r w:rsidR="002C711B">
        <w:t xml:space="preserve">breadth and complexity of relationships between local socioeconomic conditions, broader economic factors, the environmental context, and government policy. </w:t>
      </w:r>
      <w:r w:rsidR="008B17DA">
        <w:t>T</w:t>
      </w:r>
      <w:r w:rsidR="002C711B">
        <w:t xml:space="preserve">he </w:t>
      </w:r>
      <w:r w:rsidR="008B17DA">
        <w:t xml:space="preserve">scale at which studies are undertaken is revealed to be important, as is local context. The two examples from Pakistan </w:t>
      </w:r>
      <w:r w:rsidR="008B17DA">
        <w:fldChar w:fldCharType="begin"/>
      </w:r>
      <w:r w:rsidR="008B17DA">
        <w:instrText xml:space="preserve"> ADDIN ZOTERO_ITEM CSL_CITATION {"citationID":"XsfX7s4n","properties":{"formattedCitation":"(Mannan et al. 2019; Zeb et al. 2019)","plainCitation":"(Mannan et al. 2019; Zeb et al. 2019)","noteIndex":0},"citationItems":[{"id":2007,"uris":["http://zotero.org/users/2170232/items/SMNGBI44"],"uri":["http://zotero.org/users/2170232/items/SMNGBI44"],"itemData":{"id":2007,"type":"article-journal","abstract":"Located at the foothills of the Himalayan Mountains, subtropical and moist temperate forests of Pakistan are very rich in flora and fauna. However, due to increased illegal and uncontrolled harvesting of wood, agricultural activities, and urbanization, these forests are fast disappearing. The recent expansion of human activities resulting illegal and uncontrolled harvesting, agricultural activities, and urbanization is a cause for concern. Using Landsat imagery, Markov Chain and Cellular Automata, this study focused on the quantitative assessment of spatiotemporal land use and land cover changes during 1998, 2008, 2018 and a simulation of 2028. In addition, a forest inventory survey of biomass and carbon sink were respectively calculated for these subtropical broad-leaved evergreen, subtropical chirpine and moist temperate forests. Results showed biomass was 560.56 ± 104.33 Mg ha−1, 350.95 ± 104.33 Mg ha−1 and 153.63 ± 104.33 Mg ha−1 in moist temperate, subtropical chirpine and subtropical broad-leaved forests respectively. Meanwhile, carbon was 313.94 ± 44.78 Mg C ha−1, 221.34 ± 44.78 Mg C ha−1 and 131.77 ± 44.78 Mg C ha−1 in moist temperate, subtropical chirpine and subtropical broad-leaved forests respectively. During the study period, land-use and land cover changes showed forest land changed from 40936.77 ha to 36709.23 ha, agricultural land from 4220.46 to 10374.64 ha, and built-up area from 1497.60 to 5395.12 ha. The average annual biomass and carbon loss were respectively 50.34 Gg ha−1yr−1 and 31.33 Gg C ha−1 yr−1. The information derived from this study could assist in the development of appropriate sustainable forest management policies in Pakistan.","container-title":"Global Ecology and Conservation","DOI":"10.1016/j.gecco.2019.e00535","ISSN":"2351-9894","journalAbbreviation":"Global Ecology and Conservation","page":"e00535","source":"ScienceDirect","title":"Application of land-use/land cover changes in monitoring and projecting forest biomass carbon loss in Pakistan","volume":"17","author":[{"family":"Mannan","given":"Abdul"},{"family":"Liu","given":"Jincheng"},{"family":"Zhongke","given":"Feng"},{"family":"Khan","given":"Tauheed Ullah"},{"family":"Saeed","given":"Sajjad"},{"family":"Mukete","given":"Beckline"},{"family":"ChaoYong","given":"Shen"},{"family":"Yongxiang","given":"Fan"},{"family":"Ahmad","given":"Adnan"},{"family":"Amir","given":"Muhammad"},{"family":"Ahmad","given":"Shahid"},{"family":"Shah","given":"Sher"}],"issued":{"date-parts":[["2019",1,1]]}}},{"id":2219,"uris":["http://zotero.org/users/2170232/items/MIV6WX7N"],"uri":["http://zotero.org/users/2170232/items/MIV6WX7N"],"itemData":{"id":2219,"type":"article-journal","abstract":"Indigenous groups in many parts of the world are often forest dependent societies, and thereby may also play a disproportionate role in protecting and managing threatened forest resources. Taking the Kalasha indigenous group of Pakistan as a test case, this study contributes a socio-economic analysis at the household level aimed at understanding factors that influence forest clearing decisions. The findings of the study may help to develop general policies that facilitate sustainable resource for indigenous and other marginalized forest-dependent communities. The analysis was based on a contrast of 74 households at the forest margin that cleared nearby forested land versus 49 households that did not clear. Survey results indicated that the prime motivation for conversion of forests was expansion for cropland (77%), livestock grazing (18%), and orchards (5%). We found that families with more members and fewer physical assets were more likely to clear forested land for agricultural expansion. Families with more members employed off-farm, and members of Joint Forest Management Committees were less likely to be involved in forest clearing. For poor households, fuel wood constituted the largest part of their total income and for households with off-farm income the smallest. Social factors, such as education, ethnicity, and forest ownership were not significantly associated with clearing of forests. We conclude that programs focusing on off-farm income generation opportunities targeted towards the poorest households would be the most effective policy intervention for lowering deforestation and forest conversion.","container-title":"Global Environmental Change","DOI":"10.1016/j.gloenvcha.2019.102004","ISSN":"0959-3780","journalAbbreviation":"Global Environmental Change","language":"en","page":"102004","source":"ScienceDirect","title":"Forest conversion by the indigenous Kalasha of Pakistan: A household level analysis of socioeconomic drivers","title-short":"Forest conversion by the indigenous Kalasha of Pakistan","volume":"59","author":[{"family":"Zeb","given":"Alam"},{"family":"Armstrong","given":"Glen W."},{"family":"Hamann","given":"Andreas"}],"issued":{"date-parts":[["2019",11,1]]}}}],"schema":"https://github.com/citation-style-language/schema/raw/master/csl-citation.json"} </w:instrText>
      </w:r>
      <w:r w:rsidR="008B17DA">
        <w:fldChar w:fldCharType="separate"/>
      </w:r>
      <w:r w:rsidR="008B17DA" w:rsidRPr="008B17DA">
        <w:rPr>
          <w:rFonts w:ascii="Calibri" w:hAnsi="Calibri" w:cs="Calibri"/>
        </w:rPr>
        <w:t>(Mannan et al. 2019; Zeb et al. 2019)</w:t>
      </w:r>
      <w:r w:rsidR="008B17DA">
        <w:fldChar w:fldCharType="end"/>
      </w:r>
      <w:r w:rsidR="008B17DA">
        <w:t xml:space="preserve"> </w:t>
      </w:r>
      <w:r w:rsidR="008B17DA" w:rsidRPr="009B6994">
        <w:t>are from very similar</w:t>
      </w:r>
      <w:r w:rsidR="008B17DA">
        <w:t xml:space="preserve"> areas</w:t>
      </w:r>
      <w:r w:rsidR="009B6994">
        <w:t xml:space="preserve"> within Pakistan, and conduct their analyses at a similar spatial resolution</w:t>
      </w:r>
      <w:r w:rsidR="008B17DA">
        <w:t>, yet identify different socioeconomic predictors of forest loss.</w:t>
      </w:r>
      <w:r w:rsidR="00D25F20">
        <w:t xml:space="preserve"> Therefore, environmental and economic policies that improve socioeconomic conditions for local people without forest loss and environmental degradation will require an understanding of the relationships between socioeconomics and forest cover at different scales. </w:t>
      </w:r>
      <w:r w:rsidR="00592712" w:rsidRPr="004E5487">
        <w:t>Successfully isolating the signals of these relationships is however, challenging, due to the complexity of social-ecological systems, the non-linear feedback loops, and the heterogeneity in system dynamics at different scales.</w:t>
      </w:r>
    </w:p>
    <w:p w14:paraId="61F61256" w14:textId="256258AB" w:rsidR="00086943" w:rsidRDefault="00592712">
      <w:r>
        <w:t xml:space="preserve">Since the early 1990s, after more than a decade of civil war and unrest, Cambodia has experienced extraordinary economic development and social change </w:t>
      </w:r>
      <w:r>
        <w:fldChar w:fldCharType="begin"/>
      </w:r>
      <w:r>
        <w:instrText xml:space="preserve"> ADDIN ZOTERO_ITEM CSL_CITATION {"citationID":"cuGJKBuh","properties":{"formattedCitation":"(Solcomb 2010; Milne &amp; Mahanty 2015)","plainCitation":"(Solcomb 2010; Milne &amp; Mahanty 2015)","noteIndex":0},"citationItems":[{"id":2762,"uris":["http://zotero.org/users/2170232/items/JRA2X9H8"],"uri":["http://zotero.org/users/2170232/items/JRA2X9H8"],"itemData":{"id":2762,"type":"book","event-place":"National University of Singapore","ISBN":"978-9971-69-499-9","publisher":"NUS Press","publisher-place":"National University of Singapore","title":"An economic histroy of Cambodia in the twentieth century","URL":"https://library.oapen.org/handle/20.500.12657/26109","author":[{"family":"Solcomb","given":"Margaret"}],"issued":{"date-parts":[["2010"]]}}},{"id":2899,"uris":["http://zotero.org/users/2170232/items/HVLX9C67"],"uri":["http://zotero.org/users/2170232/items/HVLX9C67"],"itemData":{"id":2899,"type":"book","abstract":"Written by leading authorities from Australasia, Europe and North America, this book examines the dynamic conflicts and synergies between nature conservation and human development in contemporary Cambodia. After suffering conflict and stagnation in the late twentieth century, Cambodia has experienced an economic transformation in the last decade, with growth averaging almost ten per cent per year, partly through investment from China. However this rush for development has been coupled with tremendous social and environmental change which, although positive in some aspects, has led to rising inequality and profound shifts in the condition, ownership and management of natural resources. High deforestation rates, declining fish stocks, biodiversity loss, and alienation of indigenous and rural people from their land and traditional livelihoods are now matters of increasing local and international concern. The book explores the social and political dimensions of these environmental changes in Cambodia, and of efforts to intervene in and ‘improve’ current trajectories for conservation and development. It provides a compelling analysis of the connections between nature, state and society, pointing to the key role of grassroots and non-state actors in shaping Cambodia’s frontiers of change. These insights will be of great interest to scholars of Southeast Asia and environment-development issues in general.","ISBN":"978-1-134-58109-2","language":"en","note":"Google-Books-ID: B6mgBgAAQBAJ","number-of-pages":"311","publisher":"Routledge","source":"Google Books","title":"Conservation and Development in Cambodia: Exploring frontiers of change in nature, state and society","title-short":"Conservation and Development in Cambodia","author":[{"family":"Milne","given":"Sarah"},{"family":"Mahanty","given":"Sango"}],"issued":{"date-parts":[["2015",2,11]]}}}],"schema":"https://github.com/citation-style-language/schema/raw/master/csl-citation.json"} </w:instrText>
      </w:r>
      <w:r>
        <w:fldChar w:fldCharType="separate"/>
      </w:r>
      <w:r w:rsidRPr="00592712">
        <w:rPr>
          <w:rFonts w:ascii="Calibri" w:hAnsi="Calibri" w:cs="Calibri"/>
        </w:rPr>
        <w:t>(</w:t>
      </w:r>
      <w:proofErr w:type="spellStart"/>
      <w:r w:rsidRPr="00592712">
        <w:rPr>
          <w:rFonts w:ascii="Calibri" w:hAnsi="Calibri" w:cs="Calibri"/>
        </w:rPr>
        <w:t>Solcomb</w:t>
      </w:r>
      <w:proofErr w:type="spellEnd"/>
      <w:r w:rsidRPr="00592712">
        <w:rPr>
          <w:rFonts w:ascii="Calibri" w:hAnsi="Calibri" w:cs="Calibri"/>
        </w:rPr>
        <w:t xml:space="preserve"> 2010; Milne &amp; </w:t>
      </w:r>
      <w:proofErr w:type="spellStart"/>
      <w:r w:rsidRPr="00592712">
        <w:rPr>
          <w:rFonts w:ascii="Calibri" w:hAnsi="Calibri" w:cs="Calibri"/>
        </w:rPr>
        <w:t>Mahanty</w:t>
      </w:r>
      <w:proofErr w:type="spellEnd"/>
      <w:r w:rsidRPr="00592712">
        <w:rPr>
          <w:rFonts w:ascii="Calibri" w:hAnsi="Calibri" w:cs="Calibri"/>
        </w:rPr>
        <w:t xml:space="preserve"> 2015)</w:t>
      </w:r>
      <w:r>
        <w:fldChar w:fldCharType="end"/>
      </w:r>
      <w:r>
        <w:t xml:space="preserve">. </w:t>
      </w:r>
      <w:r w:rsidR="00A63D6A">
        <w:t xml:space="preserve">There have been significant improvements in rates of poverty, access to services, and education, yet inequality between the rich and the poor has increased </w:t>
      </w:r>
      <w:r w:rsidR="00A63D6A">
        <w:fldChar w:fldCharType="begin"/>
      </w:r>
      <w:r w:rsidR="00A63D6A">
        <w:instrText xml:space="preserve"> ADDIN ZOTERO_ITEM CSL_CITATION {"citationID":"azl80eLx","properties":{"formattedCitation":"(World Bank 2014)","plainCitation":"(World Bank 2014)","noteIndex":0},"citationItems":[{"id":2763,"uris":["http://zotero.org/users/2170232/items/DHPTZUDX"],"uri":["http://zotero.org/users/2170232/items/DHPTZUDX"],"itemData":{"id":2763,"type":"report","event-place":"Washington DC, USA","publisher":"World Bank Group","publisher-place":"Washington DC, USA","title":"Where have all the poor gone? Cambodia poverty assessment 2013","author":[{"family":"World Bank","given":""}],"issued":{"date-parts":[["2014"]]}}}],"schema":"https://github.com/citation-style-language/schema/raw/master/csl-citation.json"} </w:instrText>
      </w:r>
      <w:r w:rsidR="00A63D6A">
        <w:fldChar w:fldCharType="separate"/>
      </w:r>
      <w:r w:rsidR="00A63D6A" w:rsidRPr="00A63D6A">
        <w:rPr>
          <w:rFonts w:ascii="Calibri" w:hAnsi="Calibri" w:cs="Calibri"/>
        </w:rPr>
        <w:t>(World Bank 2014)</w:t>
      </w:r>
      <w:r w:rsidR="00A63D6A">
        <w:fldChar w:fldCharType="end"/>
      </w:r>
      <w:r w:rsidR="00A63D6A">
        <w:t xml:space="preserve">. </w:t>
      </w:r>
      <w:r w:rsidR="00900623">
        <w:t xml:space="preserve">There has been dramatic socioeconomic development within Cambodia’s major urban centres, yet rural, marginalised groups and ethnic minorities, particularly in the remote provinces, </w:t>
      </w:r>
      <w:r w:rsidR="00B30997">
        <w:t>largely remain poor with minimal access to services</w:t>
      </w:r>
      <w:r w:rsidR="004336C4">
        <w:t>, and</w:t>
      </w:r>
      <w:r w:rsidR="00B30997">
        <w:t xml:space="preserve"> where insecure land tenure leaves them exposed to land grabbing and conflict </w:t>
      </w:r>
      <w:r w:rsidR="00B30997">
        <w:fldChar w:fldCharType="begin"/>
      </w:r>
      <w:r w:rsidR="00B30997">
        <w:instrText xml:space="preserve"> ADDIN ZOTERO_ITEM CSL_CITATION {"citationID":"cTih9Rtk","properties":{"formattedCitation":"(Hammer 2008; Ironside 2008; Neef &amp; Touch 2012; Phillips &amp; Davy 2021)","plainCitation":"(Hammer 2008; Ironside 2008; Neef &amp; Touch 2012; Phillips &amp; Davy 2021)","noteIndex":0},"citationItems":[{"id":2469,"uris":["http://zotero.org/users/2170232/items/FPTJAHVA"],"uri":["http://zotero.org/users/2170232/items/FPTJAHVA"],"itemData":{"id":2469,"type":"book","collection-title":"Mainland Southeast Asia at its Margins: MinorityGroups and Borders","event-place":"Siem Reap, Cambodia","ISBN":"978-99950-51-05-1","publisher":"Centre for Khmer Studies","publisher-place":"Siem Reap, Cambodia","title":"Living on the Margins: Minorities and Borderlines in Cambodia and Southeast Asia","URL":"www.khmerstudies.org.","author":[{"family":"Hammer","given":"Peter"}],"issued":{"date-parts":[["2008"]]}}},{"id":2470,"uris":["http://zotero.org/users/2170232/items/VN7LPSTW"],"uri":["http://zotero.org/users/2170232/items/VN7LPSTW"],"itemData":{"id":2470,"type":"chapter","container-title":"Living in margins: Minorities and boderlines in Cambodia and Southeast Asia","event-place":"Siem Reap, Cambodia","ISBN":"978-99950-51-05-1","page":"91-128","publisher":"Centre for Khmer Studies","publisher-place":"Siem Reap, Cambodia","title":"Development - In Whose Name? Cambodia's Economic Development and its Indigneous Communities - From Self-Reliance to Uncertainty","URL":"www.khmerstudies.org.","author":[{"family":"Ironside","given":"Jeremy"}],"issued":{"date-parts":[["2008"]]}}},{"id":2484,"uris":["http://zotero.org/users/2170232/items/Q3XBE22N"],"uri":["http://zotero.org/users/2170232/items/Q3XBE22N"],"itemData":{"id":2484,"type":"article-journal","abstract":"Rural areas in Cambodia have been the target of large-scale land acquisitions since the late 1990s. As of March 2012, economic land concessions in Cambodia covered more than 2 million hectares, equivalent to over half of the country’s arable land. In this paper, we discuss the policy narratives and discursive strategies that are employed by various actors to justify and legitimize large-scale land acquisitions. We then analyze the underlying mechanisms of such acquisitions and investments and examine how they are entangled with donor-assisted land use planning efforts. Finally, we explore local people’s strategies of resistance. Our findings suggest that the Cambodian ruling elite has enabled land grabbing through three major mechanisms: first, by establishing a form of ‘shadow governance’ and corrupting the legal culture; second, by discursively justifying expropriation and resettlement through emphasizing rural development, ecological restoration and poverty alleviation; third, by instrumentalizing donor-supported, pro-poor land allocation in the form of social land concessions towards legitimizing land grabbing and distributional injustices and minimizing opposition to land grabs among local communities. Local strategies of resistance have been desperate, sporadic and atomistic vis-à-vis the powerful coalition of government authorities, concessionaires and the military.","language":"en","page":"23","source":"Zotero","title":"Land Grabbing in Cambodia: Narratives, Mechanisms, Resistance","author":[{"family":"Neef","given":"Andreas"},{"family":"Touch","given":"Siphat"}],"issued":{"date-parts":[["2012"]]}}},{"id":2903,"uris":["http://zotero.org/users/2170232/items/JHUW6T38"],"uri":["http://zotero.org/users/2170232/items/JHUW6T38"],"itemData":{"id":2903,"type":"chapter","abstract":"The main purpose of this chapter is to shine a light on transnational ‘neoliberalization’ of civil society. Transformations from authoritarian states to capitalist free-market economies are often linked to democratization, however the lack of welfare state structures and protective levels of regulation create avenues for exploitation. This exists in the growing number of hybridized civil society organizations in Southeast Asia. In order to demonstrate the impact of transnational neoliberalism on civil society, findings from a study about the microfinance sector in Cambodia, where the microfinance industry appeared to be creating serious consequences for Cambodian microfinance borrowers, are reported in this chapter. Based on interviews with workers within NGOs and UN agencies that operated to support people who have been released/freed from trafficking in persons, and those involved in the prevention of irregular migration and trafficking or policy initiatives, the study revealed the creation of highly vulnerable neoliberal subjects. The study also illuminated the impact of a privatized and marketized microfinance industry in Cambodia, thus demonstrating how the ‘neoliberalization’ of civil society’s social enterprise has in fact increased rather than prevented poverty.","container-title":"Transnational Civil Society in Asia","ISBN":"978-1-00-311048-4","note":"number-of-pages: 18","publisher":"Routledge","title":"Transnational neoliberalism in Asian civil society: Microfinance and poverty in Cambodia","title-short":"Transnational neoliberalism in Asian civil society","author":[{"family":"Phillips","given":"Ruth"},{"family":"Davy","given":"Deanna"}],"issued":{"date-parts":[["2021"]]}}}],"schema":"https://github.com/citation-style-language/schema/raw/master/csl-citation.json"} </w:instrText>
      </w:r>
      <w:r w:rsidR="00B30997">
        <w:fldChar w:fldCharType="separate"/>
      </w:r>
      <w:r w:rsidR="00B30997" w:rsidRPr="00B30997">
        <w:rPr>
          <w:rFonts w:ascii="Calibri" w:hAnsi="Calibri" w:cs="Calibri"/>
        </w:rPr>
        <w:t xml:space="preserve">(Hammer 2008; Ironside 2008; </w:t>
      </w:r>
      <w:proofErr w:type="spellStart"/>
      <w:r w:rsidR="00B30997" w:rsidRPr="00B30997">
        <w:rPr>
          <w:rFonts w:ascii="Calibri" w:hAnsi="Calibri" w:cs="Calibri"/>
        </w:rPr>
        <w:t>Neef</w:t>
      </w:r>
      <w:proofErr w:type="spellEnd"/>
      <w:r w:rsidR="00B30997" w:rsidRPr="00B30997">
        <w:rPr>
          <w:rFonts w:ascii="Calibri" w:hAnsi="Calibri" w:cs="Calibri"/>
        </w:rPr>
        <w:t xml:space="preserve"> &amp; Touch 2012; Phillips &amp; Davy 2021)</w:t>
      </w:r>
      <w:r w:rsidR="00B30997">
        <w:fldChar w:fldCharType="end"/>
      </w:r>
      <w:r w:rsidR="00B30997">
        <w:t xml:space="preserve">. Such rapid social and economic changes make identifying the drivers of deforestation </w:t>
      </w:r>
      <w:r w:rsidR="001E29BB">
        <w:t xml:space="preserve">particularly </w:t>
      </w:r>
      <w:r w:rsidR="00B30997">
        <w:t>challenging, as</w:t>
      </w:r>
      <w:r w:rsidR="001E29BB">
        <w:t xml:space="preserve"> broad-scale drivers</w:t>
      </w:r>
      <w:r w:rsidR="004336C4">
        <w:t xml:space="preserve"> and</w:t>
      </w:r>
      <w:r w:rsidR="001E29BB">
        <w:t xml:space="preserve"> their effect on local landscape actors, and the subsequent proximate causes</w:t>
      </w:r>
      <w:r w:rsidR="0011317E">
        <w:t xml:space="preserve"> of deforestation</w:t>
      </w:r>
      <w:r w:rsidR="004336C4">
        <w:t>,</w:t>
      </w:r>
      <w:r w:rsidR="001E29BB">
        <w:t xml:space="preserve"> are likely to fluctuate rapidly over time and space. </w:t>
      </w:r>
      <w:r w:rsidR="008F5576">
        <w:t>There are several studies from Cambodia that have focussed on socioeconomic predictors of deforestation, which provide some important context.</w:t>
      </w:r>
      <w:r w:rsidR="001E29BB">
        <w:t xml:space="preserve"> </w:t>
      </w:r>
      <w:r w:rsidR="008F5576">
        <w:t xml:space="preserve">At the national scale, human population pressure has been identified as an important driver of deforestation </w:t>
      </w:r>
      <w:r w:rsidR="008F5576">
        <w:fldChar w:fldCharType="begin"/>
      </w:r>
      <w:r w:rsidR="008F5576">
        <w:instrText xml:space="preserve"> ADDIN ZOTERO_ITEM CSL_CITATION {"citationID":"SN7N5ug6","properties":{"formattedCitation":"(Dasgupta et al. 2005)","plainCitation":"(Dasgupta et al. 2005)","noteIndex":0},"citationItems":[{"id":2258,"uris":["http://zotero.org/users/2170232/items/GW5M54UX"],"uri":["http://zotero.org/users/2170232/items/GW5M54UX"],"itemData":{"id":2258,"type":"article-journal","abstract":"Summary\nThis paper investigates the poverty–environment nexus at the provincial and district levels in Cambodia, Lao PDR, and Vietnam. The analysis focuses on spatial associations between poverty populations and five environmental problems: deforestation, fragile soils, indoor air pollution, contaminated water, and outdoor air pollution. The results suggest that the nexus is quite different in each country. We conclude that the nexus concept can provide a useful catalyst for country-specific work, but not a general formula for program design. Joint implementation of poverty and environment strategies may be cost effective for some environmental problems, but independent implementation may be preferable in many cases as well.","container-title":"World Development","DOI":"10.1016/j.worlddev.2004.10.003","ISSN":"0305-750X","issue":"4","journalAbbreviation":"World Development","page":"617-638","source":"ScienceDirect","title":"Where is the Poverty–Environment Nexus? Evidence from Cambodia, Lao PDR, and Vietnam","title-short":"Where is the Poverty–Environment Nexus?","volume":"33","author":[{"family":"Dasgupta","given":"Susmita"},{"family":"Deichmann","given":"Uwe"},{"family":"Meisner","given":"Craig"},{"family":"Wheeler","given":"David"}],"issued":{"date-parts":[["2005",4,1]]}}}],"schema":"https://github.com/citation-style-language/schema/raw/master/csl-citation.json"} </w:instrText>
      </w:r>
      <w:r w:rsidR="008F5576">
        <w:fldChar w:fldCharType="separate"/>
      </w:r>
      <w:r w:rsidR="008F5576" w:rsidRPr="008F5576">
        <w:rPr>
          <w:rFonts w:ascii="Calibri" w:hAnsi="Calibri" w:cs="Calibri"/>
        </w:rPr>
        <w:t>(Dasgupta et al. 2005)</w:t>
      </w:r>
      <w:r w:rsidR="008F5576">
        <w:fldChar w:fldCharType="end"/>
      </w:r>
      <w:r w:rsidR="008F5576">
        <w:t xml:space="preserve">, and </w:t>
      </w:r>
      <w:r w:rsidR="001E29BB">
        <w:t xml:space="preserve">in Northwest Cambodia there have been many direct and indirect drivers of deforestation since 1975, including repatriation of Khmer Rouge soldiers and </w:t>
      </w:r>
      <w:r w:rsidR="001E29BB">
        <w:t>in-migration</w:t>
      </w:r>
      <w:r w:rsidR="001E29BB">
        <w:t xml:space="preserve"> following the end of the civil conflict, refugee repatriation, </w:t>
      </w:r>
      <w:r w:rsidR="00CD0112">
        <w:t>the</w:t>
      </w:r>
      <w:r w:rsidR="001E29BB">
        <w:t xml:space="preserve"> subsequent clearance for subsistence agriculture</w:t>
      </w:r>
      <w:r w:rsidR="00CD0112">
        <w:t>, and the expansion of cash crops such as cassava</w:t>
      </w:r>
      <w:r w:rsidR="001E29BB">
        <w:t xml:space="preserve"> </w:t>
      </w:r>
      <w:r w:rsidR="001E29BB">
        <w:fldChar w:fldCharType="begin"/>
      </w:r>
      <w:r w:rsidR="00CD0112">
        <w:instrText xml:space="preserve"> ADDIN ZOTERO_ITEM CSL_CITATION {"citationID":"f0II8DcC","properties":{"formattedCitation":"(Hought et al. 2012; Kong et al. 2019)","plainCitation":"(Hought et al. 2012; Kong et al. 2019)","noteIndex":0},"citationItems":[{"id":1671,"uris":["http://zotero.org/users/2170232/items/F5WLBRBI"],"uri":["http://zotero.org/users/2170232/items/F5WLBRBI"],"itemData":{"id":1671,"type":"article-journal","abstract":"Crop-based biofuels represent an environmental and political alternative to fossil fuels, as well as an important source of rural development income; as global biofuel markets continue to mature, however, their impact on food security remains controversial. This study investigates the effects of biofuel feedstock adoption by smallholders in the northwestern Cambodian province of Banteay Meanchey, a region undergoing rapid land use change following the formal end of the Khmer Rouge era in 1989 and subsequent rural resettlement. Remote sensing data combined with field interviews pointed to three discrete phases of land use change in this period: first, as a result of the establishment of new settlements (mainly subsistence rice production); second, via the expansion of cash crop cultivation into forested areas (mainly grown on upland fields); and third, due to the response of smallholders to a sharp increase in regional demand for cassava starch (grown exclusively on upland fields). The study found that agricultural expansion due to cassava growing was severe, but it was not the sole contributor to deforestation in the region. The exposure of smallholder economies to the volatile cassava market had severe consequences for livelihoods and food security. The paper concludes with a discussion of the probable impacts of the emerging cassava market on trajectories in land use, land ownership, and land access in rural Cambodia. The case looks at biofuel adoption in the context of other land use changes, but also provides evidence at the local scale of how a strongly market driven crop, in this case biofuel feedstock, can have striking environmental and socioeconomic consequences.","container-title":"Applied Geography","DOI":"10.1016/j.apgeog.2012.02.007","ISSN":"0143-6228","journalAbbreviation":"Applied Geography","page":"525-532","source":"ScienceDirect","title":"Biofuels, land use change and smallholder livelihoods: A case study from Banteay Chhmar, Cambodia","title-short":"Biofuels, land use change and smallholder livelihoods","volume":"34","author":[{"family":"Hought","given":"Joy"},{"family":"Birch-Thomsen","given":"Torben"},{"family":"Petersen","given":"Jacob"},{"family":"Neergaard","given":"Andreas","non-dropping-particle":"de"},{"family":"Oelofse","given":"Myles"}],"issued":{"date-parts":[["2012",5,1]]}}},{"id":2939,"uris":["http://zotero.org/users/2170232/items/MNLFBPTF"],"uri":["http://zotero.org/users/2170232/items/MNLFBPTF"],"itemData":{"id":2939,"type":"article-journal","abstract":"At the end of the 1990s, the Northwestern uplands of Cambodia were one of the last forest frontiers of the country. In a region that was the last Khmer Rouge stronghold, the opening of former conflict zones after a peace agreement initiated a vast movement of agricultural colonization. This movement was economically triggered by high market demand for agricultural commodities such as maize and cassava and fueled by a massive flow of spontaneous in-migration of land-poor farmers from lowland regions around the entire country. Focused on four upland districts along a pioneer front of Northwestern Cambodia, we analyzed historical trajectories of land use/cover changes using a chronological series of Landsat data from 1976 to 2016. We identified key drivers of deforestation using demographic data and qualitative information from local actors and other relevant stakeholders. We found a 65 percent forest cover loss due to conversion by smallholders into agricultural land for maize and cassava cultivation over a period of 15 years. The underlying mechanisms of land use change were further investigated to understand the diversity of individual farm trajectories and decision-making processes in relation to land conversion. These elements of diagnosis are essential to engage farming communities in innovative land use systems and to develop sustainable alternatives to boom crops that have led to the current situation of land degradation and economic instability.","container-title":"Applied Geography","DOI":"10.1016/j.apgeog.2018.12.006","ISSN":"0143-6228","journalAbbreviation":"Applied Geography","language":"en","page":"84-98","source":"ScienceDirect","title":"Understanding the drivers of deforestation and agricultural transformations in the Northwestern uplands of Cambodia","volume":"102","author":[{"family":"Kong","given":"Rada"},{"family":"Diepart","given":"Jean-Christophe"},{"family":"Castella","given":"Jean-Christophe"},{"family":"Lestrelin","given":"Guillaume"},{"family":"Tivet","given":"Florent"},{"family":"Belmain","given":"Elisa"},{"family":"Bégué","given":"Agnès"}],"issued":{"date-parts":[["2019",1,1]]}}}],"schema":"https://github.com/citation-style-language/schema/raw/master/csl-citation.json"} </w:instrText>
      </w:r>
      <w:r w:rsidR="001E29BB">
        <w:fldChar w:fldCharType="separate"/>
      </w:r>
      <w:r w:rsidR="00CD0112" w:rsidRPr="00CD0112">
        <w:rPr>
          <w:rFonts w:ascii="Calibri" w:hAnsi="Calibri" w:cs="Calibri"/>
        </w:rPr>
        <w:t>(</w:t>
      </w:r>
      <w:proofErr w:type="spellStart"/>
      <w:r w:rsidR="00CD0112" w:rsidRPr="00CD0112">
        <w:rPr>
          <w:rFonts w:ascii="Calibri" w:hAnsi="Calibri" w:cs="Calibri"/>
        </w:rPr>
        <w:t>Hought</w:t>
      </w:r>
      <w:proofErr w:type="spellEnd"/>
      <w:r w:rsidR="00CD0112" w:rsidRPr="00CD0112">
        <w:rPr>
          <w:rFonts w:ascii="Calibri" w:hAnsi="Calibri" w:cs="Calibri"/>
        </w:rPr>
        <w:t xml:space="preserve"> et al. 2012; Kong et al. 2019)</w:t>
      </w:r>
      <w:r w:rsidR="001E29BB">
        <w:fldChar w:fldCharType="end"/>
      </w:r>
      <w:r w:rsidR="001E29BB">
        <w:t>. In the Angkor Basin, home to the Angkor temple</w:t>
      </w:r>
      <w:r w:rsidR="008542C1">
        <w:t>s</w:t>
      </w:r>
      <w:r w:rsidR="001E29BB">
        <w:t>,</w:t>
      </w:r>
      <w:r w:rsidR="008542C1">
        <w:t xml:space="preserve"> </w:t>
      </w:r>
      <w:r w:rsidR="008542C1">
        <w:t>a complex mix of global, regional, and local</w:t>
      </w:r>
      <w:r w:rsidR="008542C1">
        <w:t xml:space="preserve"> drivers including tourism, climate change, government policies, economic development, and environmental management </w:t>
      </w:r>
      <w:r w:rsidR="001E29BB">
        <w:t>between 1989 and 2005</w:t>
      </w:r>
      <w:r w:rsidR="008542C1">
        <w:t xml:space="preserve"> caused</w:t>
      </w:r>
      <w:r w:rsidR="001E29BB">
        <w:t xml:space="preserve"> over 23% of the existing forest cover </w:t>
      </w:r>
      <w:r w:rsidR="008542C1">
        <w:t>to be</w:t>
      </w:r>
      <w:r w:rsidR="001E29BB">
        <w:t xml:space="preserve"> lost to </w:t>
      </w:r>
      <w:r w:rsidR="008542C1">
        <w:t xml:space="preserve">agricultural expansion and charcoal production </w:t>
      </w:r>
      <w:r w:rsidR="008542C1">
        <w:fldChar w:fldCharType="begin"/>
      </w:r>
      <w:r w:rsidR="008542C1">
        <w:instrText xml:space="preserve"> ADDIN ZOTERO_ITEM CSL_CITATION {"citationID":"Tk4Yl3LS","properties":{"formattedCitation":"(Gaughan et al. 2009)","plainCitation":"(Gaughan et al. 2009)","noteIndex":0},"citationItems":[{"id":1664,"uris":["http://zotero.org/users/2170232/items/8DCNZD8D"],"uri":["http://zotero.org/users/2170232/items/8DCNZD8D"],"itemData":{"id":1664,"type":"article-journal","abstract":"The Angkor basin of Cambodia, the site of the great Angkor temple complex, has experienced explosive tourism growth since the 1993 onset of national political stability and renewed international investment, which in turn has driven increasing demand for water, wood, and biomass fuel, and rapid and extensive land-use and land-cover change. We use multi-temporal Landsat imagery (1989–2005) to describe the rate and extent of land-cover change throughout the Angkor basin. While 50% of the landscape remained in rice agriculture it is notable that a larger proportion of the area was deforested (23.4%) than experienced forest regrowth (4.9%). Most forest loss occurred between the Angkor temple complex and Phnom Kulen National Park, and was due in part to charcoal production to serve the tourist industry, and also conversion to permanent agriculture. The small area of forest increase was concentrated along the eastern boundary of the main Angkor complex. The interplay among global (tourism, climate), regional (national policies, large-river management), and local (construction and agriculture, energy and water sources to support the tourism industry) factors drives a distinctive but complex pattern of land-use and land-cover change.","container-title":"Applied Geography","DOI":"10.1016/j.apgeog.2008.09.007","ISSN":"0143-6228","issue":"2","journalAbbreviation":"Applied Geography","page":"212-223","source":"ScienceDirect","title":"Tourism, forest conversion, and land transformations in the Angkor basin, Cambodia","volume":"29","author":[{"family":"Gaughan","given":"Andrea E."},{"family":"Binford","given":"Michael W."},{"family":"Southworth","given":"Jane"}],"issued":{"date-parts":[["2009",4,1]]}}}],"schema":"https://github.com/citation-style-language/schema/raw/master/csl-citation.json"} </w:instrText>
      </w:r>
      <w:r w:rsidR="008542C1">
        <w:fldChar w:fldCharType="separate"/>
      </w:r>
      <w:r w:rsidR="008542C1" w:rsidRPr="008542C1">
        <w:rPr>
          <w:rFonts w:ascii="Calibri" w:hAnsi="Calibri" w:cs="Calibri"/>
        </w:rPr>
        <w:t>(</w:t>
      </w:r>
      <w:proofErr w:type="spellStart"/>
      <w:r w:rsidR="008542C1" w:rsidRPr="008542C1">
        <w:rPr>
          <w:rFonts w:ascii="Calibri" w:hAnsi="Calibri" w:cs="Calibri"/>
        </w:rPr>
        <w:t>Gaughan</w:t>
      </w:r>
      <w:proofErr w:type="spellEnd"/>
      <w:r w:rsidR="008542C1" w:rsidRPr="008542C1">
        <w:rPr>
          <w:rFonts w:ascii="Calibri" w:hAnsi="Calibri" w:cs="Calibri"/>
        </w:rPr>
        <w:t xml:space="preserve"> et al. 2009)</w:t>
      </w:r>
      <w:r w:rsidR="008542C1">
        <w:fldChar w:fldCharType="end"/>
      </w:r>
      <w:r w:rsidR="008542C1">
        <w:t xml:space="preserve">. </w:t>
      </w:r>
    </w:p>
    <w:p w14:paraId="5B3FE714" w14:textId="65947B6A" w:rsidR="00BB17C1" w:rsidRDefault="00086943">
      <w:r>
        <w:t>Integrated conservation and development projects</w:t>
      </w:r>
      <w:r w:rsidR="00E821FF">
        <w:t xml:space="preserve"> (ICDPs)</w:t>
      </w:r>
      <w:r>
        <w:t xml:space="preserve"> that</w:t>
      </w:r>
      <w:r w:rsidR="004336C4">
        <w:t xml:space="preserve"> aim to tackle both forest loss and socioeconomic development at the same time have </w:t>
      </w:r>
      <w:r>
        <w:t xml:space="preserve">had mixed results (e.g., </w:t>
      </w:r>
      <w:r>
        <w:fldChar w:fldCharType="begin"/>
      </w:r>
      <w:r>
        <w:instrText xml:space="preserve"> ADDIN ZOTERO_ITEM CSL_CITATION {"citationID":"eL10p2mg","properties":{"formattedCitation":"(Geist &amp; Lambin 2003; Chambers et al. 2020; Bernhard et al. 2021)","plainCitation":"(Geist &amp; Lambin 2003; Chambers et al. 2020; Bernhard et al. 2021)","noteIndex":0},"citationItems":[{"id":2941,"uris":["http://zotero.org/users/2170232/items/PAZIGWER"],"uri":["http://zotero.org/users/2170232/items/PAZIGWER"],"itemData":{"id":2941,"type":"article-journal","container-title":"The International Forestry Review","ISSN":"1465-5489","issue":"1","note":"publisher: Commonwealth Forestry Association","page":"64-67","source":"JSTOR","title":"Is poverty the cause of tropical deforestation?","volume":"5","author":[{"family":"Geist","given":"H."},{"family":"Lambin","given":"E."}],"issued":{"date-parts":[["2003"]]}}},{"id":2960,"uris":["http://zotero.org/users/2170232/items/TIGFEJD3"],"uri":["http://zotero.org/users/2170232/items/TIGFEJD3"],"itemData":{"id":2960,"type":"article-journal","abstract":"Conservation projects commonly claim to convert local people into long-term environmental stewards and improve their well-being. Yet, evidence frequently contradicts these win-win claims. The “multiple environmentalities” framework outlines distinct approaches that projects often use to foster environmental motivation and behavior: (1) neoliberal: constructing material incentives, (2) sovereign: imposing protective laws, and (3) disciplinary: fostering norms and values. We use a mixed method approach to examine how combinations of these environmentalities shape the land use motivations and behavior of 270 families living in 15 project settings in the Peruvian Amazon. We identify four direct reasons why these projects often fail to achieve their intended outcomes, regardless of the environmentalities employed: (1) self-selection of like-minded individuals, (2) limited ability of extrinsic motivators (i.e. material incentives and protective laws) to reduce reported deforestation behaviors, (3) limited internalization of motivations for conservation, and (4) ignored broader economic drivers of deforestation. We argue that these challenges stem from the typical external design of conservation projects based on fixed and limited interpretations of human motivation. Our findings point to the importance of deliberative processes that can support local and external actors to navigate and reframe competing motivations to co-design approaches to conservation governance at local and broader scales.","container-title":"Environment and Planning E: Nature and Space","DOI":"10.1177/2514848619873910","ISSN":"2514-8486","issue":"2","journalAbbreviation":"Environment and Planning E: Nature and Space","language":"en","note":"publisher: SAGE Publications Ltd STM","page":"365-398","source":"SAGE Journals","title":"Why joint conservation and development projects often fail: An in-depth examination in the Peruvian Amazon","title-short":"Why joint conservation and development projects often fail","volume":"3","author":[{"family":"Chambers","given":"Josephine"},{"family":"Aguila Mejía","given":"Margarita Del"},{"family":"Ramírez Reátegui","given":"Raydith"},{"family":"Sandbrook","given":"Chris"}],"issued":{"date-parts":[["2020",6,1]]}}},{"id":2958,"uris":["http://zotero.org/users/2170232/items/ED8PEK8T"],"uri":["http://zotero.org/users/2170232/items/ED8PEK8T"],"itemData":{"id":2958,"type":"article-journal","abstract":"This study supplements spatial panel econometrics techniques with qualitative GIS to analyse spatio-temporal changes in the distribution of integrated conservation–development projects relative to poaching activity and unauthorized resource use in Volcanoes National Park, Rwanda. Cluster and spatial regression analyses were performed on data from ranger monitoring containing &gt; 35,000 combined observations of illegal activities in Volcanoes National Park, against tourism revenue sharing and conservation NGO funding data for 2006–2015. Results were enriched with qualitative GIS analysis from key informant interviews. We found a statistically significant negative linear effect of overall integrated conservation–development investments on unauthorized resource use in Volcanoes National Park. However, individually, funding from Rwanda's tourism revenue sharing policy did not have an effect in contrast to the significant negative effect of conservation NGO funding. In another contrast between NGO funding and tourism revenue sharing funding, spatial analysis revealed significant gaps in revenue sharing funding relative to the hotspots of illegal activities, but these gaps were not present for NGO funding. Insight from qualitative GIS analysis suggests that incongruity in prioritization by decision makers at least partly explains the differences between the effects of revenue sharing and conservation NGO investment. Although the overall results are encouraging for integrated conservation–development projects, we recommend increased spatial alignment of project funding with clusters of illegal activities, which can make investment decision-making more data-driven and projects more effective for conservation.","container-title":"Oryx","DOI":"10.1017/S0030605319000735","ISSN":"0030-6053, 1365-3008","issue":"4","language":"en","note":"publisher: Cambridge University Press","page":"613-624","source":"Cambridge University Press","title":"Effects of integrated conservation–development projects on unauthorized resource use in Volcanoes National Park, Rwanda: a mixed-methods spatio-temporal approach","title-short":"Effects of integrated conservation–development projects on unauthorized resource use in Volcanoes National Park, Rwanda","volume":"55","author":[{"family":"Bernhard","given":"Katie P."},{"family":"Smith","given":"Thomas E. L."},{"family":"Sabuhoro","given":"Edwin"},{"family":"Nyandwi","given":"Elias"},{"family":"Munanura","given":"Ian E."}],"issued":{"date-parts":[["2021",7]]}}}],"schema":"https://github.com/citation-style-language/schema/raw/master/csl-citation.json"} </w:instrText>
      </w:r>
      <w:r>
        <w:fldChar w:fldCharType="separate"/>
      </w:r>
      <w:r w:rsidRPr="00086943">
        <w:rPr>
          <w:rFonts w:ascii="Calibri" w:hAnsi="Calibri" w:cs="Calibri"/>
        </w:rPr>
        <w:t xml:space="preserve">Geist &amp; </w:t>
      </w:r>
      <w:proofErr w:type="spellStart"/>
      <w:r w:rsidRPr="00086943">
        <w:rPr>
          <w:rFonts w:ascii="Calibri" w:hAnsi="Calibri" w:cs="Calibri"/>
        </w:rPr>
        <w:t>Lambin</w:t>
      </w:r>
      <w:proofErr w:type="spellEnd"/>
      <w:r w:rsidRPr="00086943">
        <w:rPr>
          <w:rFonts w:ascii="Calibri" w:hAnsi="Calibri" w:cs="Calibri"/>
        </w:rPr>
        <w:t xml:space="preserve"> 2003; Chambers et al. 2020; Bernhard et al. 2021)</w:t>
      </w:r>
      <w:r>
        <w:fldChar w:fldCharType="end"/>
      </w:r>
      <w:r w:rsidR="00212B19">
        <w:t xml:space="preserve">. These projects can have unintended consequences for a number of reasons, including poor management of incentives or weak enforcement of protective laws, misinterpretation of stakeholder motivations, or failure to account for </w:t>
      </w:r>
      <w:r w:rsidR="000A7573">
        <w:t xml:space="preserve">underlying </w:t>
      </w:r>
      <w:r w:rsidR="00212B19">
        <w:t xml:space="preserve">economic drivers </w:t>
      </w:r>
      <w:r w:rsidR="000A7573">
        <w:t xml:space="preserve">operating at a broader scale </w:t>
      </w:r>
      <w:r w:rsidR="000A7573">
        <w:fldChar w:fldCharType="begin"/>
      </w:r>
      <w:r w:rsidR="000A7573">
        <w:instrText xml:space="preserve"> ADDIN ZOTERO_ITEM CSL_CITATION {"citationID":"9oPGvtHe","properties":{"formattedCitation":"(Chambers et al. 2020)","plainCitation":"(Chambers et al. 2020)","noteIndex":0},"citationItems":[{"id":2960,"uris":["http://zotero.org/users/2170232/items/TIGFEJD3"],"uri":["http://zotero.org/users/2170232/items/TIGFEJD3"],"itemData":{"id":2960,"type":"article-journal","abstract":"Conservation projects commonly claim to convert local people into long-term environmental stewards and improve their well-being. Yet, evidence frequently contradicts these win-win claims. The “multiple environmentalities” framework outlines distinct approaches that projects often use to foster environmental motivation and behavior: (1) neoliberal: constructing material incentives, (2) sovereign: imposing protective laws, and (3) disciplinary: fostering norms and values. We use a mixed method approach to examine how combinations of these environmentalities shape the land use motivations and behavior of 270 families living in 15 project settings in the Peruvian Amazon. We identify four direct reasons why these projects often fail to achieve their intended outcomes, regardless of the environmentalities employed: (1) self-selection of like-minded individuals, (2) limited ability of extrinsic motivators (i.e. material incentives and protective laws) to reduce reported deforestation behaviors, (3) limited internalization of motivations for conservation, and (4) ignored broader economic drivers of deforestation. We argue that these challenges stem from the typical external design of conservation projects based on fixed and limited interpretations of human motivation. Our findings point to the importance of deliberative processes that can support local and external actors to navigate and reframe competing motivations to co-design approaches to conservation governance at local and broader scales.","container-title":"Environment and Planning E: Nature and Space","DOI":"10.1177/2514848619873910","ISSN":"2514-8486","issue":"2","journalAbbreviation":"Environment and Planning E: Nature and Space","language":"en","note":"publisher: SAGE Publications Ltd STM","page":"365-398","source":"SAGE Journals","title":"Why joint conservation and development projects often fail: An in-depth examination in the Peruvian Amazon","title-short":"Why joint conservation and development projects often fail","volume":"3","author":[{"family":"Chambers","given":"Josephine"},{"family":"Aguila Mejía","given":"Margarita Del"},{"family":"Ramírez Reátegui","given":"Raydith"},{"family":"Sandbrook","given":"Chris"}],"issued":{"date-parts":[["2020",6,1]]}}}],"schema":"https://github.com/citation-style-language/schema/raw/master/csl-citation.json"} </w:instrText>
      </w:r>
      <w:r w:rsidR="000A7573">
        <w:fldChar w:fldCharType="separate"/>
      </w:r>
      <w:r w:rsidR="000A7573" w:rsidRPr="000A7573">
        <w:rPr>
          <w:rFonts w:ascii="Calibri" w:hAnsi="Calibri" w:cs="Calibri"/>
        </w:rPr>
        <w:t>(Chambers et al. 2020)</w:t>
      </w:r>
      <w:r w:rsidR="000A7573">
        <w:fldChar w:fldCharType="end"/>
      </w:r>
      <w:r w:rsidR="000A7573">
        <w:t xml:space="preserve">. </w:t>
      </w:r>
      <w:r w:rsidR="00E821FF">
        <w:t xml:space="preserve">National </w:t>
      </w:r>
      <w:r w:rsidR="007F53DC">
        <w:t>economic and environmental policies, and i</w:t>
      </w:r>
      <w:r w:rsidR="00E821FF">
        <w:t>nterventions such as ICDPs</w:t>
      </w:r>
      <w:r w:rsidR="007F53DC">
        <w:t>,</w:t>
      </w:r>
      <w:r w:rsidR="00E821FF">
        <w:t xml:space="preserve"> will be vulnerable to failure if the relationships between forest cover and loss and 1) broad economic drivers and 2) </w:t>
      </w:r>
      <w:r w:rsidR="00E821FF">
        <w:t xml:space="preserve">local socioeconomic conditions </w:t>
      </w:r>
      <w:r w:rsidR="00E821FF">
        <w:t xml:space="preserve">are not </w:t>
      </w:r>
      <w:r w:rsidR="00E821FF">
        <w:lastRenderedPageBreak/>
        <w:t xml:space="preserve">understood and accounted for. </w:t>
      </w:r>
      <w:r w:rsidR="007F53DC">
        <w:t xml:space="preserve">In chapter 1 I addressed the relationships between macroeconomic drivers and forest loss at the national scale. Previous studies have evaluated the relationships between forest cover and socioeconomics in small, discrete locations within Cambodia </w:t>
      </w:r>
      <w:r w:rsidR="007F53DC">
        <w:fldChar w:fldCharType="begin"/>
      </w:r>
      <w:r w:rsidR="007F53DC">
        <w:instrText xml:space="preserve"> ADDIN ZOTERO_ITEM CSL_CITATION {"citationID":"stNxImhB","properties":{"formattedCitation":"(Dasgupta et al. 2005; Gaughan et al. 2009; Hought et al. 2012; Kong et al. 2019)","plainCitation":"(Dasgupta et al. 2005; Gaughan et al. 2009; Hought et al. 2012; Kong et al. 2019)","noteIndex":0},"citationItems":[{"id":2258,"uris":["http://zotero.org/users/2170232/items/GW5M54UX"],"uri":["http://zotero.org/users/2170232/items/GW5M54UX"],"itemData":{"id":2258,"type":"article-journal","abstract":"Summary\nThis paper investigates the poverty–environment nexus at the provincial and district levels in Cambodia, Lao PDR, and Vietnam. The analysis focuses on spatial associations between poverty populations and five environmental problems: deforestation, fragile soils, indoor air pollution, contaminated water, and outdoor air pollution. The results suggest that the nexus is quite different in each country. We conclude that the nexus concept can provide a useful catalyst for country-specific work, but not a general formula for program design. Joint implementation of poverty and environment strategies may be cost effective for some environmental problems, but independent implementation may be preferable in many cases as well.","container-title":"World Development","DOI":"10.1016/j.worlddev.2004.10.003","ISSN":"0305-750X","issue":"4","journalAbbreviation":"World Development","page":"617-638","source":"ScienceDirect","title":"Where is the Poverty–Environment Nexus? Evidence from Cambodia, Lao PDR, and Vietnam","title-short":"Where is the Poverty–Environment Nexus?","volume":"33","author":[{"family":"Dasgupta","given":"Susmita"},{"family":"Deichmann","given":"Uwe"},{"family":"Meisner","given":"Craig"},{"family":"Wheeler","given":"David"}],"issued":{"date-parts":[["2005",4,1]]}}},{"id":1664,"uris":["http://zotero.org/users/2170232/items/8DCNZD8D"],"uri":["http://zotero.org/users/2170232/items/8DCNZD8D"],"itemData":{"id":1664,"type":"article-journal","abstract":"The Angkor basin of Cambodia, the site of the great Angkor temple complex, has experienced explosive tourism growth since the 1993 onset of national political stability and renewed international investment, which in turn has driven increasing demand for water, wood, and biomass fuel, and rapid and extensive land-use and land-cover change. We use multi-temporal Landsat imagery (1989–2005) to describe the rate and extent of land-cover change throughout the Angkor basin. While 50% of the landscape remained in rice agriculture it is notable that a larger proportion of the area was deforested (23.4%) than experienced forest regrowth (4.9%). Most forest loss occurred between the Angkor temple complex and Phnom Kulen National Park, and was due in part to charcoal production to serve the tourist industry, and also conversion to permanent agriculture. The small area of forest increase was concentrated along the eastern boundary of the main Angkor complex. The interplay among global (tourism, climate), regional (national policies, large-river management), and local (construction and agriculture, energy and water sources to support the tourism industry) factors drives a distinctive but complex pattern of land-use and land-cover change.","container-title":"Applied Geography","DOI":"10.1016/j.apgeog.2008.09.007","ISSN":"0143-6228","issue":"2","journalAbbreviation":"Applied Geography","page":"212-223","source":"ScienceDirect","title":"Tourism, forest conversion, and land transformations in the Angkor basin, Cambodia","volume":"29","author":[{"family":"Gaughan","given":"Andrea E."},{"family":"Binford","given":"Michael W."},{"family":"Southworth","given":"Jane"}],"issued":{"date-parts":[["2009",4,1]]}}},{"id":1671,"uris":["http://zotero.org/users/2170232/items/F5WLBRBI"],"uri":["http://zotero.org/users/2170232/items/F5WLBRBI"],"itemData":{"id":1671,"type":"article-journal","abstract":"Crop-based biofuels represent an environmental and political alternative to fossil fuels, as well as an important source of rural development income; as global biofuel markets continue to mature, however, their impact on food security remains controversial. This study investigates the effects of biofuel feedstock adoption by smallholders in the northwestern Cambodian province of Banteay Meanchey, a region undergoing rapid land use change following the formal end of the Khmer Rouge era in 1989 and subsequent rural resettlement. Remote sensing data combined with field interviews pointed to three discrete phases of land use change in this period: first, as a result of the establishment of new settlements (mainly subsistence rice production); second, via the expansion of cash crop cultivation into forested areas (mainly grown on upland fields); and third, due to the response of smallholders to a sharp increase in regional demand for cassava starch (grown exclusively on upland fields). The study found that agricultural expansion due to cassava growing was severe, but it was not the sole contributor to deforestation in the region. The exposure of smallholder economies to the volatile cassava market had severe consequences for livelihoods and food security. The paper concludes with a discussion of the probable impacts of the emerging cassava market on trajectories in land use, land ownership, and land access in rural Cambodia. The case looks at biofuel adoption in the context of other land use changes, but also provides evidence at the local scale of how a strongly market driven crop, in this case biofuel feedstock, can have striking environmental and socioeconomic consequences.","container-title":"Applied Geography","DOI":"10.1016/j.apgeog.2012.02.007","ISSN":"0143-6228","journalAbbreviation":"Applied Geography","page":"525-532","source":"ScienceDirect","title":"Biofuels, land use change and smallholder livelihoods: A case study from Banteay Chhmar, Cambodia","title-short":"Biofuels, land use change and smallholder livelihoods","volume":"34","author":[{"family":"Hought","given":"Joy"},{"family":"Birch-Thomsen","given":"Torben"},{"family":"Petersen","given":"Jacob"},{"family":"Neergaard","given":"Andreas","non-dropping-particle":"de"},{"family":"Oelofse","given":"Myles"}],"issued":{"date-parts":[["2012",5,1]]}}},{"id":2939,"uris":["http://zotero.org/users/2170232/items/MNLFBPTF"],"uri":["http://zotero.org/users/2170232/items/MNLFBPTF"],"itemData":{"id":2939,"type":"article-journal","abstract":"At the end of the 1990s, the Northwestern uplands of Cambodia were one of the last forest frontiers of the country. In a region that was the last Khmer Rouge stronghold, the opening of former conflict zones after a peace agreement initiated a vast movement of agricultural colonization. This movement was economically triggered by high market demand for agricultural commodities such as maize and cassava and fueled by a massive flow of spontaneous in-migration of land-poor farmers from lowland regions around the entire country. Focused on four upland districts along a pioneer front of Northwestern Cambodia, we analyzed historical trajectories of land use/cover changes using a chronological series of Landsat data from 1976 to 2016. We identified key drivers of deforestation using demographic data and qualitative information from local actors and other relevant stakeholders. We found a 65 percent forest cover loss due to conversion by smallholders into agricultural land for maize and cassava cultivation over a period of 15 years. The underlying mechanisms of land use change were further investigated to understand the diversity of individual farm trajectories and decision-making processes in relation to land conversion. These elements of diagnosis are essential to engage farming communities in innovative land use systems and to develop sustainable alternatives to boom crops that have led to the current situation of land degradation and economic instability.","container-title":"Applied Geography","DOI":"10.1016/j.apgeog.2018.12.006","ISSN":"0143-6228","journalAbbreviation":"Applied Geography","language":"en","page":"84-98","source":"ScienceDirect","title":"Understanding the drivers of deforestation and agricultural transformations in the Northwestern uplands of Cambodia","volume":"102","author":[{"family":"Kong","given":"Rada"},{"family":"Diepart","given":"Jean-Christophe"},{"family":"Castella","given":"Jean-Christophe"},{"family":"Lestrelin","given":"Guillaume"},{"family":"Tivet","given":"Florent"},{"family":"Belmain","given":"Elisa"},{"family":"Bégué","given":"Agnès"}],"issued":{"date-parts":[["2019",1,1]]}}}],"schema":"https://github.com/citation-style-language/schema/raw/master/csl-citation.json"} </w:instrText>
      </w:r>
      <w:r w:rsidR="007F53DC">
        <w:fldChar w:fldCharType="separate"/>
      </w:r>
      <w:r w:rsidR="007F53DC" w:rsidRPr="007F53DC">
        <w:rPr>
          <w:rFonts w:ascii="Calibri" w:hAnsi="Calibri" w:cs="Calibri"/>
        </w:rPr>
        <w:t xml:space="preserve">(Dasgupta et al. 2005; </w:t>
      </w:r>
      <w:proofErr w:type="spellStart"/>
      <w:r w:rsidR="007F53DC" w:rsidRPr="007F53DC">
        <w:rPr>
          <w:rFonts w:ascii="Calibri" w:hAnsi="Calibri" w:cs="Calibri"/>
        </w:rPr>
        <w:t>Gaughan</w:t>
      </w:r>
      <w:proofErr w:type="spellEnd"/>
      <w:r w:rsidR="007F53DC" w:rsidRPr="007F53DC">
        <w:rPr>
          <w:rFonts w:ascii="Calibri" w:hAnsi="Calibri" w:cs="Calibri"/>
        </w:rPr>
        <w:t xml:space="preserve"> et al. 2009; </w:t>
      </w:r>
      <w:proofErr w:type="spellStart"/>
      <w:r w:rsidR="007F53DC" w:rsidRPr="007F53DC">
        <w:rPr>
          <w:rFonts w:ascii="Calibri" w:hAnsi="Calibri" w:cs="Calibri"/>
        </w:rPr>
        <w:t>Hought</w:t>
      </w:r>
      <w:proofErr w:type="spellEnd"/>
      <w:r w:rsidR="007F53DC" w:rsidRPr="007F53DC">
        <w:rPr>
          <w:rFonts w:ascii="Calibri" w:hAnsi="Calibri" w:cs="Calibri"/>
        </w:rPr>
        <w:t xml:space="preserve"> et al. 2012; Kong et al. 2019)</w:t>
      </w:r>
      <w:r w:rsidR="007F53DC">
        <w:fldChar w:fldCharType="end"/>
      </w:r>
      <w:r w:rsidR="007F53DC">
        <w:t>, but to my knowledge, no study has attempted this at a national scale.  Therefore, in this chapter I aim to fill this research gap by</w:t>
      </w:r>
      <w:r w:rsidR="002473F5">
        <w:t xml:space="preserve"> exploring </w:t>
      </w:r>
      <w:r w:rsidR="006E6AD5">
        <w:t>whether</w:t>
      </w:r>
      <w:r w:rsidR="002473F5">
        <w:t xml:space="preserve"> high resolution spatially</w:t>
      </w:r>
      <w:r w:rsidR="00636916">
        <w:t xml:space="preserve"> </w:t>
      </w:r>
      <w:r w:rsidR="002473F5">
        <w:t xml:space="preserve">explicit socioeconomic </w:t>
      </w:r>
      <w:r w:rsidR="006E6AD5">
        <w:t>variables</w:t>
      </w:r>
      <w:r w:rsidR="002473F5">
        <w:t xml:space="preserve"> from</w:t>
      </w:r>
      <w:r w:rsidR="006E6AD5">
        <w:t xml:space="preserve"> the across Cambodia</w:t>
      </w:r>
      <w:r w:rsidR="002473F5">
        <w:t xml:space="preserve"> </w:t>
      </w:r>
      <w:r w:rsidR="006E6AD5">
        <w:t xml:space="preserve">can </w:t>
      </w:r>
      <w:r w:rsidR="002473F5">
        <w:t>predict forest cover</w:t>
      </w:r>
      <w:r w:rsidR="006E6AD5">
        <w:t>,</w:t>
      </w:r>
      <w:r w:rsidR="00636916">
        <w:t xml:space="preserve"> and whether a non-statistical approach can reveal further patterns between socioeconomics and forest cover. My objectives are therefore to </w:t>
      </w:r>
      <w:r w:rsidR="007F53DC">
        <w:t>1) model the relationship between socioeconomic variables and forest cover for the whole country a</w:t>
      </w:r>
      <w:r w:rsidR="0011317E">
        <w:t>t</w:t>
      </w:r>
      <w:r w:rsidR="007F53DC">
        <w:t xml:space="preserve"> two spatial resolutions (Province, Commune)</w:t>
      </w:r>
      <w:r w:rsidR="00636916">
        <w:t xml:space="preserve"> using generalised liner mixed models</w:t>
      </w:r>
      <w:r w:rsidR="007F53DC">
        <w:t xml:space="preserve">, and 2) use a cluster analysis to create a provincial-level socioeconomic typology which further describes the relationships between socioeconomic development and forest cover. </w:t>
      </w:r>
    </w:p>
    <w:p w14:paraId="0D0B548E" w14:textId="5CA370EE" w:rsidR="00D6664E" w:rsidRDefault="00D6664E">
      <w:pPr>
        <w:rPr>
          <w:b/>
          <w:bCs/>
        </w:rPr>
      </w:pPr>
      <w:r>
        <w:rPr>
          <w:b/>
          <w:bCs/>
        </w:rPr>
        <w:t xml:space="preserve">Methods </w:t>
      </w:r>
    </w:p>
    <w:p w14:paraId="05304B88" w14:textId="0317184E" w:rsidR="00D6664E" w:rsidRDefault="00D6664E">
      <w:r>
        <w:t>Study area?</w:t>
      </w:r>
    </w:p>
    <w:p w14:paraId="68093268" w14:textId="77777777" w:rsidR="00D6664E" w:rsidRDefault="00D6664E">
      <w:pPr>
        <w:rPr>
          <w:b/>
          <w:bCs/>
        </w:rPr>
      </w:pPr>
    </w:p>
    <w:p w14:paraId="0248F79B" w14:textId="77777777" w:rsidR="000920A2" w:rsidRPr="00D6664E" w:rsidRDefault="000920A2" w:rsidP="000920A2">
      <w:pPr>
        <w:rPr>
          <w:i/>
          <w:iCs/>
        </w:rPr>
      </w:pPr>
      <w:r w:rsidRPr="00D6664E">
        <w:rPr>
          <w:i/>
          <w:iCs/>
        </w:rPr>
        <w:t>Data sources</w:t>
      </w:r>
    </w:p>
    <w:p w14:paraId="78A445ED" w14:textId="1AEB1664" w:rsidR="00D6664E" w:rsidRPr="000920A2" w:rsidRDefault="000920A2">
      <w:r>
        <w:t>S</w:t>
      </w:r>
      <w:r w:rsidRPr="00D6664E">
        <w:t xml:space="preserve">ocioeconomic variables were extracted from the Cambodian Commune Database for the years 2007 – 2012 (Table </w:t>
      </w:r>
      <w:r>
        <w:t>1</w:t>
      </w:r>
      <w:r w:rsidRPr="00D6664E">
        <w:t>) which are available from Open Development Cambodia (</w:t>
      </w:r>
      <w:hyperlink r:id="rId5" w:history="1">
        <w:r w:rsidRPr="00D6664E">
          <w:rPr>
            <w:rStyle w:val="Hyperlink"/>
          </w:rPr>
          <w:t>www.opendevelopmentcambodia.net</w:t>
        </w:r>
      </w:hyperlink>
      <w:r w:rsidRPr="00D6664E">
        <w:t>). Data on economic land concessions, protected areas, and elevation (digital elevation model), and shapefiles for the country, provinces, and communes were provided by the</w:t>
      </w:r>
      <w:r>
        <w:t xml:space="preserve"> Royal Government of Cambodia (via the</w:t>
      </w:r>
      <w:r w:rsidRPr="00D6664E">
        <w:t xml:space="preserve"> Wildlife Conservation Society</w:t>
      </w:r>
      <w:r>
        <w:t>)</w:t>
      </w:r>
      <w:r w:rsidRPr="00D6664E">
        <w:t>. Forest cover layers were taken from the publicly available European Space Agency Climate Change Initiative (ESACCI) satellite data.</w:t>
      </w:r>
    </w:p>
    <w:p w14:paraId="280C0928" w14:textId="43DFB80B" w:rsidR="00D6664E" w:rsidRPr="000920A2" w:rsidRDefault="00D6664E">
      <w:pPr>
        <w:rPr>
          <w:i/>
          <w:iCs/>
        </w:rPr>
      </w:pPr>
      <w:r w:rsidRPr="000920A2">
        <w:rPr>
          <w:i/>
          <w:iCs/>
        </w:rPr>
        <w:t>Variable selection</w:t>
      </w:r>
    </w:p>
    <w:p w14:paraId="1E4EC5AA" w14:textId="5838DDB2" w:rsidR="00D6664E" w:rsidRPr="00D6664E" w:rsidRDefault="00D6664E" w:rsidP="00D6664E">
      <w:r w:rsidRPr="00D6664E">
        <w:t>The response variable was forest cover area</w:t>
      </w:r>
      <w:r w:rsidR="000920A2">
        <w:t xml:space="preserve"> and was calculated using the ESACCI data product (see ‘data processing’ below)</w:t>
      </w:r>
      <w:r w:rsidRPr="00D6664E">
        <w:t xml:space="preserve">. </w:t>
      </w:r>
      <w:r w:rsidR="000920A2">
        <w:t>S</w:t>
      </w:r>
      <w:r w:rsidRPr="00D6664E">
        <w:t>ocioeconomic and control variables were selected based on a combination of previous studies, data availability, and the authors’ knowledge of Cambodia.</w:t>
      </w:r>
      <w:r w:rsidR="000920A2">
        <w:t xml:space="preserve"> </w:t>
      </w:r>
      <w:r w:rsidRPr="00D6664E">
        <w:t xml:space="preserve">Socioeconomic variables were selected to create 8 variable sets reflecting different aspects of socioeconomic status and development, each of which was hypothesised to be either a driver or predictor of forest cover </w:t>
      </w:r>
      <w:r w:rsidRPr="00D6664E">
        <w:fldChar w:fldCharType="begin"/>
      </w:r>
      <w:r w:rsidR="007723BD">
        <w:instrText xml:space="preserve"> ADDIN ZOTERO_ITEM CSL_CITATION {"citationID":"YrLq4LLp","properties":{"formattedCitation":"(Dasgupta et al. 2005; Mena et al. 2006; Rowcroft 2008; Luck et al. 2009; Ty et al. 2012; Kristensen et al. 2016; Bonilla-Bedoya et al. 2018)","plainCitation":"(Dasgupta et al. 2005; Mena et al. 2006; Rowcroft 2008; Luck et al. 2009; Ty et al. 2012; Kristensen et al. 2016; Bonilla-Bedoya et al. 2018)","dontUpdate":true,"noteIndex":0},"citationItems":[{"id":2258,"uris":["http://zotero.org/users/2170232/items/GW5M54UX"],"uri":["http://zotero.org/users/2170232/items/GW5M54UX"],"itemData":{"id":2258,"type":"article-journal","abstract":"Summary\nThis paper investigates the poverty–environment nexus at the provincial and district levels in Cambodia, Lao PDR, and Vietnam. The analysis focuses on spatial associations between poverty populations and five environmental problems: deforestation, fragile soils, indoor air pollution, contaminated water, and outdoor air pollution. The results suggest that the nexus is quite different in each country. We conclude that the nexus concept can provide a useful catalyst for country-specific work, but not a general formula for program design. Joint implementation of poverty and environment strategies may be cost effective for some environmental problems, but independent implementation may be preferable in many cases as well.","container-title":"World Development","DOI":"10.1016/j.worlddev.2004.10.003","ISSN":"0305-750X","issue":"4","journalAbbreviation":"World Development","page":"617-638","source":"ScienceDirect","title":"Where is the Poverty–Environment Nexus? Evidence from Cambodia, Lao PDR, and Vietnam","title-short":"Where is the Poverty–Environment Nexus?","volume":"33","author":[{"family":"Dasgupta","given":"Susmita"},{"family":"Deichmann","given":"Uwe"},{"family":"Meisner","given":"Craig"},{"family":"Wheeler","given":"David"}],"issued":{"date-parts":[["2005",4,1]]}}},{"id":2260,"uris":["http://zotero.org/users/2170232/items/BTIITC3E"],"uri":["http://zotero.org/users/2170232/items/BTIITC3E"],"itemData":{"id":2260,"type":"article-journal","abstract":"Investigations of land use/land cover (LULC) change and forest management are limited by a lack of understanding of how socioeconomic factors affect land use. This lack also constrains the predictions of future deforestation, which is especially important in the Amazon basin, where large tracts of natural forest are being converted to managed uses. Research presented in this article was conducted to address this lack of understanding. Its objectives are (a) to quantify deforestation in the Northern Ecuadorian Amazon (NEA) during the periods 1986–1996 and 1996–2002; and (b) to determine the significance and magnitude of the effects of socioeconomic factors on deforestation rates at both the parroquia (parish) and finca (farm) levels. Annual deforestation rates were quantified via satellite image processing and geographic information systems. Linear spatial lag regression analyses were then used to explore relationships between socioeconomic factors and deforestation. Socioeconomic factors were obtained, at the finca level, from a detailed household survey carried out in 1990 and 1999, and at the parroquia level from data in the 1990 and 2001 Ecuadorian censuses of population. We found that the average annual deforestation rate was 2.5% and 1.8%/year for 1986–1996 and 1996–2002, respectively. At the parroquia level, variables representing demographic factors (i.e., population density) and accessibility factors (i.e., road density), among others, were found to be significantly related to deforestation. At the farm level, the factors related to deforestation were household size, distance by road to main cities, education, and hired labor. The findings of this research demonstrate both the severity of deforestation in the Northern Ecuadorian Amazon and the array of factors affecting deforestation in the tropics.","container-title":"Environmental Management","DOI":"10.1007/s00267-003-0230-z","ISSN":"1432-1009","issue":"6","journalAbbreviation":"Environmental Management","language":"en","page":"802-815","source":"Springer Link","title":"Socioeconomic Drivers of Deforestation in the Northern Ecuadorian Amazon","volume":"37","author":[{"family":"Mena","given":"Carlos F."},{"family":"Bilsborrow","given":"Richard E."},{"family":"McClain","given":"Michael E."}],"issued":{"date-parts":[["2006",6,1]]}}},{"id":2942,"uris":["http://zotero.org/users/2170232/items/V6APMHVL"],"uri":["http://zotero.org/users/2170232/items/V6APMHVL"],"itemData":{"id":2942,"type":"article-journal","abstract":"Land-use change processes are commonly understood as simplified cause-effect relationships, which, in turn, support many environment-development policies. This paper uses wide-ranging evidence from a number of global case studies to challenge some of the prevailing “myths” around land-use change in the Mekong Basin and supports the conclusion that the simple explanations found in population growth, poverty, and infrastructure studies rarely provide an adequate understanding of land-use change.","container-title":"AMBIO: A Journal of the Human Environment","DOI":"10.1579/0044-7447(2008)37[213:FOCTRB]2.0.CO;2","ISSN":"0044-7447, 1654-7209","issue":"3","journalAbbreviation":"ambi","note":"publisher: Royal Swedish Academy of Sciences","page":"213-218","source":"bioone.org","title":"Frontiers of Change: The Reasons Behind Land-use Change in the Mekong Basin","title-short":"Frontiers of Change","volume":"37","author":[{"family":"Rowcroft","given":"Petrina"}],"issued":{"date-parts":[["2008",5]]}}},{"id":2655,"uris":["http://zotero.org/users/2170232/items/P4U3LHQJ"],"uri":["http://zotero.org/users/2170232/items/P4U3LHQJ"],"itemData":{"id":2655,"type":"article-journal","abstract":"By 2050, 70% of the Earth’s human population will live in urban areas. Urbanization can have a devastating impact on local ecosystems, but these impacts vary across time and space. Identifying links between spatiotemporal change in urban ecosystems and neighborhood socio-economics is crucial to management aimed at maintaining flora and fauna in urban areas. Here, we tracked 20 years of socio-economic change and 15 years of vegetation change in 32 residential neighborhoods in south-eastern Australia. Regression models that explicitly accounted for a time lag between neighborhood socio-economic characteristics and vegetation response explained more variation in vegetation cover than models that ignored the effects of time. Also, relationships between vegetation and socio-economic factors were stronger in later years for the same neighborhoods suggesting the influence of socio-economics is more readily identified in established neighborhoods. Socio-economic variables alone, or in combination with biophysical variables, were better predictors of vegetation cover than only biophysical variables. Across space, vegetation cover had a negative quadratic relationship with neighborhood housing density, peaking at mid-density values, and a positive relationship with education level and immigration status (the percentage of residents with a non-Australian background). Over time, housing density had a positive relationship with vegetation cover, reflecting an increase in vegetation as neighborhoods develop. Our results highlight the need to understand temporal context when attempting to explain contemporary patterns in vegetation cover and the increasing importance of socio-economic factors in influencing cover as neighborhoods become established.","container-title":"Ecosystems","DOI":"10.1007/s10021-009-9244-6","ISSN":"1435-0629","issue":"4","journalAbbreviation":"Ecosystems","language":"en","page":"604","source":"Springer Link","title":"Socio-Economics and Vegetation Change in Urban Ecosystems: Patterns in Space and Time","title-short":"Socio-Economics and Vegetation Change in Urban Ecosystems","volume":"12","author":[{"family":"Luck","given":"Gary W."},{"family":"Smallbone","given":"Lisa T."},{"family":"O’Brien","given":"Rachel"}],"issued":{"date-parts":[["2009",3,12]]}}},{"id":1660,"uris":["http://zotero.org/users/2170232/items/ELFJNY56"],"uri":["http://zotero.org/users/2170232/items/ELFJNY56"],"itemData":{"id":1660,"type":"article-journal","abstract":"This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id":2659,"uris":["http://zotero.org/users/2170232/items/M668EE6L"],"uri":["http://zotero.org/users/2170232/items/M668EE6L"],"itemData":{"id":2659,"type":"article-journal","abstract":"Many of the semi-natural landscape elements found in rural areas, such as woodlots, hedgerows and grasslands, were originally maintained as part of the agricultural system. During the 20th century, they lost most of their functions and were often removed or transformed. Presently, production concerns are less dominant and many landscape and land use changes are undertaken to improve public goods or fulfil personal and family ambitions and values. This paper investigates the patterns of farm-level land use changes that occurred between 2002 and 2012 in three different landscape regions of Europe (peri-urban landscapes, areas with marginal potential for agriculture, post-socialist landscapes) and the drivers behind, based on a questionnaire survey in six study areas. A second objective is to analyse landowners’ decision-making and endogenous factors that are correlated with their engagement in land use changes. Common to all areas is that agricultural production is under pressure due to physical or socio-economic challenges. The results indicate that relatively more nature or landscape features have been added by landowners than removed by them in the six study areas. Furthermore, the analysis revealed that full-time landowners were responsible for the largest proportion of landscape change and that the areas involved differed greatly. The analysis also underlined the variety of European landscapes, as many landscape activities exhibited strong geographical patterns. A multivariate analysis of the relationship between ten farm and landowner characteristics confirmed the geographical diversity, as only a dummy variable representing the geographical location was statistically significant. When location was omitted from the analysis, two factors were significant: farm size and ownership of livestock. In addition, the results suggest that landowners in peri-urban locations were more engaged in landscape activities than landowners in other locations.","container-title":"Land Use Policy","DOI":"10.1016/j.landusepol.2015.07.014","ISSN":"0264-8377","journalAbbreviation":"Land Use Policy","language":"en","page":"786-799","source":"ScienceDirect","title":"Patterns and drivers of farm-level land use change in selected European rural landscapes","volume":"57","author":[{"family":"Kristensen","given":"Søren Bech Pilgaard"},{"family":"Busck","given":"Anne Gravsholt"},{"family":"Sluis","given":"Theo","non-dropping-particle":"van der"},{"family":"Gaube","given":"Veronika"}],"issued":{"date-parts":[["2016",11,30]]}}},{"id":179,"uris":["http://zotero.org/users/2170232/items/WZLMGHYE"],"uri":["http://zotero.org/users/2170232/items/WZLMGHYE"],"itemData":{"id":179,"type":"article-journal","abstract":"The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Pr="00D6664E">
        <w:fldChar w:fldCharType="separate"/>
      </w:r>
      <w:r w:rsidR="00B0710D" w:rsidRPr="00B0710D">
        <w:rPr>
          <w:rFonts w:ascii="Calibri" w:hAnsi="Calibri" w:cs="Calibri"/>
          <w:highlight w:val="yellow"/>
        </w:rPr>
        <w:t>(Table x</w:t>
      </w:r>
      <w:r w:rsidR="00B0710D">
        <w:rPr>
          <w:rFonts w:ascii="Calibri" w:hAnsi="Calibri" w:cs="Calibri"/>
        </w:rPr>
        <w:t xml:space="preserve">, </w:t>
      </w:r>
      <w:r w:rsidR="00B0710D" w:rsidRPr="00B0710D">
        <w:rPr>
          <w:rFonts w:ascii="Calibri" w:hAnsi="Calibri" w:cs="Calibri"/>
        </w:rPr>
        <w:t>Dasgupta et al. 2005; Mena et al. 2006; Rowcroft 2008; Luck et al. 2009; Ty et al. 2012; Kristensen et al. 2016; Bonilla-Bedoya et al. 2018)</w:t>
      </w:r>
      <w:r w:rsidRPr="00D6664E">
        <w:fldChar w:fldCharType="end"/>
      </w:r>
      <w:r w:rsidRPr="00D6664E">
        <w:t xml:space="preserve">. The variable sets were population demographics (n=8), education (n=4), employment (n=5), economic security (n=2), access to services (n=4), social justice (n=2), migration (n=2), and control variables (n=6). Control variables were included to account for the effects of environmental and other human factors including </w:t>
      </w:r>
      <w:r w:rsidR="004C58EB">
        <w:t xml:space="preserve">presence of </w:t>
      </w:r>
      <w:r w:rsidRPr="00D6664E">
        <w:t xml:space="preserve">economic land concessions </w:t>
      </w:r>
      <w:r w:rsidRPr="00D6664E">
        <w:fldChar w:fldCharType="begin"/>
      </w:r>
      <w:r w:rsidR="00F34C45">
        <w:instrText xml:space="preserve"> ADDIN ZOTERO_ITEM CSL_CITATION {"citationID":"EOmyQ158","properties":{"formattedCitation":"(Abdullah &amp; Nakagoshi 2007; Davis et al. 2015; Xu et al. 2019)","plainCitation":"(Abdullah &amp; Nakagoshi 2007; Davis et al. 2015; Xu et al. 2019)","noteIndex":0},"citationItems":[{"id":2636,"uris":["http://zotero.org/users/2170232/items/BW7PN9QB"],"uri":["http://zotero.org/users/2170232/items/BW7PN9QB"],"itemData":{"id":2636,"type":"article-journal","abstract":"In many tropical countries forest fragmentation caused by changes in human land use activities is of primary concern for sustainability. In Malaysia this relationship is usually described without any quantitative measurement to show the implications for land use planning and management. To understand this relationship, this study developed a single forest fragmentation index based on a combination of three landscape metrics, i.e., non-forest area, forest edge bordered by human land use and patch size coefficient of variation, using the state of Selangor, Malaysia as a case study. Two defined natural landscapes; wetland and forest landscapes were used as a basic unit of analyses of pattern change of forest fragmentation and its relationship to human land use in three temporal years of 1966, 1981 and 1995. Results showed that forest fragmentation in the state of Selangor generally increased during the time periods studied. Multiple regression analysis showed that human land use is an important determinant of forest fragmentation, but the significance of several land uses as explanatory variables to forest fragmentation changed temporally. Oil palm and rubber plantations were apparently the major contributors to forest fragmentation. Differences in fragmentation pattern occurred between the two natural landscapes. Forest fragmentation increased in the wetland landscape, whereas not much change was observed in the forest landscape. Oil palm plantation appeared to be the major contributor to forest fragmentation in the wetland landscape, whereas rubber plantation was the major factor in the forest landscape. This study also revealed that knowledge of forest fragmentation through a single index in different natural landscapes provides a pathway for identifying which forested areas are highly threatened and must be given priority in strategic planning of nature conservation. In conclusion, it is vital to understand the relationship between changes in human land use and degree of forest degradation measured by a single index in order to describe the implications for land use planning and management.","container-title":"Forest Ecology and Management","DOI":"10.1016/j.foreco.2006.12.016","ISSN":"0378-1127","issue":"1","journalAbbreviation":"Forest Ecology and Management","language":"en","page":"39-48","source":"ScienceDirect","title":"Forest fragmentation and its correlation to human land use change in the state of Selangor, peninsular Malaysia","volume":"241","author":[{"family":"Abdullah","given":"Saiful Arif"},{"family":"Nakagoshi","given":"Nobukazu"}],"issued":{"date-parts":[["2007",3,30]]}}},{"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id":2021,"uris":["http://zotero.org/users/2170232/items/ABVWHT2J"],"uri":["http://zotero.org/users/2170232/items/ABVWHT2J"],"itemData":{"id":2021,"type":"article-journal","abstract":"South and Southeast Asia (SSEA) has been a hotspot for land use and land cover change (LULCC) in the past few decades. The identification and quantification of the drivers of LULCC are crucial for improving our understanding of LULCC trends. So far, the biophysical and socioeconomic drivers of forest change have not been quantified at the regional scale, particularly for SSEA. In this study, we quantify the biophysical and socioeconomic drivers of forest change on a country-by-country basis in SSEA using an integrated quantitative methodology, which systematically accounts for previously published driver information and regional datasets. We synthesize more than 200 publications to identify the drivers of the forest change at different spatial scales in SSEA. Subsequently, we collect spatially explicit proxy data to represent the identified drivers. We quantify the dynamics of forest and agricultural land from 1992 to 2015 using the Climate Change Initiative (CCI) land cover data developed by the European Space Agency (ESA). A geographically weighted regression method is employed to quantify the spatially heterogeneous drivers of forest change. Our results show that socioeconomic drivers are more important than biophysical drivers for the conversion of forest to agricultural land in South Asia and maritime Southeast Asia. In contrast, biophysical drivers are more important than socioeconomic drivers for the conversion of agricultural land to forest in maritime Southeast Asia and less important in South Asia. Both biophysical and socioeconomic drivers contribute approximately equally to both changes in the mainland Southeast Asia region. By quantifying the dynamics of forest and agricultural land and the spatially explicit drivers of their changes in SSEA, this study provides a solid foundation for LULCC modeling and projection.","container-title":"Global Change Biology","DOI":"10.1111/gcb.14611","ISSN":"1365-2486","issue":"6","language":"en","page":"2137-2151","source":"Wiley Online Library","title":"Quantifying the biophysical and socioeconomic drivers of changes in forest and agricultural land in South and Southeast Asia","volume":"25","author":[{"family":"Xu","given":"Xiaoming"},{"family":"Jain","given":"Atul K."},{"family":"Calvin","given":"Katherine V."}],"issued":{"date-parts":[["2019"]]}}}],"schema":"https://github.com/citation-style-language/schema/raw/master/csl-citation.json"} </w:instrText>
      </w:r>
      <w:r w:rsidRPr="00D6664E">
        <w:fldChar w:fldCharType="separate"/>
      </w:r>
      <w:r w:rsidR="00F34C45" w:rsidRPr="00F34C45">
        <w:rPr>
          <w:rFonts w:ascii="Calibri" w:hAnsi="Calibri" w:cs="Calibri"/>
        </w:rPr>
        <w:t>(Abdullah &amp; Nakagoshi 2007; Davis et al. 2015; Xu et al. 2019)</w:t>
      </w:r>
      <w:r w:rsidRPr="00D6664E">
        <w:fldChar w:fldCharType="end"/>
      </w:r>
      <w:r w:rsidRPr="00D6664E">
        <w:t xml:space="preserve">, </w:t>
      </w:r>
      <w:r w:rsidR="004C58EB">
        <w:t xml:space="preserve">presence of </w:t>
      </w:r>
      <w:r w:rsidRPr="00D6664E">
        <w:t xml:space="preserve">protected areas </w:t>
      </w:r>
      <w:r w:rsidRPr="00D6664E">
        <w:fldChar w:fldCharType="begin"/>
      </w:r>
      <w:r w:rsidR="000359C7">
        <w:instrText xml:space="preserve"> ADDIN ZOTERO_ITEM CSL_CITATION {"citationID":"KPXyqeHU","properties":{"formattedCitation":"(Bonilla-Bedoya et al. 2018)","plainCitation":"(Bonilla-Bedoya et al. 2018)","noteIndex":0},"citationItems":[{"id":179,"uris":["http://zotero.org/users/2170232/items/WZLMGHYE"],"uri":["http://zotero.org/users/2170232/items/WZLMGHYE"],"itemData":{"id":179,"type":"article-journal","abstract":"The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Pr="00D6664E">
        <w:fldChar w:fldCharType="separate"/>
      </w:r>
      <w:r w:rsidR="000359C7" w:rsidRPr="000359C7">
        <w:rPr>
          <w:rFonts w:ascii="Calibri" w:hAnsi="Calibri" w:cs="Calibri"/>
        </w:rPr>
        <w:t>(Bonilla-Bedoya et al. 2018)</w:t>
      </w:r>
      <w:r w:rsidRPr="00D6664E">
        <w:fldChar w:fldCharType="end"/>
      </w:r>
      <w:r w:rsidRPr="00D6664E">
        <w:t xml:space="preserve">, elevation </w:t>
      </w:r>
      <w:r w:rsidRPr="00D6664E">
        <w:fldChar w:fldCharType="begin"/>
      </w:r>
      <w:r w:rsidR="000359C7">
        <w:instrText xml:space="preserve"> ADDIN ZOTERO_ITEM CSL_CITATION {"citationID":"otYqPcRZ","properties":{"formattedCitation":"(Ty et al. 2012)","plainCitation":"(Ty et al. 2012)","noteIndex":0},"citationItems":[{"id":1660,"uris":["http://zotero.org/users/2170232/items/ELFJNY56"],"uri":["http://zotero.org/users/2170232/items/ELFJNY56"],"itemData":{"id":1660,"type":"article-journal","abstract":"This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Van"},{"family":"Sunada","given":"Kengo"},{"family":"Ichikawa","given":"Yutaka"},{"family":"Oishi","given":"Satoru"}],"issued":{"date-parts":[["2012",3,1]]}}}],"schema":"https://github.com/citation-style-language/schema/raw/master/csl-citation.json"} </w:instrText>
      </w:r>
      <w:r w:rsidRPr="00D6664E">
        <w:fldChar w:fldCharType="separate"/>
      </w:r>
      <w:r w:rsidR="000359C7" w:rsidRPr="000359C7">
        <w:rPr>
          <w:rFonts w:ascii="Calibri" w:hAnsi="Calibri" w:cs="Calibri"/>
        </w:rPr>
        <w:t>(Ty et al. 2012)</w:t>
      </w:r>
      <w:r w:rsidRPr="00D6664E">
        <w:fldChar w:fldCharType="end"/>
      </w:r>
      <w:r w:rsidRPr="00D6664E">
        <w:t xml:space="preserve">, and distance to human infrastructure </w:t>
      </w:r>
      <w:r w:rsidRPr="00D6664E">
        <w:fldChar w:fldCharType="begin"/>
      </w:r>
      <w:r w:rsidR="000359C7">
        <w:instrText xml:space="preserve"> ADDIN ZOTERO_ITEM CSL_CITATION {"citationID":"0lM0f2uy","properties":{"formattedCitation":"(Ty et al. 2012)","plainCitation":"(Ty et al. 2012)","noteIndex":0},"citationItems":[{"id":1660,"uris":["http://zotero.org/users/2170232/items/ELFJNY56"],"uri":["http://zotero.org/users/2170232/items/ELFJNY56"],"itemData":{"id":1660,"type":"article-journal","abstract":"This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Van"},{"family":"Sunada","given":"Kengo"},{"family":"Ichikawa","given":"Yutaka"},{"family":"Oishi","given":"Satoru"}],"issued":{"date-parts":[["2012",3,1]]}}}],"schema":"https://github.com/citation-style-language/schema/raw/master/csl-citation.json"} </w:instrText>
      </w:r>
      <w:r w:rsidRPr="00D6664E">
        <w:fldChar w:fldCharType="separate"/>
      </w:r>
      <w:r w:rsidR="000359C7" w:rsidRPr="000359C7">
        <w:rPr>
          <w:rFonts w:ascii="Calibri" w:hAnsi="Calibri" w:cs="Calibri"/>
        </w:rPr>
        <w:t>(Ty et al. 2012)</w:t>
      </w:r>
      <w:r w:rsidRPr="00D6664E">
        <w:fldChar w:fldCharType="end"/>
      </w:r>
      <w:r w:rsidRPr="00D6664E">
        <w:t xml:space="preserve">. A habitat control variable was excluded because the response variable (forest cover) was extracted from a land cover layer and represented a specific type of habitat, resulting in non-independence between the response and habitat. </w:t>
      </w:r>
    </w:p>
    <w:p w14:paraId="47BC75BD" w14:textId="77777777" w:rsidR="00D6664E" w:rsidRPr="000920A2" w:rsidRDefault="00D6664E" w:rsidP="00D6664E">
      <w:pPr>
        <w:rPr>
          <w:i/>
          <w:iCs/>
        </w:rPr>
      </w:pPr>
      <w:r w:rsidRPr="000920A2">
        <w:rPr>
          <w:i/>
          <w:iCs/>
        </w:rPr>
        <w:t>Data processing</w:t>
      </w:r>
    </w:p>
    <w:p w14:paraId="05110FED" w14:textId="579C4094" w:rsidR="00D6664E" w:rsidRDefault="00D6664E">
      <w:r w:rsidRPr="00D6664E">
        <w:t>The forest cover response</w:t>
      </w:r>
      <w:r w:rsidR="00535B36">
        <w:t xml:space="preserve"> variable</w:t>
      </w:r>
      <w:r w:rsidRPr="00D6664E">
        <w:t xml:space="preserve"> was extracted from the ESACCI product by totalling the number of pixels (1 Pixel = 0.09km</w:t>
      </w:r>
      <w:r w:rsidRPr="00D6664E">
        <w:rPr>
          <w:vertAlign w:val="superscript"/>
        </w:rPr>
        <w:t>2</w:t>
      </w:r>
      <w:r w:rsidRPr="00D6664E">
        <w:t>) in each year classified as bands 50, 60, 61, 62, 70, 71, 72, 80, 81, 82, 90, and 100 (</w:t>
      </w:r>
      <w:r w:rsidRPr="00535B36">
        <w:rPr>
          <w:highlight w:val="yellow"/>
        </w:rPr>
        <w:t>Table S4</w:t>
      </w:r>
      <w:r w:rsidRPr="00D6664E">
        <w:t xml:space="preserve">). </w:t>
      </w:r>
      <w:r w:rsidR="00535B36">
        <w:t>T</w:t>
      </w:r>
      <w:r w:rsidRPr="00D6664E">
        <w:t xml:space="preserve">he forest cover layer was stratified into forest cover per commune and forest </w:t>
      </w:r>
      <w:r w:rsidRPr="00D6664E">
        <w:lastRenderedPageBreak/>
        <w:t xml:space="preserve">cover per province. Forest cover data processing was done in QGIS </w:t>
      </w:r>
      <w:r w:rsidRPr="00D6664E">
        <w:fldChar w:fldCharType="begin"/>
      </w:r>
      <w:r w:rsidRPr="00D6664E">
        <w:instrText xml:space="preserve"> ADDIN ZOTERO_ITEM CSL_CITATION {"citationID":"t8OXUywT","properties":{"formattedCitation":"({\\i{}QGIS Geographic Information System} 2020)","plainCitation":"(QGIS Geographic Information System 2020)","dontUpdate":true,"noteIndex":0},"citationItems":[{"id":2069,"uris":["http://zotero.org/users/2170232/items/YVJCTSHP"],"uri":["http://zotero.org/users/2170232/items/YVJCTSHP"],"itemData":{"id":2069,"type":"book","publisher":"Open Source Geospatial Foundation Program","title":"QGIS Geographic Information System","URL":"http://qgis.osgeo.org","version":"3.16","issued":{"date-parts":[["2020"]]}}}],"schema":"https://github.com/citation-style-language/schema/raw/master/csl-citation.json"} </w:instrText>
      </w:r>
      <w:r w:rsidRPr="00D6664E">
        <w:fldChar w:fldCharType="separate"/>
      </w:r>
      <w:r w:rsidRPr="00D6664E">
        <w:t>(QGIS Geographic Information System v3.16)</w:t>
      </w:r>
      <w:r w:rsidRPr="00D6664E">
        <w:fldChar w:fldCharType="end"/>
      </w:r>
      <w:r w:rsidRPr="00D6664E">
        <w:t xml:space="preserve">. </w:t>
      </w:r>
      <w:r w:rsidR="00535B36">
        <w:t>P</w:t>
      </w:r>
      <w:r w:rsidRPr="00D6664E">
        <w:t xml:space="preserve">redictor variables were checked for collinearity, and if two variables in the same set had a correlation coefficient of &gt;0.6 then generally one was removed (Supporting Information).  </w:t>
      </w:r>
    </w:p>
    <w:p w14:paraId="2ABF225F" w14:textId="68C04F5E" w:rsidR="00D6664E" w:rsidRPr="001E05DC" w:rsidRDefault="00D6664E" w:rsidP="00D6664E">
      <w:r w:rsidRPr="001E05DC">
        <w:t xml:space="preserve">Data from the Commune Database were at the resolution of individual village, and so the selected variables (Table </w:t>
      </w:r>
      <w:r w:rsidR="00535B36">
        <w:t>1</w:t>
      </w:r>
      <w:r w:rsidRPr="001E05DC">
        <w:t>) were aggregated</w:t>
      </w:r>
      <w:r w:rsidR="004C58EB">
        <w:t xml:space="preserve"> (averaged using either mean or median, or summed)</w:t>
      </w:r>
      <w:r w:rsidRPr="001E05DC">
        <w:t xml:space="preserve"> to the commune and province level after error checking and cleaning (</w:t>
      </w:r>
      <w:r w:rsidR="004C58EB">
        <w:t xml:space="preserve">see </w:t>
      </w:r>
      <w:r w:rsidRPr="001E05DC">
        <w:t>Supporting Information</w:t>
      </w:r>
      <w:r w:rsidR="004C58EB">
        <w:t xml:space="preserve"> for details on aggregation and error checking</w:t>
      </w:r>
      <w:r w:rsidRPr="001E05DC">
        <w:t xml:space="preserve">). This resulted in between 1,317 and 1,512 communes, and 23 Provinces (excluding Phnom Penh). The number of communes changed between years due to administrative changes. Some variables were converted from raw values to proportional data to account for large differences in commune and province size and human population (Table </w:t>
      </w:r>
      <w:r w:rsidR="00535B36">
        <w:t>1</w:t>
      </w:r>
      <w:r w:rsidRPr="001E05DC">
        <w:t xml:space="preserve">). Data were checked for errors in R (Supporting Information, R Core Team, version 4.0). </w:t>
      </w:r>
    </w:p>
    <w:p w14:paraId="7FEBA632" w14:textId="77777777" w:rsidR="00D6664E" w:rsidRPr="000920A2" w:rsidRDefault="00D6664E" w:rsidP="00D6664E">
      <w:pPr>
        <w:rPr>
          <w:i/>
          <w:iCs/>
        </w:rPr>
      </w:pPr>
      <w:r w:rsidRPr="000920A2">
        <w:rPr>
          <w:i/>
          <w:iCs/>
        </w:rPr>
        <w:t xml:space="preserve">Modelling </w:t>
      </w:r>
    </w:p>
    <w:p w14:paraId="7DCA6B4D" w14:textId="77777777" w:rsidR="00D6664E" w:rsidRPr="001E05DC" w:rsidRDefault="00D6664E" w:rsidP="00D6664E">
      <w:r w:rsidRPr="001E05DC">
        <w:t xml:space="preserve">This analysis aimed to model the relationships between forest cover and socioeconomic variables within communes between 2007 – 2012. The results of initial commune-level modelling prompted further aggregation of the data to the province-level and models were built to investigate the relationships between forest cover and socioeconomic variables within provinces for the same time period. </w:t>
      </w:r>
    </w:p>
    <w:p w14:paraId="59835B50" w14:textId="77777777" w:rsidR="00D6664E" w:rsidRPr="000920A2" w:rsidRDefault="00D6664E" w:rsidP="000920A2">
      <w:pPr>
        <w:rPr>
          <w:u w:val="single"/>
        </w:rPr>
      </w:pPr>
      <w:r w:rsidRPr="000920A2">
        <w:rPr>
          <w:u w:val="single"/>
        </w:rPr>
        <w:t>Commune-level models</w:t>
      </w:r>
    </w:p>
    <w:p w14:paraId="1F52ED19" w14:textId="6AF32006" w:rsidR="00D6664E" w:rsidRPr="001E05DC" w:rsidRDefault="00D6664E" w:rsidP="00D6664E">
      <w:r w:rsidRPr="001E05DC">
        <w:t xml:space="preserve">Generalised linear mixed models (GLMM) with Poisson errors were </w:t>
      </w:r>
      <w:r w:rsidR="00535B36">
        <w:t>built</w:t>
      </w:r>
      <w:r w:rsidRPr="001E05DC">
        <w:t xml:space="preserve"> with commune nested within province as random intercept terms to account for repeat measurements and the hierarchical data structure, and year as a random slope term to account for temporal autocorrelation </w:t>
      </w:r>
      <w:r w:rsidRPr="001E05DC">
        <w:fldChar w:fldCharType="begin"/>
      </w:r>
      <w:r w:rsidR="000359C7">
        <w:instrText xml:space="preserve"> ADDIN ZOTERO_ITEM CSL_CITATION {"citationID":"SmityQpd","properties":{"formattedCitation":"(Zuur et al. 2009)","plainCitation":"(Zuur et al. 2009)","noteIndex":0},"citationItems":[{"id":2700,"uris":["http://zotero.org/users/2170232/items/A3LU44GR"],"uri":["http://zotero.org/users/2170232/items/A3LU44GR"],"itemData":{"id":2700,"type":"book","collection-title":"Statistics for Biology and Health","event-place":"New York, USA","ISBN":"978-0-387-87457-9","publisher":"Springer Science+Business Media","publisher-place":"New York, USA","title":"Mixed effects models and extensions in ecology with R","URL":"DOI 10.1007/978-0-387-87458-6 1,","author":[{"family":"Zuur","given":"Alain F."},{"family":"Ieno","given":"Elena N."},{"family":"Walker","given":"Neil J."},{"family":"Saveliev","given":"Anatoly A."},{"family":"Smith","given":"Graham M."}],"issued":{"date-parts":[["2009"]]}}}],"schema":"https://github.com/citation-style-language/schema/raw/master/csl-citation.json"} </w:instrText>
      </w:r>
      <w:r w:rsidRPr="001E05DC">
        <w:fldChar w:fldCharType="separate"/>
      </w:r>
      <w:r w:rsidR="000359C7" w:rsidRPr="000359C7">
        <w:rPr>
          <w:rFonts w:ascii="Calibri" w:hAnsi="Calibri" w:cs="Calibri"/>
        </w:rPr>
        <w:t>(Zuur et al. 2009)</w:t>
      </w:r>
      <w:r w:rsidRPr="001E05DC">
        <w:fldChar w:fldCharType="end"/>
      </w:r>
      <w:r w:rsidRPr="001E05DC">
        <w:t>. The natural logarithm of commune area (km</w:t>
      </w:r>
      <w:r w:rsidRPr="001E05DC">
        <w:rPr>
          <w:vertAlign w:val="superscript"/>
        </w:rPr>
        <w:t>2</w:t>
      </w:r>
      <w:r w:rsidRPr="001E05DC">
        <w:t>) was used as an offset term in all models to account for large variation in commune size. Due to the large number of available predictor variables, maximal within-set models were run first for each of the 8 variable sets (</w:t>
      </w:r>
      <w:r w:rsidRPr="00535B36">
        <w:rPr>
          <w:highlight w:val="yellow"/>
        </w:rPr>
        <w:t>Table S8</w:t>
      </w:r>
      <w:r w:rsidRPr="001E05DC">
        <w:t>), and variables with no effect were dropped. Simplified models were compared with maximal models using likelihood ratio tests and analysis of variance tests. If a variable set had only one variable, this was automatically taken forward. Because assessment of term significance in GLMMs is complex, predictions and plots were made for all terms before being dropped to ensure noteworthy effects were not being missed. This process resulted in a final set of 13 variables which were used to create a candidate set of 10 models (</w:t>
      </w:r>
      <w:r w:rsidRPr="00535B36">
        <w:rPr>
          <w:highlight w:val="yellow"/>
        </w:rPr>
        <w:t>Table S19</w:t>
      </w:r>
      <w:r w:rsidRPr="001E05DC">
        <w:t xml:space="preserve">). Following an information theoretic approach </w:t>
      </w:r>
      <w:r w:rsidRPr="001E05DC">
        <w:fldChar w:fldCharType="begin"/>
      </w:r>
      <w:r w:rsidR="000359C7">
        <w:instrText xml:space="preserve"> ADDIN ZOTERO_ITEM CSL_CITATION {"citationID":"8ICFBCnK","properties":{"formattedCitation":"(Burnham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Pr="001E05DC">
        <w:fldChar w:fldCharType="separate"/>
      </w:r>
      <w:r w:rsidR="000359C7" w:rsidRPr="000359C7">
        <w:rPr>
          <w:rFonts w:ascii="Calibri" w:hAnsi="Calibri" w:cs="Calibri"/>
        </w:rPr>
        <w:t>(Burnham &amp; Anderson 2007)</w:t>
      </w:r>
      <w:r w:rsidRPr="001E05DC">
        <w:fldChar w:fldCharType="end"/>
      </w:r>
      <w:r w:rsidRPr="001E05DC">
        <w:t xml:space="preserve"> models were compared via AIC to select the top model or models. The resulting final model fit was assessed via diagnostic plots (residuals versus fitted, quantile-quantile of random effects, Supporting Information, </w:t>
      </w:r>
      <w:r w:rsidRPr="001E05DC">
        <w:fldChar w:fldCharType="begin"/>
      </w:r>
      <w:r w:rsidRPr="001E05DC">
        <w:instrText xml:space="preserve"> ADDIN ZOTERO_ITEM CSL_CITATION {"citationID":"suNnabPj","properties":{"formattedCitation":"(Harrison et al. 2018)","plainCitation":"(Harrison et al. 2018)","dontUpdate":true,"noteIndex":0},"citationItems":[{"id":2215,"uris":["http://zotero.org/users/2170232/items/Y263KQX6"],"uri":["http://zotero.org/users/2170232/items/Y263KQX6"],"itemData":{"id":2215,"type":"article-journal","abstract":"The use of linear mixed effects models (LMMs) is increasingly common in the analysis of biological data. Whilst LMMs offer a flexible approach to modelling a broad range of data types, ecological data are often complex and require complex model structures, and the fitting and interpretation of such models is not always straightforward. The ability to achieve robust biological inference requires that practitioners know how and when to apply these tools. Here, we provide a general overview of current methods for the application of LMMs to biological data, and highlight the typical pitfalls that can be encountered in the statistical modelling process. We tackle several issues regarding methods of model selection, with particular reference to the use of information theory and multi-model inference in ecology. We offer practical solutions and direct the reader to key references that provide further technical detail for those seeking a deeper understanding. This overview should serve as a widely accessible code of best practice for applying LMMs to complex biological problems and model structures, and in doing so improve the robustness of conclusions drawn from studies investigating ecological and evolutionary questions.","container-title":"PeerJ","DOI":"10.7717/peerj.4794","ISSN":"2167-8359","journalAbbreviation":"PeerJ","language":"en","page":"e4794","source":"peerj.com","title":"A brief introduction to mixed effects modelling and multi-model inference in ecology","volume":"6","author":[{"family":"Harrison","given":"Xavier A."},{"family":"Donaldson","given":"Lynda"},{"family":"Correa-Cano","given":"Maria Eugenia"},{"family":"Evans","given":"Julian"},{"family":"Fisher","given":"David N."},{"family":"Goodwin","given":"Cecily E. D."},{"family":"Robinson","given":"Beth S."},{"family":"Hodgson","given":"David J."},{"family":"Inger","given":"Richard"}],"issued":{"date-parts":[["2018",5,23]]}}}],"schema":"https://github.com/citation-style-language/schema/raw/master/csl-citation.json"} </w:instrText>
      </w:r>
      <w:r w:rsidRPr="001E05DC">
        <w:fldChar w:fldCharType="separate"/>
      </w:r>
      <w:r w:rsidRPr="001E05DC">
        <w:t>Harrison et al (2018)</w:t>
      </w:r>
      <w:r w:rsidRPr="001E05DC">
        <w:fldChar w:fldCharType="end"/>
      </w:r>
      <w:r w:rsidRPr="001E05DC">
        <w:t>).  Marginal (fixed effects only) and conditional (fixed and random effects) pseudo-R</w:t>
      </w:r>
      <w:r w:rsidRPr="001E05DC">
        <w:rPr>
          <w:vertAlign w:val="superscript"/>
        </w:rPr>
        <w:t>2</w:t>
      </w:r>
      <w:r w:rsidRPr="001E05DC">
        <w:t xml:space="preserve"> values were calculated based on </w:t>
      </w:r>
      <w:r w:rsidRPr="001E05DC">
        <w:fldChar w:fldCharType="begin"/>
      </w:r>
      <w:r w:rsidRPr="001E05DC">
        <w:instrText xml:space="preserve"> ADDIN ZOTERO_ITEM CSL_CITATION {"citationID":"V5omb3jK","properties":{"formattedCitation":"(Nakagawa &amp; Schielzeth 2017)","plainCitation":"(Nakagawa &amp; Schielzeth 2017)","dontUpdate":true,"noteIndex":0},"citationItems":[{"id":2205,"uris":["http://zotero.org/users/2170232/items/NWMA7IIB"],"uri":["http://zotero.org/users/2170232/items/NWMA7IIB"],"itemData":{"id":2205,"type":"article-journal","abstract":"Summary The use of both linear and generalized linear mixed-effects models (LMMs and GLMMs) has become popular not only in social and medical sciences, but also in biological sciences, especially in the field of ecology and evolution. Information criteria, such as Akaike Information Criterion (AIC), are usually presented as model comparison tools for mixed-effects models. The presentation of ?variance explained? (R2) as a relevant summarizing statistic of mixed-effects models, however, is rare, even though R2 is routinely reported for linear models (LMs) and also generalized linear models (GLMs). R2 has the extremely useful property of providing an absolute value for the goodness-of-fit of a model, which cannot be given by the information criteria. As a summary statistic that describes the amount of variance explained, R2 can also be a quantity of biological interest. One reason for the under-appreciation of R2 for mixed-effects models lies in the fact that R2 can be defined in a number of ways. Furthermore, most definitions of R2 for mixed-effects have theoretical problems (e.g. decreased or negative R2 values in larger models) and/or their use is hindered by practical difficulties (e.g. implementation). Here, we make a case for the importance of reporting R2 for mixed-effects models. We first provide the common definitions of R2 for LMs and GLMs and discuss the key problems associated with calculating R2 for mixed-effects models. We then recommend a general and simple method for calculating two types of R2 (marginal and conditional R2) for both LMMs and GLMMs, which are less susceptible to common problems. This method is illustrated by examples and can be widely employed by researchers in any fields of research, regardless of software packages used for fitting mixed-effects models. The proposed method has the potential to facilitate the presentation of R2 for a wide range of circumstances.","container-title":"Methods in Ecology and Evolution","DOI":"10.1111/j.2041-210x.2012.00261.x@10.1111/(ISSN)2041-210X.STATSTOO","ISSN":"2041-210X","journalAbbreviation":"Methods in Ecology and Evolution","page":"133-142","source":"besjournals.onlinelibrary.wiley.com (Atypon)","title":"A general and simple method for obtaining R2 from generalized linear mixed-effects models","author":[{"family":"Nakagawa","given":"Shinichi"},{"family":"Schielzeth","given":"Holger"}],"issued":{"date-parts":[["2017",7,25]]}}}],"schema":"https://github.com/citation-style-language/schema/raw/master/csl-citation.json"} </w:instrText>
      </w:r>
      <w:r w:rsidRPr="001E05DC">
        <w:fldChar w:fldCharType="separate"/>
      </w:r>
      <w:r w:rsidRPr="001E05DC">
        <w:t>Nakagawa &amp; Schielzeth (2017)</w:t>
      </w:r>
      <w:r w:rsidRPr="001E05DC">
        <w:fldChar w:fldCharType="end"/>
      </w:r>
      <w:r w:rsidRPr="001E05DC">
        <w:t xml:space="preserve"> using the R package ‘</w:t>
      </w:r>
      <w:proofErr w:type="spellStart"/>
      <w:r w:rsidRPr="001E05DC">
        <w:t>MuMIn</w:t>
      </w:r>
      <w:proofErr w:type="spellEnd"/>
      <w:r w:rsidRPr="001E05DC">
        <w:t xml:space="preserve">’ </w:t>
      </w:r>
      <w:r w:rsidRPr="001E05DC">
        <w:fldChar w:fldCharType="begin"/>
      </w:r>
      <w:r w:rsidR="000359C7">
        <w:instrText xml:space="preserve"> ADDIN ZOTERO_ITEM CSL_CITATION {"citationID":"aNENcyHk","properties":{"formattedCitation":"(Barto\\uc0\\u324{} 2020)","plainCitation":"(Bartoń 2020)","noteIndex":0},"citationItems":[{"id":2704,"uris":["http://zotero.org/users/2170232/items/TVZKJH5U"],"uri":["http://zotero.org/users/2170232/items/TVZKJH5U"],"itemData":{"id":2704,"type":"book","abstract":"Tools for performing model selection and model averaging. Automated\n             model selection through subsetting the maximum model, with optional\n             constraints for model inclusion. Model parameter and prediction\n             averaging based on model weights derived from information criteria\n             (AICc and alike) or custom model weighting schemes.","medium":"R","title":"MuMIn: Multi-Model Inference","title-short":"MuMIn","URL":"https://rdrr.io/cran/MuMIn/","version":"1.43.17","author":[{"family":"Bartoń","given":"K"}],"accessed":{"date-parts":[["2021",4,29]]},"issued":{"date-parts":[["2020"]]}}}],"schema":"https://github.com/citation-style-language/schema/raw/master/csl-citation.json"} </w:instrText>
      </w:r>
      <w:r w:rsidRPr="001E05DC">
        <w:fldChar w:fldCharType="separate"/>
      </w:r>
      <w:r w:rsidR="000359C7" w:rsidRPr="000359C7">
        <w:rPr>
          <w:rFonts w:ascii="Calibri" w:hAnsi="Calibri" w:cs="Calibri"/>
          <w:szCs w:val="24"/>
        </w:rPr>
        <w:t>(Bartoń 2020)</w:t>
      </w:r>
      <w:r w:rsidRPr="001E05DC">
        <w:fldChar w:fldCharType="end"/>
      </w:r>
      <w:r w:rsidRPr="001E05DC">
        <w:t>. To investigate the variation in effects between provinces, predictions were made for each variable within each commune and the 50% quantile from all commune-level predictions within each province was extracted as the provincial me</w:t>
      </w:r>
      <w:r w:rsidR="004C58EB">
        <w:t>dian</w:t>
      </w:r>
      <w:r w:rsidRPr="001E05DC">
        <w:t xml:space="preserve"> prediction. </w:t>
      </w:r>
    </w:p>
    <w:p w14:paraId="4B5E942D" w14:textId="18FD7A0E" w:rsidR="00D6664E" w:rsidRPr="000920A2" w:rsidRDefault="00D6664E" w:rsidP="00D6664E">
      <w:pPr>
        <w:rPr>
          <w:u w:val="single"/>
        </w:rPr>
      </w:pPr>
      <w:r w:rsidRPr="000920A2">
        <w:rPr>
          <w:u w:val="single"/>
        </w:rPr>
        <w:t>Province-level models</w:t>
      </w:r>
    </w:p>
    <w:p w14:paraId="06674FC1" w14:textId="112C4022" w:rsidR="00D6664E" w:rsidRPr="001E05DC" w:rsidRDefault="00D6664E" w:rsidP="00D6664E">
      <w:r w:rsidRPr="001E05DC">
        <w:t xml:space="preserve">The same GLMM model formulation was used for the province-level models except that commune was removed from the random effects structure. Based on provincial-level histograms of predictor variables, 14 predictors were converted to categorical variables by splitting the data by the mean, resulting in “high” and “low” values (Table </w:t>
      </w:r>
      <w:r w:rsidR="00535B36">
        <w:t>1</w:t>
      </w:r>
      <w:r w:rsidRPr="001E05DC">
        <w:t>). Following an information theoretic approach, a candidate set of models was created (</w:t>
      </w:r>
      <w:r w:rsidRPr="00535B36">
        <w:rPr>
          <w:highlight w:val="yellow"/>
        </w:rPr>
        <w:t xml:space="preserve">Table </w:t>
      </w:r>
      <w:proofErr w:type="spellStart"/>
      <w:r w:rsidRPr="00535B36">
        <w:rPr>
          <w:highlight w:val="yellow"/>
        </w:rPr>
        <w:t>Sx</w:t>
      </w:r>
      <w:proofErr w:type="spellEnd"/>
      <w:r w:rsidRPr="001E05DC">
        <w:t>) and model comparison was done using AIC.</w:t>
      </w:r>
    </w:p>
    <w:p w14:paraId="446B4494" w14:textId="77777777" w:rsidR="00D6664E" w:rsidRPr="000920A2" w:rsidRDefault="00D6664E" w:rsidP="00D6664E">
      <w:r w:rsidRPr="000920A2">
        <w:rPr>
          <w:i/>
          <w:iCs/>
        </w:rPr>
        <w:lastRenderedPageBreak/>
        <w:t>Cluster analysis</w:t>
      </w:r>
    </w:p>
    <w:p w14:paraId="6232B4B6" w14:textId="31E783A3" w:rsidR="00D6664E" w:rsidRPr="001E05DC" w:rsidRDefault="00D6664E" w:rsidP="00D6664E">
      <w:r w:rsidRPr="001E05DC">
        <w:t xml:space="preserve">Agglomerative clustering was conducted to create a typology for provinces based on the socioeconomic variables </w:t>
      </w:r>
      <w:r w:rsidR="00515BD5">
        <w:t>in Table 2 (excluding control variables)</w:t>
      </w:r>
      <w:r w:rsidRPr="001E05DC">
        <w:t>. Several agglomerative clustering approaches were assessed. These were single linkage, complete linkage, unweighted pair-group using arithmetic averages (UPGMA), unweighted pair-group using centroids (UPGMC), Ward’s minimum variance, and flexible clustering. The methods were compared using cophenetic correlation and Gower distance metrics, and the appropriate number of clusters (</w:t>
      </w:r>
      <w:r w:rsidRPr="00535B36">
        <w:rPr>
          <w:i/>
          <w:iCs/>
        </w:rPr>
        <w:t>k</w:t>
      </w:r>
      <w:r w:rsidRPr="001E05DC">
        <w:t xml:space="preserve">) was selected using the matrix correlation statistics </w:t>
      </w:r>
      <w:r w:rsidRPr="001E05DC">
        <w:fldChar w:fldCharType="begin"/>
      </w:r>
      <w:r w:rsidR="000359C7">
        <w:instrText xml:space="preserve"> ADDIN ZOTERO_ITEM CSL_CITATION {"citationID":"R9LUkZIu","properties":{"formattedCitation":"(Borcard et al. 2018)","plainCitation":"(Borcard et al. 2018)","noteIndex":0},"citationItems":[{"id":2706,"uris":["http://zotero.org/users/2170232/items/5WYR7AXF"],"uri":["http://zotero.org/users/2170232/items/5WYR7AXF"],"itemData":{"id":2706,"type":"chapter","abstract":"In most cases, data exploration and the computation of association matrices are preliminary steps towards deeper analyses. In this chapter you will go further by experimenting one of the large groups of analytical methods used in ecology: clustering. Practically, you will learn how to choose among various clustering methods and compute them, apply these techniques to the Doubs River data to identify groups of sites and fish species. You will also explore two methods of constrained clustering, a powerful modelling approach where the clustering process is constrained by an external data set.","collection-title":"Use R!","container-title":"Numerical Ecology with R","event-place":"Cham","ISBN":"978-3-319-71404-2","language":"en","note":"DOI: 10.1007/978-3-319-71404-2_4","page":"59-150","publisher":"Springer International Publishing","publisher-place":"Cham","source":"Springer Link","title":"Cluster Analysis","URL":"https://doi.org/10.1007/978-3-319-71404-2_4","author":[{"family":"Borcard","given":"Daniel"},{"family":"Gillet","given":"François"},{"family":"Legendre","given":"Pierre"}],"editor":[{"family":"Borcard","given":"Daniel"},{"family":"Gillet","given":"François"},{"family":"Legendre","given":"Pierre"}],"accessed":{"date-parts":[["2021",4,30]]},"issued":{"date-parts":[["2018"]]}}}],"schema":"https://github.com/citation-style-language/schema/raw/master/csl-citation.json"} </w:instrText>
      </w:r>
      <w:r w:rsidRPr="001E05DC">
        <w:fldChar w:fldCharType="separate"/>
      </w:r>
      <w:r w:rsidR="000359C7" w:rsidRPr="000359C7">
        <w:rPr>
          <w:rFonts w:ascii="Calibri" w:hAnsi="Calibri" w:cs="Calibri"/>
        </w:rPr>
        <w:t>(Borcard et al. 2018)</w:t>
      </w:r>
      <w:r w:rsidRPr="001E05DC">
        <w:fldChar w:fldCharType="end"/>
      </w:r>
      <w:r w:rsidRPr="001E05DC">
        <w:t xml:space="preserve">. The capital city of Phnom Penh, which is technically a province in itself, was removed prior to clustering because it has extreme values for many of the variables and is thus an outlier that affects the clustering. </w:t>
      </w:r>
    </w:p>
    <w:p w14:paraId="702A8863" w14:textId="77777777" w:rsidR="00D6664E" w:rsidRDefault="00D6664E"/>
    <w:p w14:paraId="2B1DFFCE" w14:textId="38EB4187" w:rsidR="00D6664E" w:rsidRDefault="00D6664E"/>
    <w:p w14:paraId="343D9AA8" w14:textId="3A62E4DD" w:rsidR="00D6664E" w:rsidRDefault="00D6664E"/>
    <w:p w14:paraId="7EF2D736" w14:textId="45372628" w:rsidR="00D6664E" w:rsidRDefault="00D6664E"/>
    <w:p w14:paraId="6FBFA9F7" w14:textId="26E855FA" w:rsidR="00D6664E" w:rsidRDefault="00D6664E"/>
    <w:p w14:paraId="3A372B5E" w14:textId="71877CED" w:rsidR="00D6664E" w:rsidRDefault="00D6664E"/>
    <w:p w14:paraId="113B0DA0" w14:textId="77777777" w:rsidR="00D6664E" w:rsidRDefault="00D6664E">
      <w:pPr>
        <w:sectPr w:rsidR="00D6664E">
          <w:pgSz w:w="11906" w:h="16838"/>
          <w:pgMar w:top="1440" w:right="1440" w:bottom="1440" w:left="1440" w:header="708" w:footer="708" w:gutter="0"/>
          <w:cols w:space="708"/>
          <w:docGrid w:linePitch="360"/>
        </w:sectPr>
      </w:pPr>
    </w:p>
    <w:p w14:paraId="21866016" w14:textId="2AB18EB3" w:rsidR="00D6664E" w:rsidRPr="001E05DC" w:rsidRDefault="00D6664E" w:rsidP="00D6664E">
      <w:pPr>
        <w:rPr>
          <w:b/>
          <w:bCs/>
        </w:rPr>
      </w:pPr>
      <w:r w:rsidRPr="001E05DC">
        <w:rPr>
          <w:b/>
          <w:bCs/>
        </w:rPr>
        <w:lastRenderedPageBreak/>
        <w:t xml:space="preserve">Table </w:t>
      </w:r>
      <w:r w:rsidR="000920A2">
        <w:rPr>
          <w:b/>
          <w:bCs/>
        </w:rPr>
        <w:t>1</w:t>
      </w:r>
      <w:r w:rsidRPr="001E05DC">
        <w:rPr>
          <w:b/>
          <w:bCs/>
        </w:rPr>
        <w:t xml:space="preserve">. Variables selected for the socioeconomic </w:t>
      </w:r>
      <w:r w:rsidR="004C58EB">
        <w:rPr>
          <w:b/>
          <w:bCs/>
        </w:rPr>
        <w:t>models</w:t>
      </w:r>
      <w:r w:rsidR="00515BD5">
        <w:rPr>
          <w:b/>
          <w:bCs/>
        </w:rPr>
        <w:t xml:space="preserve"> and the transformations done for the modelling</w:t>
      </w:r>
      <w:r w:rsidRPr="001E05DC">
        <w:rPr>
          <w:b/>
          <w:bCs/>
        </w:rPr>
        <w:t>.</w:t>
      </w:r>
      <w:r w:rsidR="004C58EB">
        <w:rPr>
          <w:b/>
          <w:bCs/>
        </w:rPr>
        <w:t xml:space="preserve"> Variables with a * indicate they were included in the cluster analysis.</w:t>
      </w:r>
      <w:r w:rsidRPr="001E05DC">
        <w:rPr>
          <w:b/>
          <w:bCs/>
        </w:rPr>
        <w:t xml:space="preserve"> Variables range from 2007 – 2012.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2693"/>
        <w:gridCol w:w="2977"/>
        <w:gridCol w:w="2126"/>
        <w:gridCol w:w="4309"/>
      </w:tblGrid>
      <w:tr w:rsidR="00D6664E" w:rsidRPr="001E05DC" w14:paraId="458B49BD" w14:textId="77777777" w:rsidTr="001A26A3">
        <w:tc>
          <w:tcPr>
            <w:tcW w:w="1843" w:type="dxa"/>
            <w:tcBorders>
              <w:top w:val="single" w:sz="12" w:space="0" w:color="auto"/>
              <w:bottom w:val="single" w:sz="12" w:space="0" w:color="auto"/>
            </w:tcBorders>
          </w:tcPr>
          <w:p w14:paraId="3B20DEDE" w14:textId="77777777" w:rsidR="00D6664E" w:rsidRPr="001E05DC" w:rsidRDefault="00D6664E" w:rsidP="001A26A3">
            <w:pPr>
              <w:spacing w:after="160" w:line="259" w:lineRule="auto"/>
              <w:rPr>
                <w:b/>
                <w:bCs/>
              </w:rPr>
            </w:pPr>
            <w:r w:rsidRPr="001E05DC">
              <w:rPr>
                <w:b/>
                <w:bCs/>
              </w:rPr>
              <w:t>Set</w:t>
            </w:r>
          </w:p>
        </w:tc>
        <w:tc>
          <w:tcPr>
            <w:tcW w:w="2693" w:type="dxa"/>
            <w:tcBorders>
              <w:top w:val="single" w:sz="12" w:space="0" w:color="auto"/>
              <w:bottom w:val="single" w:sz="12" w:space="0" w:color="auto"/>
            </w:tcBorders>
          </w:tcPr>
          <w:p w14:paraId="7712D14C" w14:textId="77777777" w:rsidR="00D6664E" w:rsidRPr="001E05DC" w:rsidRDefault="00D6664E" w:rsidP="001A26A3">
            <w:pPr>
              <w:spacing w:after="160" w:line="259" w:lineRule="auto"/>
              <w:rPr>
                <w:b/>
                <w:bCs/>
              </w:rPr>
            </w:pPr>
            <w:r w:rsidRPr="001E05DC">
              <w:rPr>
                <w:b/>
                <w:bCs/>
              </w:rPr>
              <w:t>Variable</w:t>
            </w:r>
          </w:p>
        </w:tc>
        <w:tc>
          <w:tcPr>
            <w:tcW w:w="2977" w:type="dxa"/>
            <w:tcBorders>
              <w:top w:val="single" w:sz="12" w:space="0" w:color="auto"/>
              <w:bottom w:val="single" w:sz="12" w:space="0" w:color="auto"/>
            </w:tcBorders>
          </w:tcPr>
          <w:p w14:paraId="27F44AF8" w14:textId="77777777" w:rsidR="00D6664E" w:rsidRPr="001E05DC" w:rsidRDefault="00D6664E" w:rsidP="001A26A3">
            <w:pPr>
              <w:spacing w:after="160" w:line="259" w:lineRule="auto"/>
              <w:rPr>
                <w:b/>
                <w:bCs/>
              </w:rPr>
            </w:pPr>
            <w:r w:rsidRPr="001E05DC">
              <w:rPr>
                <w:b/>
                <w:bCs/>
              </w:rPr>
              <w:t>Transformation for analysis</w:t>
            </w:r>
          </w:p>
        </w:tc>
        <w:tc>
          <w:tcPr>
            <w:tcW w:w="2126" w:type="dxa"/>
            <w:tcBorders>
              <w:top w:val="single" w:sz="12" w:space="0" w:color="auto"/>
              <w:bottom w:val="single" w:sz="12" w:space="0" w:color="auto"/>
            </w:tcBorders>
          </w:tcPr>
          <w:p w14:paraId="61ECD765" w14:textId="77777777" w:rsidR="00D6664E" w:rsidRPr="001E05DC" w:rsidRDefault="00D6664E" w:rsidP="001A26A3">
            <w:pPr>
              <w:spacing w:after="160" w:line="259" w:lineRule="auto"/>
              <w:rPr>
                <w:b/>
                <w:bCs/>
              </w:rPr>
            </w:pPr>
            <w:r w:rsidRPr="001E05DC">
              <w:rPr>
                <w:b/>
                <w:bCs/>
              </w:rPr>
              <w:t>Province-level class</w:t>
            </w:r>
          </w:p>
        </w:tc>
        <w:tc>
          <w:tcPr>
            <w:tcW w:w="4309" w:type="dxa"/>
            <w:tcBorders>
              <w:top w:val="single" w:sz="12" w:space="0" w:color="auto"/>
              <w:bottom w:val="single" w:sz="12" w:space="0" w:color="auto"/>
            </w:tcBorders>
          </w:tcPr>
          <w:p w14:paraId="56102C96" w14:textId="77777777" w:rsidR="00D6664E" w:rsidRPr="001E05DC" w:rsidRDefault="00D6664E" w:rsidP="001A26A3">
            <w:pPr>
              <w:spacing w:after="160" w:line="259" w:lineRule="auto"/>
              <w:rPr>
                <w:b/>
                <w:bCs/>
              </w:rPr>
            </w:pPr>
            <w:r w:rsidRPr="001E05DC">
              <w:rPr>
                <w:b/>
                <w:bCs/>
              </w:rPr>
              <w:t>Details</w:t>
            </w:r>
          </w:p>
        </w:tc>
      </w:tr>
      <w:tr w:rsidR="00D6664E" w:rsidRPr="001E05DC" w14:paraId="50B9E2F4" w14:textId="77777777" w:rsidTr="001A26A3">
        <w:tc>
          <w:tcPr>
            <w:tcW w:w="1843" w:type="dxa"/>
            <w:tcBorders>
              <w:top w:val="single" w:sz="12" w:space="0" w:color="auto"/>
            </w:tcBorders>
          </w:tcPr>
          <w:p w14:paraId="0B98A9EF" w14:textId="77777777" w:rsidR="00D6664E" w:rsidRPr="001E05DC" w:rsidRDefault="00D6664E" w:rsidP="001A26A3">
            <w:pPr>
              <w:spacing w:after="160" w:line="259" w:lineRule="auto"/>
            </w:pPr>
            <w:r w:rsidRPr="001E05DC">
              <w:t>Demographics</w:t>
            </w:r>
          </w:p>
        </w:tc>
        <w:tc>
          <w:tcPr>
            <w:tcW w:w="2693" w:type="dxa"/>
            <w:tcBorders>
              <w:top w:val="single" w:sz="12" w:space="0" w:color="auto"/>
            </w:tcBorders>
          </w:tcPr>
          <w:p w14:paraId="7ABBFA3B" w14:textId="7F2A0F9C" w:rsidR="00D6664E" w:rsidRPr="001E05DC" w:rsidRDefault="00D6664E" w:rsidP="001A26A3">
            <w:pPr>
              <w:spacing w:after="160" w:line="259" w:lineRule="auto"/>
            </w:pPr>
            <w:r w:rsidRPr="001E05DC">
              <w:t>Total population</w:t>
            </w:r>
            <w:r w:rsidR="004C58EB">
              <w:t>*</w:t>
            </w:r>
          </w:p>
        </w:tc>
        <w:tc>
          <w:tcPr>
            <w:tcW w:w="2977" w:type="dxa"/>
            <w:tcBorders>
              <w:top w:val="single" w:sz="12" w:space="0" w:color="auto"/>
            </w:tcBorders>
          </w:tcPr>
          <w:p w14:paraId="187BA36B" w14:textId="77777777" w:rsidR="00D6664E" w:rsidRPr="001E05DC" w:rsidRDefault="00D6664E" w:rsidP="001A26A3">
            <w:pPr>
              <w:spacing w:after="160" w:line="259" w:lineRule="auto"/>
            </w:pPr>
          </w:p>
        </w:tc>
        <w:tc>
          <w:tcPr>
            <w:tcW w:w="2126" w:type="dxa"/>
            <w:tcBorders>
              <w:top w:val="single" w:sz="12" w:space="0" w:color="auto"/>
            </w:tcBorders>
          </w:tcPr>
          <w:p w14:paraId="5A390E9F" w14:textId="77777777" w:rsidR="00D6664E" w:rsidRPr="001E05DC" w:rsidRDefault="00D6664E" w:rsidP="001A26A3">
            <w:pPr>
              <w:spacing w:after="160" w:line="259" w:lineRule="auto"/>
            </w:pPr>
            <w:r w:rsidRPr="001E05DC">
              <w:t>NA</w:t>
            </w:r>
          </w:p>
        </w:tc>
        <w:tc>
          <w:tcPr>
            <w:tcW w:w="4309" w:type="dxa"/>
            <w:tcBorders>
              <w:top w:val="single" w:sz="12" w:space="0" w:color="auto"/>
            </w:tcBorders>
          </w:tcPr>
          <w:p w14:paraId="59F2BFEE" w14:textId="77777777" w:rsidR="00D6664E" w:rsidRPr="001E05DC" w:rsidRDefault="00D6664E" w:rsidP="001A26A3">
            <w:pPr>
              <w:spacing w:after="160" w:line="259" w:lineRule="auto"/>
            </w:pPr>
            <w:r w:rsidRPr="001E05DC">
              <w:t>Includes women, men, and children of all ages</w:t>
            </w:r>
          </w:p>
        </w:tc>
      </w:tr>
      <w:tr w:rsidR="00D6664E" w:rsidRPr="001E05DC" w14:paraId="3E36A5CF" w14:textId="77777777" w:rsidTr="001A26A3">
        <w:tc>
          <w:tcPr>
            <w:tcW w:w="1843" w:type="dxa"/>
          </w:tcPr>
          <w:p w14:paraId="06448E26" w14:textId="77777777" w:rsidR="00D6664E" w:rsidRPr="001E05DC" w:rsidRDefault="00D6664E" w:rsidP="001A26A3">
            <w:pPr>
              <w:spacing w:after="160" w:line="259" w:lineRule="auto"/>
            </w:pPr>
          </w:p>
        </w:tc>
        <w:tc>
          <w:tcPr>
            <w:tcW w:w="2693" w:type="dxa"/>
          </w:tcPr>
          <w:p w14:paraId="0F0E03AD" w14:textId="25111AB9" w:rsidR="00D6664E" w:rsidRPr="001E05DC" w:rsidRDefault="00D6664E" w:rsidP="001A26A3">
            <w:pPr>
              <w:spacing w:after="160" w:line="259" w:lineRule="auto"/>
            </w:pPr>
            <w:r w:rsidRPr="001E05DC">
              <w:t>Population density</w:t>
            </w:r>
            <w:r w:rsidR="004C58EB">
              <w:t>*</w:t>
            </w:r>
          </w:p>
        </w:tc>
        <w:tc>
          <w:tcPr>
            <w:tcW w:w="2977" w:type="dxa"/>
          </w:tcPr>
          <w:p w14:paraId="27AFBC58" w14:textId="77777777" w:rsidR="00D6664E" w:rsidRPr="001E05DC" w:rsidRDefault="00D6664E" w:rsidP="001A26A3">
            <w:pPr>
              <w:spacing w:after="160" w:line="259" w:lineRule="auto"/>
            </w:pPr>
          </w:p>
        </w:tc>
        <w:tc>
          <w:tcPr>
            <w:tcW w:w="2126" w:type="dxa"/>
          </w:tcPr>
          <w:p w14:paraId="1BD95429" w14:textId="77777777" w:rsidR="00D6664E" w:rsidRPr="001E05DC" w:rsidRDefault="00D6664E" w:rsidP="001A26A3">
            <w:pPr>
              <w:spacing w:after="160" w:line="259" w:lineRule="auto"/>
            </w:pPr>
          </w:p>
        </w:tc>
        <w:tc>
          <w:tcPr>
            <w:tcW w:w="4309" w:type="dxa"/>
          </w:tcPr>
          <w:p w14:paraId="7B7E7AB7" w14:textId="77777777" w:rsidR="00D6664E" w:rsidRPr="001E05DC" w:rsidRDefault="00D6664E" w:rsidP="001A26A3">
            <w:pPr>
              <w:spacing w:after="160" w:line="259" w:lineRule="auto"/>
            </w:pPr>
          </w:p>
        </w:tc>
      </w:tr>
      <w:tr w:rsidR="00D6664E" w:rsidRPr="001E05DC" w14:paraId="6881E709" w14:textId="77777777" w:rsidTr="001A26A3">
        <w:tc>
          <w:tcPr>
            <w:tcW w:w="1843" w:type="dxa"/>
            <w:tcBorders>
              <w:bottom w:val="single" w:sz="6" w:space="0" w:color="auto"/>
            </w:tcBorders>
          </w:tcPr>
          <w:p w14:paraId="5183BC42" w14:textId="77777777" w:rsidR="00D6664E" w:rsidRPr="001E05DC" w:rsidRDefault="00D6664E" w:rsidP="001A26A3">
            <w:pPr>
              <w:spacing w:after="160" w:line="259" w:lineRule="auto"/>
            </w:pPr>
          </w:p>
        </w:tc>
        <w:tc>
          <w:tcPr>
            <w:tcW w:w="2693" w:type="dxa"/>
            <w:tcBorders>
              <w:bottom w:val="single" w:sz="6" w:space="0" w:color="auto"/>
            </w:tcBorders>
          </w:tcPr>
          <w:p w14:paraId="45DA0372" w14:textId="04DCC8D4" w:rsidR="00D6664E" w:rsidRPr="001E05DC" w:rsidRDefault="00D6664E" w:rsidP="001A26A3">
            <w:pPr>
              <w:spacing w:after="160" w:line="259" w:lineRule="auto"/>
            </w:pPr>
            <w:r w:rsidRPr="001E05DC">
              <w:t>Number indigenous</w:t>
            </w:r>
            <w:r w:rsidR="004C58EB">
              <w:t>*</w:t>
            </w:r>
            <w:r w:rsidRPr="001E05DC">
              <w:t xml:space="preserve"> </w:t>
            </w:r>
          </w:p>
        </w:tc>
        <w:tc>
          <w:tcPr>
            <w:tcW w:w="2977" w:type="dxa"/>
            <w:tcBorders>
              <w:bottom w:val="single" w:sz="6" w:space="0" w:color="auto"/>
            </w:tcBorders>
          </w:tcPr>
          <w:p w14:paraId="57C31397" w14:textId="77777777" w:rsidR="00D6664E" w:rsidRPr="001E05DC" w:rsidRDefault="00D6664E" w:rsidP="001A26A3">
            <w:pPr>
              <w:spacing w:after="160" w:line="259" w:lineRule="auto"/>
            </w:pPr>
            <w:r w:rsidRPr="001E05DC">
              <w:t>Proportion of total population</w:t>
            </w:r>
          </w:p>
        </w:tc>
        <w:tc>
          <w:tcPr>
            <w:tcW w:w="2126" w:type="dxa"/>
            <w:tcBorders>
              <w:bottom w:val="single" w:sz="6" w:space="0" w:color="auto"/>
            </w:tcBorders>
          </w:tcPr>
          <w:p w14:paraId="71D36643" w14:textId="77777777" w:rsidR="00D6664E" w:rsidRPr="001E05DC" w:rsidRDefault="00D6664E" w:rsidP="001A26A3">
            <w:pPr>
              <w:spacing w:after="160" w:line="259" w:lineRule="auto"/>
            </w:pPr>
            <w:r w:rsidRPr="001E05DC">
              <w:t>Categorical</w:t>
            </w:r>
          </w:p>
        </w:tc>
        <w:tc>
          <w:tcPr>
            <w:tcW w:w="4309" w:type="dxa"/>
            <w:tcBorders>
              <w:bottom w:val="single" w:sz="6" w:space="0" w:color="auto"/>
            </w:tcBorders>
          </w:tcPr>
          <w:p w14:paraId="56071372" w14:textId="21FCA612" w:rsidR="00D6664E" w:rsidRPr="001E05DC" w:rsidRDefault="00D6664E" w:rsidP="001A26A3">
            <w:pPr>
              <w:spacing w:after="160" w:line="259" w:lineRule="auto"/>
            </w:pPr>
            <w:r w:rsidRPr="001E05DC">
              <w:t>Total number of people who are indigenous/ethnic minority</w:t>
            </w:r>
            <w:r w:rsidR="00515BD5">
              <w:t xml:space="preserve"> (non-Khmer, as defined by the RGC)</w:t>
            </w:r>
          </w:p>
        </w:tc>
      </w:tr>
      <w:tr w:rsidR="00D6664E" w:rsidRPr="001E05DC" w14:paraId="2C82E758" w14:textId="77777777" w:rsidTr="001A26A3">
        <w:tc>
          <w:tcPr>
            <w:tcW w:w="1843" w:type="dxa"/>
            <w:tcBorders>
              <w:top w:val="single" w:sz="6" w:space="0" w:color="auto"/>
              <w:bottom w:val="single" w:sz="6" w:space="0" w:color="auto"/>
            </w:tcBorders>
          </w:tcPr>
          <w:p w14:paraId="5A893051" w14:textId="77777777" w:rsidR="00D6664E" w:rsidRPr="001E05DC" w:rsidRDefault="00D6664E" w:rsidP="001A26A3">
            <w:pPr>
              <w:spacing w:after="160" w:line="259" w:lineRule="auto"/>
            </w:pPr>
            <w:r w:rsidRPr="001E05DC">
              <w:t>Education</w:t>
            </w:r>
          </w:p>
        </w:tc>
        <w:tc>
          <w:tcPr>
            <w:tcW w:w="2693" w:type="dxa"/>
            <w:tcBorders>
              <w:top w:val="single" w:sz="6" w:space="0" w:color="auto"/>
              <w:bottom w:val="single" w:sz="6" w:space="0" w:color="auto"/>
            </w:tcBorders>
          </w:tcPr>
          <w:p w14:paraId="5C0F6A6B" w14:textId="1C3AFD68" w:rsidR="00D6664E" w:rsidRPr="001E05DC" w:rsidRDefault="00D6664E" w:rsidP="001A26A3">
            <w:pPr>
              <w:spacing w:after="160" w:line="259" w:lineRule="auto"/>
            </w:pPr>
            <w:r w:rsidRPr="001E05DC">
              <w:t>Males aged 6 – 24 in school</w:t>
            </w:r>
            <w:r w:rsidR="004C58EB">
              <w:t>*</w:t>
            </w:r>
          </w:p>
        </w:tc>
        <w:tc>
          <w:tcPr>
            <w:tcW w:w="2977" w:type="dxa"/>
            <w:tcBorders>
              <w:top w:val="single" w:sz="6" w:space="0" w:color="auto"/>
              <w:bottom w:val="single" w:sz="6" w:space="0" w:color="auto"/>
            </w:tcBorders>
          </w:tcPr>
          <w:p w14:paraId="5672604A" w14:textId="77777777" w:rsidR="00D6664E" w:rsidRPr="001E05DC" w:rsidRDefault="00D6664E" w:rsidP="001A26A3">
            <w:pPr>
              <w:spacing w:after="160" w:line="259" w:lineRule="auto"/>
            </w:pPr>
            <w:r w:rsidRPr="001E05DC">
              <w:t>Proportion of total number of males aged 6 - 24</w:t>
            </w:r>
          </w:p>
        </w:tc>
        <w:tc>
          <w:tcPr>
            <w:tcW w:w="2126" w:type="dxa"/>
            <w:tcBorders>
              <w:top w:val="single" w:sz="6" w:space="0" w:color="auto"/>
              <w:bottom w:val="single" w:sz="6" w:space="0" w:color="auto"/>
            </w:tcBorders>
          </w:tcPr>
          <w:p w14:paraId="7CE4D36A" w14:textId="77777777" w:rsidR="00D6664E" w:rsidRPr="001E05DC" w:rsidRDefault="00D6664E" w:rsidP="001A26A3">
            <w:pPr>
              <w:spacing w:after="160" w:line="259" w:lineRule="auto"/>
            </w:pPr>
          </w:p>
        </w:tc>
        <w:tc>
          <w:tcPr>
            <w:tcW w:w="4309" w:type="dxa"/>
            <w:tcBorders>
              <w:top w:val="single" w:sz="6" w:space="0" w:color="auto"/>
              <w:bottom w:val="single" w:sz="6" w:space="0" w:color="auto"/>
            </w:tcBorders>
          </w:tcPr>
          <w:p w14:paraId="718F9638" w14:textId="77777777" w:rsidR="00D6664E" w:rsidRPr="001E05DC" w:rsidRDefault="00D6664E" w:rsidP="001A26A3">
            <w:pPr>
              <w:spacing w:after="160" w:line="259" w:lineRule="auto"/>
            </w:pPr>
            <w:r w:rsidRPr="001E05DC">
              <w:t>Number of males aged 6 - 24 in full time education</w:t>
            </w:r>
          </w:p>
        </w:tc>
      </w:tr>
      <w:tr w:rsidR="00D6664E" w:rsidRPr="001E05DC" w14:paraId="2CFF4035" w14:textId="77777777" w:rsidTr="001A26A3">
        <w:tc>
          <w:tcPr>
            <w:tcW w:w="1843" w:type="dxa"/>
            <w:tcBorders>
              <w:top w:val="single" w:sz="6" w:space="0" w:color="auto"/>
            </w:tcBorders>
          </w:tcPr>
          <w:p w14:paraId="34F1DE55" w14:textId="77777777" w:rsidR="00D6664E" w:rsidRPr="001E05DC" w:rsidRDefault="00D6664E" w:rsidP="001A26A3">
            <w:pPr>
              <w:spacing w:after="160" w:line="259" w:lineRule="auto"/>
            </w:pPr>
            <w:r w:rsidRPr="001E05DC">
              <w:t>Employment</w:t>
            </w:r>
          </w:p>
        </w:tc>
        <w:tc>
          <w:tcPr>
            <w:tcW w:w="2693" w:type="dxa"/>
            <w:tcBorders>
              <w:top w:val="single" w:sz="6" w:space="0" w:color="auto"/>
            </w:tcBorders>
          </w:tcPr>
          <w:p w14:paraId="3DEB21AB" w14:textId="1E183C3A" w:rsidR="00D6664E" w:rsidRPr="001E05DC" w:rsidRDefault="00D6664E" w:rsidP="001A26A3">
            <w:pPr>
              <w:spacing w:after="160" w:line="259" w:lineRule="auto"/>
            </w:pPr>
            <w:r w:rsidRPr="001E05DC">
              <w:t>Number of adults employed in primary sector</w:t>
            </w:r>
            <w:r w:rsidR="004C58EB">
              <w:t>*</w:t>
            </w:r>
          </w:p>
        </w:tc>
        <w:tc>
          <w:tcPr>
            <w:tcW w:w="2977" w:type="dxa"/>
            <w:tcBorders>
              <w:top w:val="single" w:sz="6" w:space="0" w:color="auto"/>
            </w:tcBorders>
          </w:tcPr>
          <w:p w14:paraId="00777F35" w14:textId="77777777" w:rsidR="00D6664E" w:rsidRPr="001E05DC" w:rsidRDefault="00D6664E" w:rsidP="001A26A3">
            <w:pPr>
              <w:spacing w:after="160" w:line="259" w:lineRule="auto"/>
            </w:pPr>
            <w:r w:rsidRPr="001E05DC">
              <w:t>Proportion of total adult population</w:t>
            </w:r>
          </w:p>
        </w:tc>
        <w:tc>
          <w:tcPr>
            <w:tcW w:w="2126" w:type="dxa"/>
            <w:tcBorders>
              <w:top w:val="single" w:sz="6" w:space="0" w:color="auto"/>
            </w:tcBorders>
          </w:tcPr>
          <w:p w14:paraId="0357BED1" w14:textId="77777777" w:rsidR="00D6664E" w:rsidRPr="001E05DC" w:rsidRDefault="00D6664E" w:rsidP="001A26A3">
            <w:pPr>
              <w:spacing w:after="160" w:line="259" w:lineRule="auto"/>
            </w:pPr>
            <w:r w:rsidRPr="001E05DC">
              <w:t>Categorical</w:t>
            </w:r>
          </w:p>
        </w:tc>
        <w:tc>
          <w:tcPr>
            <w:tcW w:w="4309" w:type="dxa"/>
            <w:tcBorders>
              <w:top w:val="single" w:sz="6" w:space="0" w:color="auto"/>
            </w:tcBorders>
          </w:tcPr>
          <w:p w14:paraId="584011FF" w14:textId="77777777" w:rsidR="00D6664E" w:rsidRPr="001E05DC" w:rsidRDefault="00D6664E" w:rsidP="001A26A3">
            <w:pPr>
              <w:spacing w:after="160" w:line="259" w:lineRule="auto"/>
            </w:pPr>
            <w:r w:rsidRPr="001E05DC">
              <w:t>The primary sector includes agriculture (rice and other crop farming), fishing, livestock farming, forestry, and non-timber forest product collection (</w:t>
            </w:r>
            <w:proofErr w:type="spellStart"/>
            <w:r w:rsidRPr="001E05DC">
              <w:t>Kenessey</w:t>
            </w:r>
            <w:proofErr w:type="spellEnd"/>
            <w:r w:rsidRPr="001E05DC">
              <w:t xml:space="preserve"> 1987)</w:t>
            </w:r>
          </w:p>
        </w:tc>
      </w:tr>
      <w:tr w:rsidR="00D6664E" w:rsidRPr="001E05DC" w14:paraId="267937B3" w14:textId="77777777" w:rsidTr="001A26A3">
        <w:tc>
          <w:tcPr>
            <w:tcW w:w="1843" w:type="dxa"/>
            <w:tcBorders>
              <w:bottom w:val="single" w:sz="6" w:space="0" w:color="auto"/>
            </w:tcBorders>
          </w:tcPr>
          <w:p w14:paraId="574F004D" w14:textId="77777777" w:rsidR="00D6664E" w:rsidRPr="001E05DC" w:rsidRDefault="00D6664E" w:rsidP="001A26A3">
            <w:pPr>
              <w:spacing w:after="160" w:line="259" w:lineRule="auto"/>
            </w:pPr>
          </w:p>
        </w:tc>
        <w:tc>
          <w:tcPr>
            <w:tcW w:w="2693" w:type="dxa"/>
            <w:tcBorders>
              <w:bottom w:val="single" w:sz="6" w:space="0" w:color="auto"/>
            </w:tcBorders>
          </w:tcPr>
          <w:p w14:paraId="0CCB7C04" w14:textId="22CB2E73" w:rsidR="00D6664E" w:rsidRPr="001E05DC" w:rsidRDefault="00D6664E" w:rsidP="001A26A3">
            <w:pPr>
              <w:spacing w:after="160" w:line="259" w:lineRule="auto"/>
            </w:pPr>
            <w:r w:rsidRPr="001E05DC">
              <w:t>Number of adults employed in secondary sector</w:t>
            </w:r>
            <w:r w:rsidR="004C58EB">
              <w:t>*</w:t>
            </w:r>
          </w:p>
        </w:tc>
        <w:tc>
          <w:tcPr>
            <w:tcW w:w="2977" w:type="dxa"/>
            <w:tcBorders>
              <w:bottom w:val="single" w:sz="6" w:space="0" w:color="auto"/>
            </w:tcBorders>
          </w:tcPr>
          <w:p w14:paraId="75616A76" w14:textId="77777777" w:rsidR="00D6664E" w:rsidRPr="001E05DC" w:rsidRDefault="00D6664E" w:rsidP="001A26A3">
            <w:pPr>
              <w:spacing w:after="160" w:line="259" w:lineRule="auto"/>
            </w:pPr>
            <w:r w:rsidRPr="001E05DC">
              <w:t>Proportion of total adult population</w:t>
            </w:r>
          </w:p>
        </w:tc>
        <w:tc>
          <w:tcPr>
            <w:tcW w:w="2126" w:type="dxa"/>
            <w:tcBorders>
              <w:bottom w:val="single" w:sz="6" w:space="0" w:color="auto"/>
            </w:tcBorders>
          </w:tcPr>
          <w:p w14:paraId="353E15DF" w14:textId="77777777" w:rsidR="00D6664E" w:rsidRPr="001E05DC" w:rsidRDefault="00D6664E" w:rsidP="001A26A3">
            <w:pPr>
              <w:spacing w:after="160" w:line="259" w:lineRule="auto"/>
            </w:pPr>
            <w:r w:rsidRPr="001E05DC">
              <w:t>Categorical</w:t>
            </w:r>
          </w:p>
        </w:tc>
        <w:tc>
          <w:tcPr>
            <w:tcW w:w="4309" w:type="dxa"/>
            <w:tcBorders>
              <w:bottom w:val="single" w:sz="6" w:space="0" w:color="auto"/>
            </w:tcBorders>
          </w:tcPr>
          <w:p w14:paraId="29D9E028" w14:textId="77777777" w:rsidR="00D6664E" w:rsidRPr="001E05DC" w:rsidRDefault="00D6664E" w:rsidP="001A26A3">
            <w:pPr>
              <w:spacing w:after="160" w:line="259" w:lineRule="auto"/>
            </w:pPr>
            <w:r w:rsidRPr="001E05DC">
              <w:t>The secondary sector includes wood-based production (e.g. furniture), metal- and glass-based production, foodstuff production, plastic- and rubber-based production, textiles production (</w:t>
            </w:r>
            <w:proofErr w:type="spellStart"/>
            <w:r w:rsidRPr="001E05DC">
              <w:t>Kenessey</w:t>
            </w:r>
            <w:proofErr w:type="spellEnd"/>
            <w:r w:rsidRPr="001E05DC">
              <w:t xml:space="preserve"> 1987)</w:t>
            </w:r>
          </w:p>
        </w:tc>
      </w:tr>
      <w:tr w:rsidR="00D6664E" w:rsidRPr="001E05DC" w14:paraId="1516F823" w14:textId="77777777" w:rsidTr="001A26A3">
        <w:tc>
          <w:tcPr>
            <w:tcW w:w="1843" w:type="dxa"/>
            <w:tcBorders>
              <w:top w:val="single" w:sz="6" w:space="0" w:color="auto"/>
            </w:tcBorders>
          </w:tcPr>
          <w:p w14:paraId="135A875A" w14:textId="77777777" w:rsidR="00D6664E" w:rsidRPr="001E05DC" w:rsidRDefault="00D6664E" w:rsidP="001A26A3">
            <w:pPr>
              <w:spacing w:after="160" w:line="259" w:lineRule="auto"/>
            </w:pPr>
            <w:r w:rsidRPr="001E05DC">
              <w:t>Economic security</w:t>
            </w:r>
          </w:p>
        </w:tc>
        <w:tc>
          <w:tcPr>
            <w:tcW w:w="2693" w:type="dxa"/>
            <w:tcBorders>
              <w:top w:val="single" w:sz="6" w:space="0" w:color="auto"/>
            </w:tcBorders>
          </w:tcPr>
          <w:p w14:paraId="13073973" w14:textId="67C1C026" w:rsidR="00D6664E" w:rsidRPr="001E05DC" w:rsidRDefault="00D6664E" w:rsidP="001A26A3">
            <w:pPr>
              <w:spacing w:after="160" w:line="259" w:lineRule="auto"/>
            </w:pPr>
            <w:r w:rsidRPr="001E05DC">
              <w:t>Number of families with &lt;1ha rice land (including no rice land)</w:t>
            </w:r>
            <w:r w:rsidR="004C58EB">
              <w:t>*</w:t>
            </w:r>
          </w:p>
        </w:tc>
        <w:tc>
          <w:tcPr>
            <w:tcW w:w="2977" w:type="dxa"/>
            <w:tcBorders>
              <w:top w:val="single" w:sz="6" w:space="0" w:color="auto"/>
            </w:tcBorders>
          </w:tcPr>
          <w:p w14:paraId="1733BBA2" w14:textId="77777777" w:rsidR="00D6664E" w:rsidRPr="001E05DC" w:rsidRDefault="00D6664E" w:rsidP="001A26A3">
            <w:pPr>
              <w:spacing w:after="160" w:line="259" w:lineRule="auto"/>
            </w:pPr>
            <w:r w:rsidRPr="001E05DC">
              <w:t>Proportion of total number of families</w:t>
            </w:r>
          </w:p>
        </w:tc>
        <w:tc>
          <w:tcPr>
            <w:tcW w:w="2126" w:type="dxa"/>
            <w:tcBorders>
              <w:top w:val="single" w:sz="6" w:space="0" w:color="auto"/>
            </w:tcBorders>
          </w:tcPr>
          <w:p w14:paraId="36B1FAF0" w14:textId="77777777" w:rsidR="00D6664E" w:rsidRPr="001E05DC" w:rsidRDefault="00D6664E" w:rsidP="001A26A3">
            <w:pPr>
              <w:spacing w:after="160" w:line="259" w:lineRule="auto"/>
            </w:pPr>
            <w:r w:rsidRPr="001E05DC">
              <w:t>Categorical</w:t>
            </w:r>
          </w:p>
        </w:tc>
        <w:tc>
          <w:tcPr>
            <w:tcW w:w="4309" w:type="dxa"/>
            <w:tcBorders>
              <w:top w:val="single" w:sz="6" w:space="0" w:color="auto"/>
            </w:tcBorders>
          </w:tcPr>
          <w:p w14:paraId="64F48ECB" w14:textId="77777777" w:rsidR="00D6664E" w:rsidRPr="001E05DC" w:rsidRDefault="00D6664E" w:rsidP="001A26A3">
            <w:pPr>
              <w:spacing w:after="160" w:line="259" w:lineRule="auto"/>
            </w:pPr>
          </w:p>
        </w:tc>
      </w:tr>
      <w:tr w:rsidR="00D6664E" w:rsidRPr="001E05DC" w14:paraId="184854BF" w14:textId="77777777" w:rsidTr="001A26A3">
        <w:tc>
          <w:tcPr>
            <w:tcW w:w="1843" w:type="dxa"/>
            <w:tcBorders>
              <w:bottom w:val="single" w:sz="6" w:space="0" w:color="auto"/>
            </w:tcBorders>
          </w:tcPr>
          <w:p w14:paraId="2D3A09E4" w14:textId="77777777" w:rsidR="00D6664E" w:rsidRPr="001E05DC" w:rsidRDefault="00D6664E" w:rsidP="001A26A3">
            <w:pPr>
              <w:spacing w:after="160" w:line="259" w:lineRule="auto"/>
            </w:pPr>
          </w:p>
        </w:tc>
        <w:tc>
          <w:tcPr>
            <w:tcW w:w="2693" w:type="dxa"/>
            <w:tcBorders>
              <w:bottom w:val="single" w:sz="6" w:space="0" w:color="auto"/>
            </w:tcBorders>
          </w:tcPr>
          <w:p w14:paraId="269A4BFE" w14:textId="0EF571DC" w:rsidR="00D6664E" w:rsidRPr="001E05DC" w:rsidRDefault="00D6664E" w:rsidP="001A26A3">
            <w:pPr>
              <w:spacing w:after="160" w:line="259" w:lineRule="auto"/>
            </w:pPr>
            <w:r w:rsidRPr="001E05DC">
              <w:t>Number of families who keep pigs</w:t>
            </w:r>
            <w:r w:rsidR="004C58EB">
              <w:t>*</w:t>
            </w:r>
          </w:p>
        </w:tc>
        <w:tc>
          <w:tcPr>
            <w:tcW w:w="2977" w:type="dxa"/>
            <w:tcBorders>
              <w:bottom w:val="single" w:sz="6" w:space="0" w:color="auto"/>
            </w:tcBorders>
          </w:tcPr>
          <w:p w14:paraId="086212CA" w14:textId="77777777" w:rsidR="00D6664E" w:rsidRPr="001E05DC" w:rsidRDefault="00D6664E" w:rsidP="001A26A3">
            <w:pPr>
              <w:spacing w:after="160" w:line="259" w:lineRule="auto"/>
            </w:pPr>
            <w:r w:rsidRPr="001E05DC">
              <w:t>Proportion of total number of families</w:t>
            </w:r>
          </w:p>
        </w:tc>
        <w:tc>
          <w:tcPr>
            <w:tcW w:w="2126" w:type="dxa"/>
            <w:tcBorders>
              <w:bottom w:val="single" w:sz="6" w:space="0" w:color="auto"/>
            </w:tcBorders>
          </w:tcPr>
          <w:p w14:paraId="357775BF" w14:textId="77777777" w:rsidR="00D6664E" w:rsidRPr="001E05DC" w:rsidRDefault="00D6664E" w:rsidP="001A26A3">
            <w:pPr>
              <w:spacing w:after="160" w:line="259" w:lineRule="auto"/>
            </w:pPr>
            <w:r w:rsidRPr="001E05DC">
              <w:t>Categorical</w:t>
            </w:r>
          </w:p>
        </w:tc>
        <w:tc>
          <w:tcPr>
            <w:tcW w:w="4309" w:type="dxa"/>
            <w:tcBorders>
              <w:bottom w:val="single" w:sz="6" w:space="0" w:color="auto"/>
            </w:tcBorders>
          </w:tcPr>
          <w:p w14:paraId="42ECFA3A" w14:textId="77777777" w:rsidR="00D6664E" w:rsidRPr="001E05DC" w:rsidRDefault="00D6664E" w:rsidP="001A26A3">
            <w:pPr>
              <w:spacing w:after="160" w:line="259" w:lineRule="auto"/>
            </w:pPr>
          </w:p>
        </w:tc>
      </w:tr>
      <w:tr w:rsidR="00D6664E" w:rsidRPr="001E05DC" w14:paraId="5F9E59E7" w14:textId="77777777" w:rsidTr="001A26A3">
        <w:tc>
          <w:tcPr>
            <w:tcW w:w="1843" w:type="dxa"/>
            <w:tcBorders>
              <w:top w:val="single" w:sz="6" w:space="0" w:color="auto"/>
            </w:tcBorders>
          </w:tcPr>
          <w:p w14:paraId="29E7D66A" w14:textId="77777777" w:rsidR="00D6664E" w:rsidRPr="001E05DC" w:rsidRDefault="00D6664E" w:rsidP="001A26A3">
            <w:pPr>
              <w:spacing w:after="160" w:line="259" w:lineRule="auto"/>
            </w:pPr>
            <w:r w:rsidRPr="001E05DC">
              <w:lastRenderedPageBreak/>
              <w:t>Access to services</w:t>
            </w:r>
          </w:p>
        </w:tc>
        <w:tc>
          <w:tcPr>
            <w:tcW w:w="2693" w:type="dxa"/>
            <w:tcBorders>
              <w:top w:val="single" w:sz="6" w:space="0" w:color="auto"/>
            </w:tcBorders>
          </w:tcPr>
          <w:p w14:paraId="3E196EBC" w14:textId="791DC8A7" w:rsidR="00D6664E" w:rsidRPr="001E05DC" w:rsidRDefault="00D6664E" w:rsidP="001A26A3">
            <w:pPr>
              <w:spacing w:after="160" w:line="259" w:lineRule="auto"/>
            </w:pPr>
            <w:r w:rsidRPr="001E05DC">
              <w:t>Distance to nearest school</w:t>
            </w:r>
            <w:r w:rsidR="004C58EB">
              <w:t>*</w:t>
            </w:r>
          </w:p>
        </w:tc>
        <w:tc>
          <w:tcPr>
            <w:tcW w:w="2977" w:type="dxa"/>
            <w:tcBorders>
              <w:top w:val="single" w:sz="6" w:space="0" w:color="auto"/>
            </w:tcBorders>
          </w:tcPr>
          <w:p w14:paraId="70B9EE0C" w14:textId="77777777" w:rsidR="00D6664E" w:rsidRPr="001E05DC" w:rsidRDefault="00D6664E" w:rsidP="001A26A3">
            <w:pPr>
              <w:spacing w:after="160" w:line="259" w:lineRule="auto"/>
            </w:pPr>
          </w:p>
        </w:tc>
        <w:tc>
          <w:tcPr>
            <w:tcW w:w="2126" w:type="dxa"/>
            <w:tcBorders>
              <w:top w:val="single" w:sz="6" w:space="0" w:color="auto"/>
            </w:tcBorders>
          </w:tcPr>
          <w:p w14:paraId="27EE34B4" w14:textId="77777777" w:rsidR="00D6664E" w:rsidRPr="001E05DC" w:rsidRDefault="00D6664E" w:rsidP="001A26A3">
            <w:pPr>
              <w:spacing w:after="160" w:line="259" w:lineRule="auto"/>
            </w:pPr>
            <w:r w:rsidRPr="001E05DC">
              <w:t>Categorical</w:t>
            </w:r>
          </w:p>
        </w:tc>
        <w:tc>
          <w:tcPr>
            <w:tcW w:w="4309" w:type="dxa"/>
            <w:tcBorders>
              <w:top w:val="single" w:sz="6" w:space="0" w:color="auto"/>
            </w:tcBorders>
          </w:tcPr>
          <w:p w14:paraId="7868980E" w14:textId="77777777" w:rsidR="00D6664E" w:rsidRPr="001E05DC" w:rsidRDefault="00D6664E" w:rsidP="001A26A3">
            <w:pPr>
              <w:spacing w:after="160" w:line="259" w:lineRule="auto"/>
            </w:pPr>
            <w:r w:rsidRPr="001E05DC">
              <w:t>Median distance from any village in the commune to the nearest school (primary or secondary)</w:t>
            </w:r>
          </w:p>
        </w:tc>
      </w:tr>
      <w:tr w:rsidR="00D6664E" w:rsidRPr="001E05DC" w14:paraId="212C59F1" w14:textId="77777777" w:rsidTr="001A26A3">
        <w:tc>
          <w:tcPr>
            <w:tcW w:w="1843" w:type="dxa"/>
          </w:tcPr>
          <w:p w14:paraId="58EBE6D5" w14:textId="77777777" w:rsidR="00D6664E" w:rsidRPr="001E05DC" w:rsidRDefault="00D6664E" w:rsidP="001A26A3">
            <w:pPr>
              <w:spacing w:after="160" w:line="259" w:lineRule="auto"/>
            </w:pPr>
          </w:p>
        </w:tc>
        <w:tc>
          <w:tcPr>
            <w:tcW w:w="2693" w:type="dxa"/>
          </w:tcPr>
          <w:p w14:paraId="6D035324" w14:textId="06A7B6AB" w:rsidR="00D6664E" w:rsidRPr="001E05DC" w:rsidRDefault="00D6664E" w:rsidP="001A26A3">
            <w:pPr>
              <w:spacing w:after="160" w:line="259" w:lineRule="auto"/>
            </w:pPr>
            <w:r w:rsidRPr="001E05DC">
              <w:t>Number of families with access to waste collection</w:t>
            </w:r>
            <w:r w:rsidR="004C58EB">
              <w:t>*</w:t>
            </w:r>
          </w:p>
        </w:tc>
        <w:tc>
          <w:tcPr>
            <w:tcW w:w="2977" w:type="dxa"/>
          </w:tcPr>
          <w:p w14:paraId="33997D25" w14:textId="77777777" w:rsidR="00D6664E" w:rsidRPr="001E05DC" w:rsidRDefault="00D6664E" w:rsidP="001A26A3">
            <w:pPr>
              <w:spacing w:after="160" w:line="259" w:lineRule="auto"/>
            </w:pPr>
            <w:r w:rsidRPr="001E05DC">
              <w:t>Proportion of total number of families</w:t>
            </w:r>
          </w:p>
        </w:tc>
        <w:tc>
          <w:tcPr>
            <w:tcW w:w="2126" w:type="dxa"/>
          </w:tcPr>
          <w:p w14:paraId="2262D207" w14:textId="77777777" w:rsidR="00D6664E" w:rsidRPr="001E05DC" w:rsidRDefault="00D6664E" w:rsidP="001A26A3">
            <w:pPr>
              <w:spacing w:after="160" w:line="259" w:lineRule="auto"/>
            </w:pPr>
          </w:p>
        </w:tc>
        <w:tc>
          <w:tcPr>
            <w:tcW w:w="4309" w:type="dxa"/>
          </w:tcPr>
          <w:p w14:paraId="44202B5D" w14:textId="77777777" w:rsidR="00D6664E" w:rsidRPr="001E05DC" w:rsidRDefault="00D6664E" w:rsidP="001A26A3">
            <w:pPr>
              <w:spacing w:after="160" w:line="259" w:lineRule="auto"/>
            </w:pPr>
          </w:p>
        </w:tc>
      </w:tr>
      <w:tr w:rsidR="00D6664E" w:rsidRPr="001E05DC" w14:paraId="1D682199" w14:textId="77777777" w:rsidTr="001A26A3">
        <w:tc>
          <w:tcPr>
            <w:tcW w:w="1843" w:type="dxa"/>
          </w:tcPr>
          <w:p w14:paraId="3D832D25" w14:textId="77777777" w:rsidR="00D6664E" w:rsidRPr="001E05DC" w:rsidRDefault="00D6664E" w:rsidP="001A26A3">
            <w:pPr>
              <w:spacing w:after="160" w:line="259" w:lineRule="auto"/>
            </w:pPr>
          </w:p>
        </w:tc>
        <w:tc>
          <w:tcPr>
            <w:tcW w:w="2693" w:type="dxa"/>
          </w:tcPr>
          <w:p w14:paraId="6C67BFED" w14:textId="552F159D" w:rsidR="00D6664E" w:rsidRPr="001E05DC" w:rsidRDefault="00D6664E" w:rsidP="001A26A3">
            <w:pPr>
              <w:spacing w:after="160" w:line="259" w:lineRule="auto"/>
            </w:pPr>
            <w:r w:rsidRPr="001E05DC">
              <w:t>Distance to the Commune Office</w:t>
            </w:r>
            <w:r w:rsidR="00515BD5">
              <w:t>*</w:t>
            </w:r>
          </w:p>
        </w:tc>
        <w:tc>
          <w:tcPr>
            <w:tcW w:w="2977" w:type="dxa"/>
          </w:tcPr>
          <w:p w14:paraId="633ADEFB" w14:textId="77777777" w:rsidR="00D6664E" w:rsidRPr="001E05DC" w:rsidRDefault="00D6664E" w:rsidP="001A26A3">
            <w:pPr>
              <w:spacing w:after="160" w:line="259" w:lineRule="auto"/>
            </w:pPr>
          </w:p>
        </w:tc>
        <w:tc>
          <w:tcPr>
            <w:tcW w:w="2126" w:type="dxa"/>
          </w:tcPr>
          <w:p w14:paraId="648934FF" w14:textId="77777777" w:rsidR="00D6664E" w:rsidRPr="001E05DC" w:rsidRDefault="00D6664E" w:rsidP="001A26A3">
            <w:pPr>
              <w:spacing w:after="160" w:line="259" w:lineRule="auto"/>
            </w:pPr>
          </w:p>
        </w:tc>
        <w:tc>
          <w:tcPr>
            <w:tcW w:w="4309" w:type="dxa"/>
          </w:tcPr>
          <w:p w14:paraId="7EC31777" w14:textId="77777777" w:rsidR="00D6664E" w:rsidRPr="001E05DC" w:rsidRDefault="00D6664E" w:rsidP="001A26A3">
            <w:pPr>
              <w:spacing w:after="160" w:line="259" w:lineRule="auto"/>
            </w:pPr>
            <w:r w:rsidRPr="001E05DC">
              <w:t>Median distance from any village in the commune to the Commune Office (government administration office)</w:t>
            </w:r>
          </w:p>
        </w:tc>
      </w:tr>
      <w:tr w:rsidR="00D6664E" w:rsidRPr="001E05DC" w14:paraId="665E9768" w14:textId="77777777" w:rsidTr="001A26A3">
        <w:tc>
          <w:tcPr>
            <w:tcW w:w="1843" w:type="dxa"/>
            <w:tcBorders>
              <w:top w:val="single" w:sz="6" w:space="0" w:color="auto"/>
            </w:tcBorders>
          </w:tcPr>
          <w:p w14:paraId="3EDDBDAE" w14:textId="77777777" w:rsidR="00D6664E" w:rsidRPr="001E05DC" w:rsidRDefault="00D6664E" w:rsidP="001A26A3">
            <w:pPr>
              <w:spacing w:after="160" w:line="259" w:lineRule="auto"/>
            </w:pPr>
            <w:r w:rsidRPr="001E05DC">
              <w:t xml:space="preserve">Social justice </w:t>
            </w:r>
          </w:p>
        </w:tc>
        <w:tc>
          <w:tcPr>
            <w:tcW w:w="2693" w:type="dxa"/>
            <w:tcBorders>
              <w:top w:val="single" w:sz="6" w:space="0" w:color="auto"/>
            </w:tcBorders>
          </w:tcPr>
          <w:p w14:paraId="5BC2808B" w14:textId="0A5CFF68" w:rsidR="00D6664E" w:rsidRPr="001E05DC" w:rsidRDefault="00D6664E" w:rsidP="001A26A3">
            <w:pPr>
              <w:spacing w:after="160" w:line="259" w:lineRule="auto"/>
            </w:pPr>
            <w:r w:rsidRPr="001E05DC">
              <w:t>Number of criminal cases</w:t>
            </w:r>
            <w:r w:rsidR="00515BD5">
              <w:t>*</w:t>
            </w:r>
          </w:p>
        </w:tc>
        <w:tc>
          <w:tcPr>
            <w:tcW w:w="2977" w:type="dxa"/>
            <w:tcBorders>
              <w:top w:val="single" w:sz="6" w:space="0" w:color="auto"/>
            </w:tcBorders>
          </w:tcPr>
          <w:p w14:paraId="4FCA4783" w14:textId="77777777" w:rsidR="00D6664E" w:rsidRPr="001E05DC" w:rsidRDefault="00D6664E" w:rsidP="001A26A3">
            <w:pPr>
              <w:spacing w:after="160" w:line="259" w:lineRule="auto"/>
            </w:pPr>
            <w:r w:rsidRPr="001E05DC">
              <w:t>Criminal cases per capita</w:t>
            </w:r>
          </w:p>
        </w:tc>
        <w:tc>
          <w:tcPr>
            <w:tcW w:w="2126" w:type="dxa"/>
            <w:tcBorders>
              <w:top w:val="single" w:sz="6" w:space="0" w:color="auto"/>
            </w:tcBorders>
          </w:tcPr>
          <w:p w14:paraId="1E263F77" w14:textId="77777777" w:rsidR="00D6664E" w:rsidRPr="001E05DC" w:rsidRDefault="00D6664E" w:rsidP="001A26A3">
            <w:pPr>
              <w:spacing w:after="160" w:line="259" w:lineRule="auto"/>
            </w:pPr>
            <w:r w:rsidRPr="001E05DC">
              <w:t>Categorical</w:t>
            </w:r>
          </w:p>
        </w:tc>
        <w:tc>
          <w:tcPr>
            <w:tcW w:w="4309" w:type="dxa"/>
            <w:tcBorders>
              <w:top w:val="single" w:sz="6" w:space="0" w:color="auto"/>
            </w:tcBorders>
          </w:tcPr>
          <w:p w14:paraId="3C5D67A9" w14:textId="77777777" w:rsidR="00D6664E" w:rsidRPr="001E05DC" w:rsidRDefault="00D6664E" w:rsidP="001A26A3">
            <w:pPr>
              <w:spacing w:after="160" w:line="259" w:lineRule="auto"/>
            </w:pPr>
            <w:r w:rsidRPr="001E05DC">
              <w:t>Includes murder, theft, and other criminal cases</w:t>
            </w:r>
          </w:p>
        </w:tc>
      </w:tr>
      <w:tr w:rsidR="00D6664E" w:rsidRPr="001E05DC" w14:paraId="24086468" w14:textId="77777777" w:rsidTr="001A26A3">
        <w:tc>
          <w:tcPr>
            <w:tcW w:w="1843" w:type="dxa"/>
          </w:tcPr>
          <w:p w14:paraId="55E368E4" w14:textId="77777777" w:rsidR="00D6664E" w:rsidRPr="001E05DC" w:rsidRDefault="00D6664E" w:rsidP="001A26A3">
            <w:pPr>
              <w:spacing w:after="160" w:line="259" w:lineRule="auto"/>
            </w:pPr>
          </w:p>
        </w:tc>
        <w:tc>
          <w:tcPr>
            <w:tcW w:w="2693" w:type="dxa"/>
          </w:tcPr>
          <w:p w14:paraId="103BD330" w14:textId="77777777" w:rsidR="00D6664E" w:rsidRPr="001E05DC" w:rsidRDefault="00D6664E" w:rsidP="001A26A3">
            <w:pPr>
              <w:spacing w:after="160" w:line="259" w:lineRule="auto"/>
            </w:pPr>
          </w:p>
        </w:tc>
        <w:tc>
          <w:tcPr>
            <w:tcW w:w="2977" w:type="dxa"/>
          </w:tcPr>
          <w:p w14:paraId="6221A28A" w14:textId="77777777" w:rsidR="00D6664E" w:rsidRPr="001E05DC" w:rsidRDefault="00D6664E" w:rsidP="001A26A3">
            <w:pPr>
              <w:spacing w:after="160" w:line="259" w:lineRule="auto"/>
            </w:pPr>
          </w:p>
        </w:tc>
        <w:tc>
          <w:tcPr>
            <w:tcW w:w="2126" w:type="dxa"/>
          </w:tcPr>
          <w:p w14:paraId="3F657AA0" w14:textId="77777777" w:rsidR="00D6664E" w:rsidRPr="001E05DC" w:rsidRDefault="00D6664E" w:rsidP="001A26A3">
            <w:pPr>
              <w:spacing w:after="160" w:line="259" w:lineRule="auto"/>
            </w:pPr>
          </w:p>
        </w:tc>
        <w:tc>
          <w:tcPr>
            <w:tcW w:w="4309" w:type="dxa"/>
          </w:tcPr>
          <w:p w14:paraId="331E1495" w14:textId="77777777" w:rsidR="00D6664E" w:rsidRPr="001E05DC" w:rsidRDefault="00D6664E" w:rsidP="001A26A3">
            <w:pPr>
              <w:spacing w:after="160" w:line="259" w:lineRule="auto"/>
            </w:pPr>
          </w:p>
        </w:tc>
      </w:tr>
      <w:tr w:rsidR="00D6664E" w:rsidRPr="001E05DC" w14:paraId="5D6BCD82" w14:textId="77777777" w:rsidTr="001A26A3">
        <w:tc>
          <w:tcPr>
            <w:tcW w:w="1843" w:type="dxa"/>
            <w:tcBorders>
              <w:bottom w:val="single" w:sz="6" w:space="0" w:color="auto"/>
            </w:tcBorders>
          </w:tcPr>
          <w:p w14:paraId="7100C02C" w14:textId="77777777" w:rsidR="00D6664E" w:rsidRPr="001E05DC" w:rsidRDefault="00D6664E" w:rsidP="001A26A3">
            <w:pPr>
              <w:spacing w:after="160" w:line="259" w:lineRule="auto"/>
            </w:pPr>
          </w:p>
        </w:tc>
        <w:tc>
          <w:tcPr>
            <w:tcW w:w="2693" w:type="dxa"/>
            <w:tcBorders>
              <w:bottom w:val="single" w:sz="6" w:space="0" w:color="auto"/>
            </w:tcBorders>
          </w:tcPr>
          <w:p w14:paraId="44D94262" w14:textId="0BA5E1E4" w:rsidR="00D6664E" w:rsidRPr="001E05DC" w:rsidRDefault="00D6664E" w:rsidP="001A26A3">
            <w:pPr>
              <w:spacing w:after="160" w:line="259" w:lineRule="auto"/>
            </w:pPr>
            <w:r w:rsidRPr="001E05DC">
              <w:t>Number of land conflict cases</w:t>
            </w:r>
            <w:r w:rsidR="004C58EB">
              <w:t>*</w:t>
            </w:r>
          </w:p>
        </w:tc>
        <w:tc>
          <w:tcPr>
            <w:tcW w:w="2977" w:type="dxa"/>
            <w:tcBorders>
              <w:bottom w:val="single" w:sz="6" w:space="0" w:color="auto"/>
            </w:tcBorders>
          </w:tcPr>
          <w:p w14:paraId="5DD480BE" w14:textId="77777777" w:rsidR="00D6664E" w:rsidRPr="001E05DC" w:rsidRDefault="00D6664E" w:rsidP="001A26A3">
            <w:pPr>
              <w:spacing w:after="160" w:line="259" w:lineRule="auto"/>
            </w:pPr>
          </w:p>
        </w:tc>
        <w:tc>
          <w:tcPr>
            <w:tcW w:w="2126" w:type="dxa"/>
            <w:tcBorders>
              <w:bottom w:val="single" w:sz="6" w:space="0" w:color="auto"/>
            </w:tcBorders>
          </w:tcPr>
          <w:p w14:paraId="3C5BDC61" w14:textId="77777777" w:rsidR="00D6664E" w:rsidRPr="001E05DC" w:rsidRDefault="00D6664E" w:rsidP="001A26A3">
            <w:pPr>
              <w:spacing w:after="160" w:line="259" w:lineRule="auto"/>
            </w:pPr>
            <w:r w:rsidRPr="001E05DC">
              <w:t>Categorical</w:t>
            </w:r>
          </w:p>
        </w:tc>
        <w:tc>
          <w:tcPr>
            <w:tcW w:w="4309" w:type="dxa"/>
            <w:tcBorders>
              <w:bottom w:val="single" w:sz="6" w:space="0" w:color="auto"/>
            </w:tcBorders>
          </w:tcPr>
          <w:p w14:paraId="2B224989" w14:textId="77777777" w:rsidR="00D6664E" w:rsidRPr="001E05DC" w:rsidRDefault="00D6664E" w:rsidP="001A26A3">
            <w:pPr>
              <w:spacing w:after="160" w:line="259" w:lineRule="auto"/>
            </w:pPr>
            <w:r w:rsidRPr="001E05DC">
              <w:t>In the previous 12 months</w:t>
            </w:r>
          </w:p>
        </w:tc>
      </w:tr>
      <w:tr w:rsidR="00D6664E" w:rsidRPr="001E05DC" w14:paraId="059FD9BE" w14:textId="77777777" w:rsidTr="001A26A3">
        <w:tc>
          <w:tcPr>
            <w:tcW w:w="1843" w:type="dxa"/>
            <w:tcBorders>
              <w:top w:val="single" w:sz="6" w:space="0" w:color="auto"/>
            </w:tcBorders>
          </w:tcPr>
          <w:p w14:paraId="0BB7CBAC" w14:textId="77777777" w:rsidR="00D6664E" w:rsidRPr="001E05DC" w:rsidRDefault="00D6664E" w:rsidP="001A26A3">
            <w:pPr>
              <w:spacing w:after="160" w:line="259" w:lineRule="auto"/>
            </w:pPr>
            <w:r w:rsidRPr="001E05DC">
              <w:t>Migration</w:t>
            </w:r>
          </w:p>
        </w:tc>
        <w:tc>
          <w:tcPr>
            <w:tcW w:w="2693" w:type="dxa"/>
            <w:tcBorders>
              <w:top w:val="single" w:sz="6" w:space="0" w:color="auto"/>
            </w:tcBorders>
          </w:tcPr>
          <w:p w14:paraId="250D37FD" w14:textId="75D79203" w:rsidR="00D6664E" w:rsidRPr="001E05DC" w:rsidRDefault="00D6664E" w:rsidP="001A26A3">
            <w:pPr>
              <w:spacing w:after="160" w:line="259" w:lineRule="auto"/>
            </w:pPr>
            <w:r w:rsidRPr="001E05DC">
              <w:t>Number of in-migrants</w:t>
            </w:r>
            <w:r w:rsidR="004C58EB">
              <w:t>*</w:t>
            </w:r>
          </w:p>
        </w:tc>
        <w:tc>
          <w:tcPr>
            <w:tcW w:w="2977" w:type="dxa"/>
            <w:tcBorders>
              <w:top w:val="single" w:sz="6" w:space="0" w:color="auto"/>
            </w:tcBorders>
          </w:tcPr>
          <w:p w14:paraId="0729A8B9" w14:textId="77777777" w:rsidR="00D6664E" w:rsidRPr="001E05DC" w:rsidRDefault="00D6664E" w:rsidP="001A26A3">
            <w:pPr>
              <w:spacing w:after="160" w:line="259" w:lineRule="auto"/>
            </w:pPr>
          </w:p>
        </w:tc>
        <w:tc>
          <w:tcPr>
            <w:tcW w:w="2126" w:type="dxa"/>
            <w:tcBorders>
              <w:top w:val="single" w:sz="6" w:space="0" w:color="auto"/>
            </w:tcBorders>
          </w:tcPr>
          <w:p w14:paraId="643A8371" w14:textId="77777777" w:rsidR="00D6664E" w:rsidRPr="001E05DC" w:rsidRDefault="00D6664E" w:rsidP="001A26A3">
            <w:pPr>
              <w:spacing w:after="160" w:line="259" w:lineRule="auto"/>
            </w:pPr>
            <w:r w:rsidRPr="001E05DC">
              <w:t>Categorical</w:t>
            </w:r>
          </w:p>
        </w:tc>
        <w:tc>
          <w:tcPr>
            <w:tcW w:w="4309" w:type="dxa"/>
            <w:tcBorders>
              <w:top w:val="single" w:sz="6" w:space="0" w:color="auto"/>
            </w:tcBorders>
          </w:tcPr>
          <w:p w14:paraId="33D175C5" w14:textId="77777777" w:rsidR="00D6664E" w:rsidRPr="001E05DC" w:rsidRDefault="00D6664E" w:rsidP="001A26A3">
            <w:pPr>
              <w:spacing w:after="160" w:line="259" w:lineRule="auto"/>
            </w:pPr>
            <w:r w:rsidRPr="001E05DC">
              <w:t>Migration into the commune</w:t>
            </w:r>
          </w:p>
        </w:tc>
      </w:tr>
      <w:tr w:rsidR="00D6664E" w:rsidRPr="001E05DC" w14:paraId="4A95A4A8" w14:textId="77777777" w:rsidTr="001A26A3">
        <w:tc>
          <w:tcPr>
            <w:tcW w:w="1843" w:type="dxa"/>
            <w:tcBorders>
              <w:bottom w:val="single" w:sz="6" w:space="0" w:color="auto"/>
            </w:tcBorders>
          </w:tcPr>
          <w:p w14:paraId="6070F2F6" w14:textId="77777777" w:rsidR="00D6664E" w:rsidRPr="001E05DC" w:rsidRDefault="00D6664E" w:rsidP="001A26A3">
            <w:pPr>
              <w:spacing w:after="160" w:line="259" w:lineRule="auto"/>
            </w:pPr>
          </w:p>
        </w:tc>
        <w:tc>
          <w:tcPr>
            <w:tcW w:w="2693" w:type="dxa"/>
            <w:tcBorders>
              <w:bottom w:val="single" w:sz="6" w:space="0" w:color="auto"/>
            </w:tcBorders>
          </w:tcPr>
          <w:p w14:paraId="6825B642" w14:textId="6A09610B" w:rsidR="00D6664E" w:rsidRPr="001E05DC" w:rsidRDefault="00D6664E" w:rsidP="001A26A3">
            <w:pPr>
              <w:spacing w:after="160" w:line="259" w:lineRule="auto"/>
            </w:pPr>
            <w:r w:rsidRPr="001E05DC">
              <w:t>Number of out-migrants</w:t>
            </w:r>
            <w:r w:rsidR="004C58EB">
              <w:t>*</w:t>
            </w:r>
          </w:p>
        </w:tc>
        <w:tc>
          <w:tcPr>
            <w:tcW w:w="2977" w:type="dxa"/>
            <w:tcBorders>
              <w:bottom w:val="single" w:sz="6" w:space="0" w:color="auto"/>
            </w:tcBorders>
          </w:tcPr>
          <w:p w14:paraId="09CDFB97" w14:textId="77777777" w:rsidR="00D6664E" w:rsidRPr="001E05DC" w:rsidRDefault="00D6664E" w:rsidP="001A26A3">
            <w:pPr>
              <w:spacing w:after="160" w:line="259" w:lineRule="auto"/>
            </w:pPr>
          </w:p>
        </w:tc>
        <w:tc>
          <w:tcPr>
            <w:tcW w:w="2126" w:type="dxa"/>
            <w:tcBorders>
              <w:bottom w:val="single" w:sz="6" w:space="0" w:color="auto"/>
            </w:tcBorders>
          </w:tcPr>
          <w:p w14:paraId="3E397BC4" w14:textId="77777777" w:rsidR="00D6664E" w:rsidRPr="001E05DC" w:rsidRDefault="00D6664E" w:rsidP="001A26A3">
            <w:pPr>
              <w:spacing w:after="160" w:line="259" w:lineRule="auto"/>
            </w:pPr>
            <w:r w:rsidRPr="001E05DC">
              <w:t>Categorical</w:t>
            </w:r>
          </w:p>
        </w:tc>
        <w:tc>
          <w:tcPr>
            <w:tcW w:w="4309" w:type="dxa"/>
            <w:tcBorders>
              <w:bottom w:val="single" w:sz="6" w:space="0" w:color="auto"/>
            </w:tcBorders>
          </w:tcPr>
          <w:p w14:paraId="3E4DD29D" w14:textId="77777777" w:rsidR="00D6664E" w:rsidRPr="001E05DC" w:rsidRDefault="00D6664E" w:rsidP="001A26A3">
            <w:pPr>
              <w:spacing w:after="160" w:line="259" w:lineRule="auto"/>
            </w:pPr>
            <w:r w:rsidRPr="001E05DC">
              <w:t>Migration out of the commune</w:t>
            </w:r>
          </w:p>
        </w:tc>
      </w:tr>
      <w:tr w:rsidR="00D6664E" w:rsidRPr="001E05DC" w14:paraId="6FA71762" w14:textId="77777777" w:rsidTr="001A26A3">
        <w:tc>
          <w:tcPr>
            <w:tcW w:w="1843" w:type="dxa"/>
            <w:tcBorders>
              <w:top w:val="single" w:sz="6" w:space="0" w:color="auto"/>
            </w:tcBorders>
          </w:tcPr>
          <w:p w14:paraId="69DA8FC7" w14:textId="77777777" w:rsidR="00D6664E" w:rsidRPr="001E05DC" w:rsidRDefault="00D6664E" w:rsidP="001A26A3">
            <w:pPr>
              <w:spacing w:after="160" w:line="259" w:lineRule="auto"/>
            </w:pPr>
            <w:r w:rsidRPr="001E05DC">
              <w:t>Control</w:t>
            </w:r>
          </w:p>
        </w:tc>
        <w:tc>
          <w:tcPr>
            <w:tcW w:w="2693" w:type="dxa"/>
            <w:tcBorders>
              <w:top w:val="single" w:sz="6" w:space="0" w:color="auto"/>
            </w:tcBorders>
          </w:tcPr>
          <w:p w14:paraId="00CAC1D4" w14:textId="77777777" w:rsidR="00D6664E" w:rsidRPr="001E05DC" w:rsidRDefault="00D6664E" w:rsidP="001A26A3">
            <w:pPr>
              <w:spacing w:after="160" w:line="259" w:lineRule="auto"/>
            </w:pPr>
            <w:r w:rsidRPr="001E05DC">
              <w:t>Mean elevation (</w:t>
            </w:r>
            <w:proofErr w:type="spellStart"/>
            <w:r w:rsidRPr="001E05DC">
              <w:t>masl</w:t>
            </w:r>
            <w:proofErr w:type="spellEnd"/>
            <w:r w:rsidRPr="001E05DC">
              <w:t>)</w:t>
            </w:r>
          </w:p>
        </w:tc>
        <w:tc>
          <w:tcPr>
            <w:tcW w:w="2977" w:type="dxa"/>
            <w:tcBorders>
              <w:top w:val="single" w:sz="6" w:space="0" w:color="auto"/>
            </w:tcBorders>
          </w:tcPr>
          <w:p w14:paraId="7D7A9124" w14:textId="77777777" w:rsidR="00D6664E" w:rsidRPr="001E05DC" w:rsidRDefault="00D6664E" w:rsidP="001A26A3">
            <w:pPr>
              <w:spacing w:after="160" w:line="259" w:lineRule="auto"/>
            </w:pPr>
          </w:p>
        </w:tc>
        <w:tc>
          <w:tcPr>
            <w:tcW w:w="2126" w:type="dxa"/>
            <w:tcBorders>
              <w:top w:val="single" w:sz="6" w:space="0" w:color="auto"/>
            </w:tcBorders>
          </w:tcPr>
          <w:p w14:paraId="621F1BF2" w14:textId="77777777" w:rsidR="00D6664E" w:rsidRPr="001E05DC" w:rsidRDefault="00D6664E" w:rsidP="001A26A3">
            <w:pPr>
              <w:spacing w:after="160" w:line="259" w:lineRule="auto"/>
            </w:pPr>
            <w:r w:rsidRPr="001E05DC">
              <w:t>Categorical</w:t>
            </w:r>
          </w:p>
        </w:tc>
        <w:tc>
          <w:tcPr>
            <w:tcW w:w="4309" w:type="dxa"/>
            <w:tcBorders>
              <w:top w:val="single" w:sz="6" w:space="0" w:color="auto"/>
            </w:tcBorders>
          </w:tcPr>
          <w:p w14:paraId="5E8000AF" w14:textId="77777777" w:rsidR="00D6664E" w:rsidRPr="001E05DC" w:rsidRDefault="00D6664E" w:rsidP="001A26A3">
            <w:pPr>
              <w:spacing w:after="160" w:line="259" w:lineRule="auto"/>
            </w:pPr>
            <w:r w:rsidRPr="001E05DC">
              <w:t>Mean elevation for the commune</w:t>
            </w:r>
          </w:p>
        </w:tc>
      </w:tr>
      <w:tr w:rsidR="00D6664E" w:rsidRPr="001E05DC" w14:paraId="6634FD5A" w14:textId="77777777" w:rsidTr="001A26A3">
        <w:tc>
          <w:tcPr>
            <w:tcW w:w="1843" w:type="dxa"/>
          </w:tcPr>
          <w:p w14:paraId="7838F453" w14:textId="77777777" w:rsidR="00D6664E" w:rsidRPr="001E05DC" w:rsidRDefault="00D6664E" w:rsidP="001A26A3">
            <w:pPr>
              <w:spacing w:after="160" w:line="259" w:lineRule="auto"/>
            </w:pPr>
          </w:p>
        </w:tc>
        <w:tc>
          <w:tcPr>
            <w:tcW w:w="2693" w:type="dxa"/>
          </w:tcPr>
          <w:p w14:paraId="3C01F962" w14:textId="77777777" w:rsidR="00D6664E" w:rsidRPr="001E05DC" w:rsidRDefault="00D6664E" w:rsidP="001A26A3">
            <w:pPr>
              <w:spacing w:after="160" w:line="259" w:lineRule="auto"/>
            </w:pPr>
            <w:r w:rsidRPr="001E05DC">
              <w:t>Distance to international border (km)</w:t>
            </w:r>
          </w:p>
        </w:tc>
        <w:tc>
          <w:tcPr>
            <w:tcW w:w="2977" w:type="dxa"/>
          </w:tcPr>
          <w:p w14:paraId="32C8E75D" w14:textId="77777777" w:rsidR="00D6664E" w:rsidRPr="001E05DC" w:rsidRDefault="00D6664E" w:rsidP="001A26A3">
            <w:pPr>
              <w:spacing w:after="160" w:line="259" w:lineRule="auto"/>
            </w:pPr>
          </w:p>
        </w:tc>
        <w:tc>
          <w:tcPr>
            <w:tcW w:w="2126" w:type="dxa"/>
          </w:tcPr>
          <w:p w14:paraId="6060AE8E" w14:textId="77777777" w:rsidR="00D6664E" w:rsidRPr="001E05DC" w:rsidRDefault="00D6664E" w:rsidP="001A26A3">
            <w:pPr>
              <w:spacing w:after="160" w:line="259" w:lineRule="auto"/>
            </w:pPr>
            <w:r w:rsidRPr="001E05DC">
              <w:t>Categorical</w:t>
            </w:r>
          </w:p>
        </w:tc>
        <w:tc>
          <w:tcPr>
            <w:tcW w:w="4309" w:type="dxa"/>
          </w:tcPr>
          <w:p w14:paraId="78155A45" w14:textId="77777777" w:rsidR="00D6664E" w:rsidRPr="001E05DC" w:rsidRDefault="00D6664E" w:rsidP="001A26A3">
            <w:pPr>
              <w:spacing w:after="160" w:line="259" w:lineRule="auto"/>
            </w:pPr>
            <w:r w:rsidRPr="001E05DC">
              <w:t>Distance from the centre of the commune to the nearest international border</w:t>
            </w:r>
          </w:p>
        </w:tc>
      </w:tr>
      <w:tr w:rsidR="00D6664E" w:rsidRPr="001E05DC" w14:paraId="1CF11FB9" w14:textId="77777777" w:rsidTr="001A26A3">
        <w:tc>
          <w:tcPr>
            <w:tcW w:w="1843" w:type="dxa"/>
          </w:tcPr>
          <w:p w14:paraId="19E8624E" w14:textId="77777777" w:rsidR="00D6664E" w:rsidRPr="001E05DC" w:rsidRDefault="00D6664E" w:rsidP="001A26A3">
            <w:pPr>
              <w:spacing w:after="160" w:line="259" w:lineRule="auto"/>
            </w:pPr>
          </w:p>
        </w:tc>
        <w:tc>
          <w:tcPr>
            <w:tcW w:w="2693" w:type="dxa"/>
          </w:tcPr>
          <w:p w14:paraId="03100070" w14:textId="77777777" w:rsidR="00D6664E" w:rsidRPr="001E05DC" w:rsidRDefault="00D6664E" w:rsidP="001A26A3">
            <w:pPr>
              <w:spacing w:after="160" w:line="259" w:lineRule="auto"/>
            </w:pPr>
            <w:r w:rsidRPr="001E05DC">
              <w:t>Distance to Provincial Capital (km)</w:t>
            </w:r>
          </w:p>
        </w:tc>
        <w:tc>
          <w:tcPr>
            <w:tcW w:w="2977" w:type="dxa"/>
          </w:tcPr>
          <w:p w14:paraId="17ED81B6" w14:textId="77777777" w:rsidR="00D6664E" w:rsidRPr="001E05DC" w:rsidRDefault="00D6664E" w:rsidP="001A26A3">
            <w:pPr>
              <w:spacing w:after="160" w:line="259" w:lineRule="auto"/>
            </w:pPr>
          </w:p>
        </w:tc>
        <w:tc>
          <w:tcPr>
            <w:tcW w:w="2126" w:type="dxa"/>
          </w:tcPr>
          <w:p w14:paraId="0D95DF5E" w14:textId="77777777" w:rsidR="00D6664E" w:rsidRPr="001E05DC" w:rsidRDefault="00D6664E" w:rsidP="001A26A3">
            <w:pPr>
              <w:spacing w:after="160" w:line="259" w:lineRule="auto"/>
            </w:pPr>
            <w:r w:rsidRPr="001E05DC">
              <w:t>Categorical</w:t>
            </w:r>
          </w:p>
        </w:tc>
        <w:tc>
          <w:tcPr>
            <w:tcW w:w="4309" w:type="dxa"/>
          </w:tcPr>
          <w:p w14:paraId="49A6BEC3" w14:textId="77777777" w:rsidR="00D6664E" w:rsidRPr="001E05DC" w:rsidRDefault="00D6664E" w:rsidP="001A26A3">
            <w:pPr>
              <w:spacing w:after="160" w:line="259" w:lineRule="auto"/>
            </w:pPr>
            <w:r w:rsidRPr="001E05DC">
              <w:t>Distance from the centre of the commune to the centre of the provincial capital (town or city)</w:t>
            </w:r>
          </w:p>
        </w:tc>
      </w:tr>
      <w:tr w:rsidR="00D6664E" w:rsidRPr="001E05DC" w14:paraId="0F733FB5" w14:textId="77777777" w:rsidTr="001A26A3">
        <w:tc>
          <w:tcPr>
            <w:tcW w:w="1843" w:type="dxa"/>
          </w:tcPr>
          <w:p w14:paraId="695AD0B9" w14:textId="77777777" w:rsidR="00D6664E" w:rsidRPr="001E05DC" w:rsidRDefault="00D6664E" w:rsidP="001A26A3">
            <w:pPr>
              <w:spacing w:after="160" w:line="259" w:lineRule="auto"/>
            </w:pPr>
          </w:p>
        </w:tc>
        <w:tc>
          <w:tcPr>
            <w:tcW w:w="2693" w:type="dxa"/>
          </w:tcPr>
          <w:p w14:paraId="5C064536" w14:textId="77777777" w:rsidR="00D6664E" w:rsidRPr="001E05DC" w:rsidRDefault="00D6664E" w:rsidP="001A26A3">
            <w:pPr>
              <w:spacing w:after="160" w:line="259" w:lineRule="auto"/>
            </w:pPr>
            <w:r w:rsidRPr="001E05DC">
              <w:t>Presence of economic land concessions</w:t>
            </w:r>
          </w:p>
        </w:tc>
        <w:tc>
          <w:tcPr>
            <w:tcW w:w="2977" w:type="dxa"/>
          </w:tcPr>
          <w:p w14:paraId="779A1A0E" w14:textId="77777777" w:rsidR="00D6664E" w:rsidRPr="001E05DC" w:rsidRDefault="00D6664E" w:rsidP="001A26A3">
            <w:pPr>
              <w:spacing w:after="160" w:line="259" w:lineRule="auto"/>
            </w:pPr>
          </w:p>
        </w:tc>
        <w:tc>
          <w:tcPr>
            <w:tcW w:w="2126" w:type="dxa"/>
          </w:tcPr>
          <w:p w14:paraId="6DE68B70" w14:textId="77777777" w:rsidR="00D6664E" w:rsidRPr="001E05DC" w:rsidRDefault="00D6664E" w:rsidP="001A26A3">
            <w:pPr>
              <w:spacing w:after="160" w:line="259" w:lineRule="auto"/>
            </w:pPr>
          </w:p>
        </w:tc>
        <w:tc>
          <w:tcPr>
            <w:tcW w:w="4309" w:type="dxa"/>
          </w:tcPr>
          <w:p w14:paraId="4080275F" w14:textId="77777777" w:rsidR="00D6664E" w:rsidRPr="001E05DC" w:rsidRDefault="00D6664E" w:rsidP="001A26A3">
            <w:pPr>
              <w:spacing w:after="160" w:line="259" w:lineRule="auto"/>
            </w:pPr>
            <w:r w:rsidRPr="001E05DC">
              <w:t xml:space="preserve">Binary. 1 = part or all of an economic land concession falls within the boundary of the </w:t>
            </w:r>
            <w:r w:rsidRPr="001E05DC">
              <w:lastRenderedPageBreak/>
              <w:t>commune, 0 = no economic land concession falls within the commune boundary</w:t>
            </w:r>
          </w:p>
        </w:tc>
      </w:tr>
      <w:tr w:rsidR="00D6664E" w:rsidRPr="001E05DC" w14:paraId="6B29E681" w14:textId="77777777" w:rsidTr="001A26A3">
        <w:tc>
          <w:tcPr>
            <w:tcW w:w="1843" w:type="dxa"/>
          </w:tcPr>
          <w:p w14:paraId="535FAE36" w14:textId="77777777" w:rsidR="00D6664E" w:rsidRPr="001E05DC" w:rsidRDefault="00D6664E" w:rsidP="001A26A3">
            <w:pPr>
              <w:spacing w:after="160" w:line="259" w:lineRule="auto"/>
            </w:pPr>
          </w:p>
        </w:tc>
        <w:tc>
          <w:tcPr>
            <w:tcW w:w="2693" w:type="dxa"/>
          </w:tcPr>
          <w:p w14:paraId="18AB34F2" w14:textId="77777777" w:rsidR="00D6664E" w:rsidRPr="001E05DC" w:rsidRDefault="00D6664E" w:rsidP="001A26A3">
            <w:pPr>
              <w:spacing w:after="160" w:line="259" w:lineRule="auto"/>
            </w:pPr>
            <w:r w:rsidRPr="001E05DC">
              <w:t>Presence of protected area</w:t>
            </w:r>
          </w:p>
        </w:tc>
        <w:tc>
          <w:tcPr>
            <w:tcW w:w="2977" w:type="dxa"/>
          </w:tcPr>
          <w:p w14:paraId="7B1AEDE5" w14:textId="77777777" w:rsidR="00D6664E" w:rsidRPr="001E05DC" w:rsidRDefault="00D6664E" w:rsidP="001A26A3">
            <w:pPr>
              <w:spacing w:after="160" w:line="259" w:lineRule="auto"/>
            </w:pPr>
          </w:p>
        </w:tc>
        <w:tc>
          <w:tcPr>
            <w:tcW w:w="2126" w:type="dxa"/>
          </w:tcPr>
          <w:p w14:paraId="53255D0E" w14:textId="77777777" w:rsidR="00D6664E" w:rsidRPr="001E05DC" w:rsidRDefault="00D6664E" w:rsidP="001A26A3">
            <w:pPr>
              <w:spacing w:after="160" w:line="259" w:lineRule="auto"/>
            </w:pPr>
          </w:p>
        </w:tc>
        <w:tc>
          <w:tcPr>
            <w:tcW w:w="4309" w:type="dxa"/>
          </w:tcPr>
          <w:p w14:paraId="5B6FCD75" w14:textId="77777777" w:rsidR="00D6664E" w:rsidRPr="001E05DC" w:rsidRDefault="00D6664E" w:rsidP="001A26A3">
            <w:pPr>
              <w:spacing w:after="160" w:line="259" w:lineRule="auto"/>
            </w:pPr>
            <w:r w:rsidRPr="001E05DC">
              <w:t>Binary. 1 = part or all of an protected area falls within the boundary of the commune, 0 = no protected area falls within the commune boundary. "Protected area" includes Wildlife Sanctuary, National Park, Protected Landscapes, Multiple-use areas, RAMSAR sites</w:t>
            </w:r>
          </w:p>
        </w:tc>
      </w:tr>
      <w:tr w:rsidR="00D6664E" w:rsidRPr="001E05DC" w14:paraId="401D55E0" w14:textId="77777777" w:rsidTr="001A26A3">
        <w:tc>
          <w:tcPr>
            <w:tcW w:w="1843" w:type="dxa"/>
            <w:tcBorders>
              <w:bottom w:val="single" w:sz="12" w:space="0" w:color="auto"/>
            </w:tcBorders>
          </w:tcPr>
          <w:p w14:paraId="417CDD5F" w14:textId="77777777" w:rsidR="00D6664E" w:rsidRPr="001E05DC" w:rsidRDefault="00D6664E" w:rsidP="001A26A3">
            <w:pPr>
              <w:spacing w:after="160" w:line="259" w:lineRule="auto"/>
            </w:pPr>
          </w:p>
        </w:tc>
        <w:tc>
          <w:tcPr>
            <w:tcW w:w="2693" w:type="dxa"/>
            <w:tcBorders>
              <w:bottom w:val="single" w:sz="12" w:space="0" w:color="auto"/>
            </w:tcBorders>
          </w:tcPr>
          <w:p w14:paraId="6E455EC0" w14:textId="77777777" w:rsidR="00D6664E" w:rsidRPr="001E05DC" w:rsidRDefault="00D6664E" w:rsidP="001A26A3">
            <w:pPr>
              <w:spacing w:after="160" w:line="259" w:lineRule="auto"/>
            </w:pPr>
            <w:r w:rsidRPr="001E05DC">
              <w:t>Protected area category</w:t>
            </w:r>
          </w:p>
        </w:tc>
        <w:tc>
          <w:tcPr>
            <w:tcW w:w="2977" w:type="dxa"/>
            <w:tcBorders>
              <w:bottom w:val="single" w:sz="12" w:space="0" w:color="auto"/>
            </w:tcBorders>
          </w:tcPr>
          <w:p w14:paraId="7650D266" w14:textId="77777777" w:rsidR="00D6664E" w:rsidRPr="001E05DC" w:rsidRDefault="00D6664E" w:rsidP="001A26A3">
            <w:pPr>
              <w:spacing w:after="160" w:line="259" w:lineRule="auto"/>
            </w:pPr>
          </w:p>
        </w:tc>
        <w:tc>
          <w:tcPr>
            <w:tcW w:w="2126" w:type="dxa"/>
            <w:tcBorders>
              <w:bottom w:val="single" w:sz="12" w:space="0" w:color="auto"/>
            </w:tcBorders>
          </w:tcPr>
          <w:p w14:paraId="15A48D91" w14:textId="77777777" w:rsidR="00D6664E" w:rsidRPr="001E05DC" w:rsidRDefault="00D6664E" w:rsidP="001A26A3">
            <w:pPr>
              <w:spacing w:after="160" w:line="259" w:lineRule="auto"/>
            </w:pPr>
          </w:p>
        </w:tc>
        <w:tc>
          <w:tcPr>
            <w:tcW w:w="4309" w:type="dxa"/>
            <w:tcBorders>
              <w:bottom w:val="single" w:sz="12" w:space="0" w:color="auto"/>
            </w:tcBorders>
          </w:tcPr>
          <w:p w14:paraId="64D7A68D" w14:textId="77777777" w:rsidR="00D6664E" w:rsidRPr="001E05DC" w:rsidRDefault="00D6664E" w:rsidP="001A26A3">
            <w:pPr>
              <w:spacing w:after="160" w:line="259" w:lineRule="auto"/>
            </w:pPr>
            <w:r w:rsidRPr="001E05DC">
              <w:t>None = no protected area falls within commune, MULTI = more than one category of protected area falls within commune, WS = wildlife sanctuary, NP = national park, PL = protected landscape, MUA = multiple-use area, RMS = RAMSAR</w:t>
            </w:r>
          </w:p>
        </w:tc>
      </w:tr>
    </w:tbl>
    <w:p w14:paraId="75D090BF" w14:textId="4E4B86E1" w:rsidR="00D6664E" w:rsidRDefault="00D6664E"/>
    <w:p w14:paraId="42823AA2" w14:textId="19102AFA" w:rsidR="00D6664E" w:rsidRDefault="00D6664E"/>
    <w:p w14:paraId="1C4D6F4C" w14:textId="61B36C1B" w:rsidR="00D6664E" w:rsidRDefault="00D6664E"/>
    <w:p w14:paraId="3ABDF381" w14:textId="77777777" w:rsidR="00D6664E" w:rsidRDefault="00D6664E">
      <w:pPr>
        <w:sectPr w:rsidR="00D6664E" w:rsidSect="00D6664E">
          <w:pgSz w:w="16838" w:h="11906" w:orient="landscape"/>
          <w:pgMar w:top="1440" w:right="1440" w:bottom="1440" w:left="1440" w:header="708" w:footer="708" w:gutter="0"/>
          <w:cols w:space="708"/>
          <w:docGrid w:linePitch="360"/>
        </w:sectPr>
      </w:pPr>
    </w:p>
    <w:p w14:paraId="3B473C2C" w14:textId="59F694A8" w:rsidR="00D6664E" w:rsidRDefault="00D6664E">
      <w:pPr>
        <w:rPr>
          <w:b/>
          <w:bCs/>
        </w:rPr>
      </w:pPr>
      <w:r>
        <w:rPr>
          <w:b/>
          <w:bCs/>
        </w:rPr>
        <w:lastRenderedPageBreak/>
        <w:t xml:space="preserve">Results </w:t>
      </w:r>
    </w:p>
    <w:p w14:paraId="39D401F4" w14:textId="68172DC2" w:rsidR="00D6664E" w:rsidRDefault="00515BD5" w:rsidP="00D6664E">
      <w:pPr>
        <w:rPr>
          <w:i/>
          <w:iCs/>
        </w:rPr>
      </w:pPr>
      <w:r>
        <w:rPr>
          <w:i/>
          <w:iCs/>
        </w:rPr>
        <w:t>Socioeconomic predictors of forest cover at the Commune level</w:t>
      </w:r>
    </w:p>
    <w:p w14:paraId="155BC3D0" w14:textId="1D7035E4" w:rsidR="00D6664E" w:rsidRDefault="00D6664E" w:rsidP="00D6664E">
      <w:r>
        <w:t>Initial within-set model selection resulted in a final candidate set with 10 models and 13 unique variables (</w:t>
      </w:r>
      <w:r w:rsidRPr="00E5353D">
        <w:t>Table S19</w:t>
      </w:r>
      <w:r>
        <w:t>). There was a single top model according to AIC (m1), with all other models having delta AIC values of more than 18 (</w:t>
      </w:r>
      <w:r w:rsidRPr="00E5353D">
        <w:t>Table S19</w:t>
      </w:r>
      <w:r>
        <w:t>). The top model only had one non-control variable - population density (Table 4). The random effects term with the highest variance was Commune (10.45 [SD = 3.23], 60% of the total random effect variance), followed by Province (6.77 [SD = 2.60], 39% of the total random effect variance</w:t>
      </w:r>
      <w:r w:rsidRPr="00B45568">
        <w:t xml:space="preserve">, Table 4). </w:t>
      </w:r>
      <w:r>
        <w:t>The variance explained by year at both the commune and province level was low (0.005 [SD = 0.068] and 0.0005 [SD = 0.022] respectively), contributing approximately 1% of the total random effect variance (</w:t>
      </w:r>
      <w:r w:rsidRPr="00B45568">
        <w:t xml:space="preserve">Table 4). </w:t>
      </w:r>
      <w:r>
        <w:t>The marginal R</w:t>
      </w:r>
      <w:r w:rsidRPr="00DC5403">
        <w:rPr>
          <w:vertAlign w:val="superscript"/>
        </w:rPr>
        <w:t>2</w:t>
      </w:r>
      <w:r>
        <w:t xml:space="preserve"> (fixed effects only) was 0.78 (78%), and the conditional R</w:t>
      </w:r>
      <w:r w:rsidRPr="00DC5403">
        <w:rPr>
          <w:vertAlign w:val="superscript"/>
        </w:rPr>
        <w:t>2</w:t>
      </w:r>
      <w:r>
        <w:t xml:space="preserve"> (fixed and random effects) was </w:t>
      </w:r>
      <w:r w:rsidR="00267F13">
        <w:t>&gt;0.99.</w:t>
      </w:r>
      <w:r>
        <w:t xml:space="preserve"> The largest positive effect was from mean elevation (rate ratio = 2.861, </w:t>
      </w:r>
      <w:r w:rsidRPr="00B45568">
        <w:t xml:space="preserve">Table 4) </w:t>
      </w:r>
      <w:r>
        <w:t>which relates to 0.6 forest pixels (0.06 km</w:t>
      </w:r>
      <w:r w:rsidRPr="00F10EA9">
        <w:rPr>
          <w:vertAlign w:val="superscript"/>
        </w:rPr>
        <w:t>2</w:t>
      </w:r>
      <w:r>
        <w:t>) predicted within an “average” commune (i.e., all other fixed and random effects set to their mean) when mean elevation is at the minimum within the country. When the mean elevation is at the maximum found within the country (and all other terms are set to their mean), the number of forest pixels predicted is 13,380 (1,204 km</w:t>
      </w:r>
      <w:r w:rsidRPr="00F10EA9">
        <w:rPr>
          <w:vertAlign w:val="superscript"/>
        </w:rPr>
        <w:t>2</w:t>
      </w:r>
      <w:r>
        <w:t xml:space="preserve">). This highlights that higher elevation areas of Cambodia are much more likely to be forested than lower elevation areas. The strongest negative effect was from population density (rate ratio = 0.001, </w:t>
      </w:r>
      <w:r w:rsidRPr="00B45568">
        <w:t xml:space="preserve">Table 4) </w:t>
      </w:r>
      <w:r>
        <w:t>which relates to approximately 1.5 predicted forest pixels (0.14 km</w:t>
      </w:r>
      <w:r w:rsidRPr="005B6361">
        <w:rPr>
          <w:vertAlign w:val="superscript"/>
        </w:rPr>
        <w:t>2</w:t>
      </w:r>
      <w:r>
        <w:t xml:space="preserve">) at the minimum value of population density found within the country, contrasting with a prediction of effectively zero (2.22 </w:t>
      </w:r>
      <w:r>
        <w:rPr>
          <w:rFonts w:cstheme="minorHAnsi"/>
        </w:rPr>
        <w:t>×</w:t>
      </w:r>
      <w:r>
        <w:t xml:space="preserve"> 10</w:t>
      </w:r>
      <w:r w:rsidRPr="005B6361">
        <w:rPr>
          <w:vertAlign w:val="superscript"/>
        </w:rPr>
        <w:t>-16</w:t>
      </w:r>
      <w:r>
        <w:t xml:space="preserve">) forest pixels at the highest value of population density within the country. All other model terms, excluding the presence of ELCs, had positive effects on forest cover </w:t>
      </w:r>
      <w:r w:rsidRPr="00B45568">
        <w:t xml:space="preserve">(Table 4). These </w:t>
      </w:r>
      <w:r>
        <w:t xml:space="preserve">effects suggest that remote communes (large distances to provincial capitals) that are centrally located within the country (far away from international borders) are predicted to have high forest cover. </w:t>
      </w:r>
    </w:p>
    <w:p w14:paraId="7C73B1B0" w14:textId="77777777" w:rsidR="00D6664E" w:rsidRDefault="00D6664E" w:rsidP="00D6664E">
      <w:r>
        <w:t xml:space="preserve">The results from the final commune-level model must, however, be viewed with extreme caution because model validation revealed some serious underlying issues. As is suggested by the variance associated with the commune-level random effect term, there was extreme variation between communes for all variables (predictors and response, Figure 5). This between-group variance results in the model being unsuitable for generalised (i.e., ‘global’) predictions (Figure 5). Intercept and slope estimates between communes, even within the same province, varied hugely (Figure 6), and this issue was highlighted in diagnostic plots where we see that the assumption of normality of deviations of the conditional means of the random effects (for commune) from the global intercept is violated (Figure </w:t>
      </w:r>
      <w:r w:rsidRPr="00E5353D">
        <w:t>S6</w:t>
      </w:r>
      <w:r>
        <w:t xml:space="preserve">). Furthermore, the model residuals displayed heteroskedasticity, with the model predicting particularly poorly for lower values of the response (Figure </w:t>
      </w:r>
      <w:r w:rsidRPr="00E5353D">
        <w:t>S7</w:t>
      </w:r>
      <w:r>
        <w:t xml:space="preserve">). Therefore, drawing general inferences about the relationships between forest cover and socioeconomics at the country level using this model is inappropriate. </w:t>
      </w:r>
    </w:p>
    <w:p w14:paraId="667A9D5E" w14:textId="158307AA" w:rsidR="00515BD5" w:rsidRDefault="00515BD5" w:rsidP="00515BD5">
      <w:pPr>
        <w:rPr>
          <w:i/>
          <w:iCs/>
        </w:rPr>
      </w:pPr>
      <w:r>
        <w:rPr>
          <w:i/>
          <w:iCs/>
        </w:rPr>
        <w:t xml:space="preserve">Socioeconomic predictors of forest cover at the </w:t>
      </w:r>
      <w:r>
        <w:rPr>
          <w:i/>
          <w:iCs/>
        </w:rPr>
        <w:t>Province</w:t>
      </w:r>
      <w:r>
        <w:rPr>
          <w:i/>
          <w:iCs/>
        </w:rPr>
        <w:t xml:space="preserve"> level</w:t>
      </w:r>
    </w:p>
    <w:p w14:paraId="4E254E74" w14:textId="663BE5D9" w:rsidR="0011048D" w:rsidRDefault="0011048D" w:rsidP="0011048D">
      <w:r>
        <w:t>The province-level models were run to eliminate the commune-level variation and to identify any broader relationships between forest cover and socioeconomics. A candidate set of 19 models was built and an evaluation of AIC selected a single model (m8) as the top model (</w:t>
      </w:r>
      <w:r w:rsidRPr="0028392B">
        <w:t>Table S20</w:t>
      </w:r>
      <w:r>
        <w:t xml:space="preserve">). Model m5 had some support (delta AIC = 5, </w:t>
      </w:r>
      <w:r w:rsidRPr="0028392B">
        <w:t>Table S20</w:t>
      </w:r>
      <w:r>
        <w:t xml:space="preserve">) but was a simpler version of m8 and therefore inferences were drawn from m8 alone. The random effects term with the highest variance was Province (1.18 [SD = 1.08], which constituted </w:t>
      </w:r>
      <w:r w:rsidRPr="0028392B">
        <w:t>99%</w:t>
      </w:r>
      <w:r>
        <w:t xml:space="preserve"> of the total random effects variance), followed by year (0.006 [SD = 0.077], which was </w:t>
      </w:r>
      <w:r w:rsidRPr="0028392B">
        <w:t>1%</w:t>
      </w:r>
      <w:r>
        <w:t xml:space="preserve"> of the total random effects variance). The marginal R</w:t>
      </w:r>
      <w:r w:rsidRPr="00E5353D">
        <w:rPr>
          <w:vertAlign w:val="superscript"/>
        </w:rPr>
        <w:t>2</w:t>
      </w:r>
      <w:r>
        <w:t xml:space="preserve"> (fixed effects only) was 0.71 (71%) and the conditional R</w:t>
      </w:r>
      <w:r w:rsidRPr="00E5353D">
        <w:rPr>
          <w:vertAlign w:val="superscript"/>
        </w:rPr>
        <w:t>2</w:t>
      </w:r>
      <w:r>
        <w:t xml:space="preserve"> (fixed and random effects) was 0.99 (99%). </w:t>
      </w:r>
      <w:r>
        <w:lastRenderedPageBreak/>
        <w:t>Presence of ELCs and presence of PAs had the largest two positive effects relative to their refences levels (no ELCs, no PAs), suggesting that provinces that have those two features are predicted to also have higher forest cover (rate ratios = 1.51 and 1.64 respectively). In provinces where the proportion of males in school and distance to school are both low, higher levels of forest cover are predicted compared with provinces where these variables are high. Furthermore, in provinces where elevation, distance to an international border, and distance to the provincial capital are low, forest cover is predicted to be higher than in provinces where these variables are high. However, all the above effects are weak (Figures 7 &amp; 8). For example, the difference in the predicted number of forest pixels between a province with a low proportion of males in school and a province with a high proportion (with all other variables set to low), is 200 (18 km</w:t>
      </w:r>
      <w:r w:rsidRPr="009D05E0">
        <w:rPr>
          <w:vertAlign w:val="superscript"/>
        </w:rPr>
        <w:t>2</w:t>
      </w:r>
      <w:r>
        <w:t>). The difference in the number of predicted forest pixels between a province with low median distances to schools and a province with high median distances (with all other variables set to low), is 689 (62 km</w:t>
      </w:r>
      <w:r w:rsidRPr="00586D3B">
        <w:rPr>
          <w:vertAlign w:val="superscript"/>
        </w:rPr>
        <w:t>2</w:t>
      </w:r>
      <w:r>
        <w:t xml:space="preserve">). As standalone figures these appear large, but in the context of the range of the response variable (minimum value of 54 forest pixels to a maximum of </w:t>
      </w:r>
      <w:r w:rsidRPr="00586D3B">
        <w:t>146</w:t>
      </w:r>
      <w:r>
        <w:t>,</w:t>
      </w:r>
      <w:r w:rsidRPr="00586D3B">
        <w:t>876</w:t>
      </w:r>
      <w:r>
        <w:t xml:space="preserve"> forest pixels), the effects are relatively weak. Presence of PAs had the largest effect on predicted forest pixels. The number of forest pixels predicted for a province with PA presence is 36,890 (3,320 km</w:t>
      </w:r>
      <w:r w:rsidRPr="00586D3B">
        <w:rPr>
          <w:vertAlign w:val="superscript"/>
        </w:rPr>
        <w:t>2</w:t>
      </w:r>
      <w:r>
        <w:t xml:space="preserve">) higher than for a province with no PA presence. This emphasises the relationship between forested land and protected areas in Cambodia. The size of the effects for the two socioeconomic predictors (proportion of males in school, and distance to school) in the top model suggest that these variables have little power to predict forest cover at the provincial level in Cambodia, but that the presence of protected areas and economic land concessions do. </w:t>
      </w:r>
    </w:p>
    <w:p w14:paraId="083FA5D7" w14:textId="77777777" w:rsidR="0011048D" w:rsidRDefault="0011048D" w:rsidP="0011048D">
      <w:r>
        <w:rPr>
          <w:b/>
          <w:bCs/>
          <w:i/>
          <w:iCs/>
        </w:rPr>
        <w:t>Cluster analysis</w:t>
      </w:r>
    </w:p>
    <w:p w14:paraId="0CC9D996" w14:textId="187B067C" w:rsidR="0011048D" w:rsidRDefault="0011048D" w:rsidP="0011048D">
      <w:r>
        <w:t>The UPGMA clustering had the highest cophenetic correlation (0.79) and the lowest Gower distance (254.14) and was therefore selected. The matrix correlation statistic suggested that 4 clusters were optimal, but that between 3 and 7 clusters had very similar support. When divided by 4 clusters, there was a large group (</w:t>
      </w:r>
      <w:r w:rsidR="00AF7E60" w:rsidRPr="00AF7E60">
        <w:rPr>
          <w:i/>
          <w:iCs/>
        </w:rPr>
        <w:t>n</w:t>
      </w:r>
      <w:r w:rsidR="00AF7E60">
        <w:t xml:space="preserve"> = </w:t>
      </w:r>
      <w:r w:rsidRPr="00AF7E60">
        <w:t>16</w:t>
      </w:r>
      <w:r>
        <w:t xml:space="preserve">) of provinces that fell into a single cluster, and so 5 clusters were chosen to add further nuance (Figure 9). The provinces within clusters were geographically contiguous (Figure 10), although clusters that had smaller cophenetic distances (i.e., were closer on the dendrogram, Figure 9) were not necessarily geographically contiguous. The largest cluster (cluster 5) dominated a central strip of the country, separating the smaller, and more similar clusters (Figure 10). These results suggest that provinces often have similar socioeconomic conditions to that of their neighbours, but that there are also distinct regions within the country that can be characterised by their socioeconomics rather than their geography. A heatmap of the socioeconomic variable values for each cluster revealed some distinguishing patterns (Figure 11). The largest cluster (cluster 5) was distinguished by high or very high values of all variables, which translates to generally large provinces with high population density, high education levels, high proportions of primary and secondary sector workers, and high migration (Table 5). This contrasts with cluster 2, which has predominantly low values for the socioeconomic variables which translates to very small provinces with low population density, low levels of education, low levels of primary sector employment (higher secondary sector employment), and low levels of migration (Table 5). Clusters 3 and 4 had the highest levels of migration (and interestingly the highest levels of land conflict), education, and population density, reflecting the presence of two of the three largest cities and significant urban development. Cluster 1 had the lowest population density, education, proportion of secondary sector workers, and migration, reflecting the clusters remote geography and rural character. Provinces within cluster 1 were also the most forested but had also lost the most forest during the study period (Figure 12). Provinces within cluster 5 were generally the next most forested after cluster 1 and had also lost large areas of forest during the study period (Figure 12). Cluster 3 had the </w:t>
      </w:r>
      <w:r>
        <w:lastRenderedPageBreak/>
        <w:t xml:space="preserve">least amount of forest, which was expected due to high levels of urbanisation and agriculture. Clusters 1 and 2 had the highest elevation, and clusters 1 and 5 had the highest mean distance to a provincial capital (Figure 12). </w:t>
      </w:r>
    </w:p>
    <w:p w14:paraId="58197645" w14:textId="77777777" w:rsidR="0011048D" w:rsidRDefault="0011048D" w:rsidP="0011048D">
      <w:pPr>
        <w:rPr>
          <w:b/>
          <w:bCs/>
          <w:sz w:val="20"/>
          <w:szCs w:val="20"/>
        </w:rPr>
      </w:pPr>
    </w:p>
    <w:p w14:paraId="1852343F" w14:textId="62A11116" w:rsidR="0011048D" w:rsidRPr="00A2432B" w:rsidRDefault="0011048D" w:rsidP="0011048D">
      <w:pPr>
        <w:rPr>
          <w:b/>
          <w:bCs/>
          <w:sz w:val="20"/>
          <w:szCs w:val="20"/>
        </w:rPr>
      </w:pPr>
      <w:r w:rsidRPr="00A2432B">
        <w:rPr>
          <w:b/>
          <w:bCs/>
          <w:sz w:val="20"/>
          <w:szCs w:val="20"/>
        </w:rPr>
        <w:t>Table 4. Model outputs</w:t>
      </w:r>
      <w:r>
        <w:rPr>
          <w:b/>
          <w:bCs/>
          <w:sz w:val="20"/>
          <w:szCs w:val="20"/>
        </w:rPr>
        <w:t xml:space="preserve"> and rate ratios</w:t>
      </w:r>
      <w:r w:rsidRPr="00A2432B">
        <w:rPr>
          <w:b/>
          <w:bCs/>
          <w:sz w:val="20"/>
          <w:szCs w:val="20"/>
        </w:rPr>
        <w:t xml:space="preserve"> from the top models </w:t>
      </w:r>
      <w:r>
        <w:rPr>
          <w:b/>
          <w:bCs/>
          <w:sz w:val="20"/>
          <w:szCs w:val="20"/>
        </w:rPr>
        <w:t>from the socioeconomic analysis. Outputs are</w:t>
      </w:r>
      <w:r w:rsidRPr="00A2432B">
        <w:rPr>
          <w:b/>
          <w:bCs/>
          <w:sz w:val="20"/>
          <w:szCs w:val="20"/>
        </w:rPr>
        <w:t xml:space="preserve"> for the commune-level analysis and the province-level analysis.</w:t>
      </w:r>
      <w:r>
        <w:rPr>
          <w:b/>
          <w:bCs/>
          <w:sz w:val="20"/>
          <w:szCs w:val="20"/>
        </w:rPr>
        <w:t xml:space="preserve"> Reported coefficients are on the link (log) scale. </w:t>
      </w:r>
    </w:p>
    <w:tbl>
      <w:tblPr>
        <w:tblW w:w="8221" w:type="dxa"/>
        <w:tblLook w:val="04A0" w:firstRow="1" w:lastRow="0" w:firstColumn="1" w:lastColumn="0" w:noHBand="0" w:noVBand="1"/>
      </w:tblPr>
      <w:tblGrid>
        <w:gridCol w:w="3402"/>
        <w:gridCol w:w="993"/>
        <w:gridCol w:w="862"/>
        <w:gridCol w:w="872"/>
        <w:gridCol w:w="392"/>
        <w:gridCol w:w="850"/>
        <w:gridCol w:w="850"/>
      </w:tblGrid>
      <w:tr w:rsidR="0011048D" w:rsidRPr="00A2432B" w14:paraId="4E80384F" w14:textId="77777777" w:rsidTr="001A26A3">
        <w:trPr>
          <w:trHeight w:val="288"/>
        </w:trPr>
        <w:tc>
          <w:tcPr>
            <w:tcW w:w="3402" w:type="dxa"/>
            <w:tcBorders>
              <w:top w:val="single" w:sz="12" w:space="0" w:color="auto"/>
              <w:left w:val="nil"/>
              <w:bottom w:val="single" w:sz="12" w:space="0" w:color="auto"/>
              <w:right w:val="nil"/>
            </w:tcBorders>
            <w:shd w:val="clear" w:color="auto" w:fill="auto"/>
            <w:noWrap/>
            <w:vAlign w:val="bottom"/>
            <w:hideMark/>
          </w:tcPr>
          <w:p w14:paraId="24AB0FA2" w14:textId="77777777" w:rsidR="0011048D" w:rsidRPr="00A2432B" w:rsidRDefault="0011048D" w:rsidP="001A26A3">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Variable</w:t>
            </w:r>
          </w:p>
        </w:tc>
        <w:tc>
          <w:tcPr>
            <w:tcW w:w="993" w:type="dxa"/>
            <w:tcBorders>
              <w:top w:val="single" w:sz="12" w:space="0" w:color="auto"/>
              <w:left w:val="nil"/>
              <w:bottom w:val="single" w:sz="12" w:space="0" w:color="auto"/>
              <w:right w:val="nil"/>
            </w:tcBorders>
            <w:shd w:val="clear" w:color="auto" w:fill="auto"/>
            <w:noWrap/>
            <w:vAlign w:val="bottom"/>
            <w:hideMark/>
          </w:tcPr>
          <w:p w14:paraId="51837CE9" w14:textId="77777777" w:rsidR="0011048D" w:rsidRPr="00A2432B" w:rsidRDefault="0011048D" w:rsidP="001A26A3">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Variance</w:t>
            </w:r>
          </w:p>
        </w:tc>
        <w:tc>
          <w:tcPr>
            <w:tcW w:w="862" w:type="dxa"/>
            <w:tcBorders>
              <w:top w:val="single" w:sz="12" w:space="0" w:color="auto"/>
              <w:left w:val="nil"/>
              <w:bottom w:val="single" w:sz="12" w:space="0" w:color="auto"/>
              <w:right w:val="nil"/>
            </w:tcBorders>
            <w:shd w:val="clear" w:color="auto" w:fill="auto"/>
            <w:noWrap/>
            <w:vAlign w:val="bottom"/>
            <w:hideMark/>
          </w:tcPr>
          <w:p w14:paraId="3C5BE64A" w14:textId="77777777" w:rsidR="0011048D" w:rsidRPr="00A2432B" w:rsidRDefault="0011048D" w:rsidP="001A26A3">
            <w:pPr>
              <w:spacing w:after="0" w:line="240" w:lineRule="auto"/>
              <w:rPr>
                <w:rFonts w:ascii="Calibri" w:eastAsia="Times New Roman" w:hAnsi="Calibri" w:cs="Calibri"/>
                <w:b/>
                <w:bCs/>
                <w:color w:val="000000"/>
                <w:sz w:val="20"/>
                <w:szCs w:val="20"/>
                <w:lang w:eastAsia="en-GB"/>
              </w:rPr>
            </w:pPr>
            <w:proofErr w:type="spellStart"/>
            <w:r w:rsidRPr="00A2432B">
              <w:rPr>
                <w:rFonts w:ascii="Calibri" w:eastAsia="Times New Roman" w:hAnsi="Calibri" w:cs="Calibri"/>
                <w:b/>
                <w:bCs/>
                <w:color w:val="000000"/>
                <w:sz w:val="20"/>
                <w:szCs w:val="20"/>
                <w:lang w:eastAsia="en-GB"/>
              </w:rPr>
              <w:t>Std.Dev</w:t>
            </w:r>
            <w:proofErr w:type="spellEnd"/>
          </w:p>
        </w:tc>
        <w:tc>
          <w:tcPr>
            <w:tcW w:w="1264" w:type="dxa"/>
            <w:gridSpan w:val="2"/>
            <w:tcBorders>
              <w:top w:val="single" w:sz="12" w:space="0" w:color="auto"/>
              <w:left w:val="nil"/>
              <w:bottom w:val="single" w:sz="12" w:space="0" w:color="auto"/>
              <w:right w:val="nil"/>
            </w:tcBorders>
            <w:shd w:val="clear" w:color="auto" w:fill="auto"/>
            <w:noWrap/>
            <w:vAlign w:val="bottom"/>
            <w:hideMark/>
          </w:tcPr>
          <w:p w14:paraId="2C9E7116" w14:textId="77777777" w:rsidR="0011048D" w:rsidRPr="00A2432B" w:rsidRDefault="0011048D" w:rsidP="001A26A3">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Coefficient</w:t>
            </w:r>
          </w:p>
        </w:tc>
        <w:tc>
          <w:tcPr>
            <w:tcW w:w="850" w:type="dxa"/>
            <w:tcBorders>
              <w:top w:val="single" w:sz="12" w:space="0" w:color="auto"/>
              <w:left w:val="nil"/>
              <w:bottom w:val="single" w:sz="12" w:space="0" w:color="auto"/>
              <w:right w:val="nil"/>
            </w:tcBorders>
            <w:shd w:val="clear" w:color="auto" w:fill="auto"/>
            <w:noWrap/>
            <w:vAlign w:val="bottom"/>
            <w:hideMark/>
          </w:tcPr>
          <w:p w14:paraId="5565286A" w14:textId="77777777" w:rsidR="0011048D" w:rsidRPr="00A2432B" w:rsidRDefault="0011048D" w:rsidP="001A26A3">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SE</w:t>
            </w:r>
          </w:p>
        </w:tc>
        <w:tc>
          <w:tcPr>
            <w:tcW w:w="850" w:type="dxa"/>
            <w:tcBorders>
              <w:top w:val="single" w:sz="12" w:space="0" w:color="auto"/>
              <w:left w:val="nil"/>
              <w:bottom w:val="single" w:sz="12" w:space="0" w:color="auto"/>
              <w:right w:val="nil"/>
            </w:tcBorders>
          </w:tcPr>
          <w:p w14:paraId="24CC5907" w14:textId="77777777" w:rsidR="0011048D" w:rsidRPr="00A2432B" w:rsidRDefault="0011048D" w:rsidP="001A26A3">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 xml:space="preserve">Rate </w:t>
            </w:r>
            <w:proofErr w:type="spellStart"/>
            <w:r>
              <w:rPr>
                <w:rFonts w:ascii="Calibri" w:eastAsia="Times New Roman" w:hAnsi="Calibri" w:cs="Calibri"/>
                <w:b/>
                <w:bCs/>
                <w:color w:val="000000"/>
                <w:sz w:val="20"/>
                <w:szCs w:val="20"/>
                <w:lang w:eastAsia="en-GB"/>
              </w:rPr>
              <w:t>ratio</w:t>
            </w:r>
            <w:r w:rsidRPr="00A66892">
              <w:rPr>
                <w:rFonts w:ascii="Calibri" w:eastAsia="Times New Roman" w:hAnsi="Calibri" w:cs="Calibri"/>
                <w:b/>
                <w:bCs/>
                <w:i/>
                <w:iCs/>
                <w:color w:val="000000"/>
                <w:sz w:val="20"/>
                <w:szCs w:val="20"/>
                <w:vertAlign w:val="superscript"/>
                <w:lang w:eastAsia="en-GB"/>
              </w:rPr>
              <w:t>a</w:t>
            </w:r>
            <w:proofErr w:type="spellEnd"/>
          </w:p>
        </w:tc>
      </w:tr>
      <w:tr w:rsidR="0011048D" w:rsidRPr="00A2432B" w14:paraId="3A459899" w14:textId="77777777" w:rsidTr="001A26A3">
        <w:trPr>
          <w:trHeight w:val="288"/>
        </w:trPr>
        <w:tc>
          <w:tcPr>
            <w:tcW w:w="3402" w:type="dxa"/>
            <w:tcBorders>
              <w:top w:val="single" w:sz="12" w:space="0" w:color="auto"/>
              <w:left w:val="nil"/>
              <w:bottom w:val="nil"/>
              <w:right w:val="nil"/>
            </w:tcBorders>
            <w:shd w:val="clear" w:color="auto" w:fill="auto"/>
            <w:noWrap/>
            <w:hideMark/>
          </w:tcPr>
          <w:p w14:paraId="27FD1594" w14:textId="77777777" w:rsidR="0011048D" w:rsidRPr="00A2432B" w:rsidRDefault="0011048D" w:rsidP="001A26A3">
            <w:pPr>
              <w:spacing w:after="0" w:line="240" w:lineRule="auto"/>
              <w:rPr>
                <w:rFonts w:ascii="Calibri" w:eastAsia="Times New Roman" w:hAnsi="Calibri" w:cs="Calibri"/>
                <w:b/>
                <w:bCs/>
                <w:i/>
                <w:iCs/>
                <w:color w:val="000000"/>
                <w:sz w:val="20"/>
                <w:szCs w:val="20"/>
                <w:lang w:eastAsia="en-GB"/>
              </w:rPr>
            </w:pPr>
            <w:r w:rsidRPr="00A2432B">
              <w:rPr>
                <w:rFonts w:ascii="Calibri" w:eastAsia="Times New Roman" w:hAnsi="Calibri" w:cs="Calibri"/>
                <w:b/>
                <w:bCs/>
                <w:i/>
                <w:iCs/>
                <w:color w:val="000000"/>
                <w:sz w:val="20"/>
                <w:szCs w:val="20"/>
                <w:lang w:eastAsia="en-GB"/>
              </w:rPr>
              <w:t>Commune-level final model</w:t>
            </w:r>
          </w:p>
        </w:tc>
        <w:tc>
          <w:tcPr>
            <w:tcW w:w="993" w:type="dxa"/>
            <w:tcBorders>
              <w:top w:val="single" w:sz="12" w:space="0" w:color="auto"/>
              <w:left w:val="nil"/>
              <w:bottom w:val="nil"/>
              <w:right w:val="nil"/>
            </w:tcBorders>
            <w:shd w:val="clear" w:color="auto" w:fill="auto"/>
            <w:noWrap/>
            <w:hideMark/>
          </w:tcPr>
          <w:p w14:paraId="3331914E" w14:textId="77777777" w:rsidR="0011048D" w:rsidRPr="00A2432B" w:rsidRDefault="0011048D" w:rsidP="001A26A3">
            <w:pPr>
              <w:spacing w:after="0" w:line="240" w:lineRule="auto"/>
              <w:rPr>
                <w:rFonts w:ascii="Calibri" w:eastAsia="Times New Roman" w:hAnsi="Calibri" w:cs="Calibri"/>
                <w:b/>
                <w:bCs/>
                <w:i/>
                <w:iCs/>
                <w:color w:val="000000"/>
                <w:sz w:val="20"/>
                <w:szCs w:val="20"/>
                <w:lang w:eastAsia="en-GB"/>
              </w:rPr>
            </w:pPr>
          </w:p>
        </w:tc>
        <w:tc>
          <w:tcPr>
            <w:tcW w:w="1734" w:type="dxa"/>
            <w:gridSpan w:val="2"/>
            <w:tcBorders>
              <w:top w:val="single" w:sz="12" w:space="0" w:color="auto"/>
              <w:left w:val="nil"/>
              <w:bottom w:val="nil"/>
              <w:right w:val="nil"/>
            </w:tcBorders>
            <w:shd w:val="clear" w:color="auto" w:fill="auto"/>
            <w:noWrap/>
            <w:hideMark/>
          </w:tcPr>
          <w:p w14:paraId="0FA01C3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392" w:type="dxa"/>
            <w:tcBorders>
              <w:top w:val="single" w:sz="12" w:space="0" w:color="auto"/>
              <w:left w:val="nil"/>
              <w:bottom w:val="nil"/>
              <w:right w:val="nil"/>
            </w:tcBorders>
            <w:shd w:val="clear" w:color="auto" w:fill="auto"/>
            <w:noWrap/>
            <w:hideMark/>
          </w:tcPr>
          <w:p w14:paraId="0C66B995"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single" w:sz="12" w:space="0" w:color="auto"/>
              <w:left w:val="nil"/>
              <w:bottom w:val="nil"/>
              <w:right w:val="nil"/>
            </w:tcBorders>
            <w:shd w:val="clear" w:color="auto" w:fill="auto"/>
            <w:noWrap/>
            <w:hideMark/>
          </w:tcPr>
          <w:p w14:paraId="5BEA2F91"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single" w:sz="12" w:space="0" w:color="auto"/>
              <w:left w:val="nil"/>
              <w:bottom w:val="nil"/>
              <w:right w:val="nil"/>
            </w:tcBorders>
          </w:tcPr>
          <w:p w14:paraId="422FAE7C"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55FDF9A3" w14:textId="77777777" w:rsidTr="001A26A3">
        <w:trPr>
          <w:trHeight w:val="288"/>
        </w:trPr>
        <w:tc>
          <w:tcPr>
            <w:tcW w:w="3402" w:type="dxa"/>
            <w:tcBorders>
              <w:top w:val="nil"/>
              <w:left w:val="nil"/>
              <w:bottom w:val="nil"/>
              <w:right w:val="nil"/>
            </w:tcBorders>
            <w:shd w:val="clear" w:color="auto" w:fill="auto"/>
            <w:noWrap/>
            <w:hideMark/>
          </w:tcPr>
          <w:p w14:paraId="1AFBFF59"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Random effects</w:t>
            </w:r>
          </w:p>
        </w:tc>
        <w:tc>
          <w:tcPr>
            <w:tcW w:w="993" w:type="dxa"/>
            <w:tcBorders>
              <w:top w:val="nil"/>
              <w:left w:val="nil"/>
              <w:bottom w:val="nil"/>
              <w:right w:val="nil"/>
            </w:tcBorders>
            <w:shd w:val="clear" w:color="auto" w:fill="auto"/>
            <w:noWrap/>
            <w:hideMark/>
          </w:tcPr>
          <w:p w14:paraId="507FC409"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p>
        </w:tc>
        <w:tc>
          <w:tcPr>
            <w:tcW w:w="862" w:type="dxa"/>
            <w:tcBorders>
              <w:top w:val="nil"/>
              <w:left w:val="nil"/>
              <w:bottom w:val="nil"/>
              <w:right w:val="nil"/>
            </w:tcBorders>
            <w:shd w:val="clear" w:color="auto" w:fill="auto"/>
            <w:noWrap/>
            <w:hideMark/>
          </w:tcPr>
          <w:p w14:paraId="50906AC8"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1264" w:type="dxa"/>
            <w:gridSpan w:val="2"/>
            <w:tcBorders>
              <w:top w:val="nil"/>
              <w:left w:val="nil"/>
              <w:bottom w:val="nil"/>
              <w:right w:val="nil"/>
            </w:tcBorders>
            <w:shd w:val="clear" w:color="auto" w:fill="auto"/>
            <w:noWrap/>
            <w:hideMark/>
          </w:tcPr>
          <w:p w14:paraId="4F5D4882"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shd w:val="clear" w:color="auto" w:fill="auto"/>
            <w:noWrap/>
            <w:hideMark/>
          </w:tcPr>
          <w:p w14:paraId="48B37280"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tcPr>
          <w:p w14:paraId="273C7916"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756FDEF1" w14:textId="77777777" w:rsidTr="001A26A3">
        <w:trPr>
          <w:trHeight w:val="288"/>
        </w:trPr>
        <w:tc>
          <w:tcPr>
            <w:tcW w:w="3402" w:type="dxa"/>
            <w:tcBorders>
              <w:top w:val="nil"/>
              <w:left w:val="nil"/>
              <w:bottom w:val="nil"/>
              <w:right w:val="nil"/>
            </w:tcBorders>
            <w:shd w:val="clear" w:color="auto" w:fill="auto"/>
            <w:noWrap/>
            <w:hideMark/>
          </w:tcPr>
          <w:p w14:paraId="0B5EC858"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Commune (intercept)</w:t>
            </w:r>
          </w:p>
        </w:tc>
        <w:tc>
          <w:tcPr>
            <w:tcW w:w="993" w:type="dxa"/>
            <w:tcBorders>
              <w:top w:val="nil"/>
              <w:left w:val="nil"/>
              <w:bottom w:val="nil"/>
              <w:right w:val="nil"/>
            </w:tcBorders>
            <w:shd w:val="clear" w:color="auto" w:fill="auto"/>
            <w:noWrap/>
            <w:hideMark/>
          </w:tcPr>
          <w:p w14:paraId="4E38A18C"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10.4500</w:t>
            </w:r>
          </w:p>
        </w:tc>
        <w:tc>
          <w:tcPr>
            <w:tcW w:w="862" w:type="dxa"/>
            <w:tcBorders>
              <w:top w:val="nil"/>
              <w:left w:val="nil"/>
              <w:bottom w:val="nil"/>
              <w:right w:val="nil"/>
            </w:tcBorders>
            <w:shd w:val="clear" w:color="auto" w:fill="auto"/>
            <w:noWrap/>
            <w:hideMark/>
          </w:tcPr>
          <w:p w14:paraId="6D9A5FEF"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3.2334</w:t>
            </w:r>
          </w:p>
        </w:tc>
        <w:tc>
          <w:tcPr>
            <w:tcW w:w="1264" w:type="dxa"/>
            <w:gridSpan w:val="2"/>
            <w:tcBorders>
              <w:top w:val="nil"/>
              <w:left w:val="nil"/>
              <w:bottom w:val="nil"/>
              <w:right w:val="nil"/>
            </w:tcBorders>
            <w:shd w:val="clear" w:color="auto" w:fill="auto"/>
            <w:noWrap/>
            <w:hideMark/>
          </w:tcPr>
          <w:p w14:paraId="565F3920"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1E1F70A5"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3731329F"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32A59581" w14:textId="77777777" w:rsidTr="001A26A3">
        <w:trPr>
          <w:trHeight w:val="288"/>
        </w:trPr>
        <w:tc>
          <w:tcPr>
            <w:tcW w:w="3402" w:type="dxa"/>
            <w:tcBorders>
              <w:top w:val="nil"/>
              <w:left w:val="nil"/>
              <w:bottom w:val="nil"/>
              <w:right w:val="nil"/>
            </w:tcBorders>
            <w:shd w:val="clear" w:color="auto" w:fill="auto"/>
            <w:noWrap/>
            <w:hideMark/>
          </w:tcPr>
          <w:p w14:paraId="5FC8B3F1"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Year/Commune (slope)</w:t>
            </w:r>
          </w:p>
        </w:tc>
        <w:tc>
          <w:tcPr>
            <w:tcW w:w="993" w:type="dxa"/>
            <w:tcBorders>
              <w:top w:val="nil"/>
              <w:left w:val="nil"/>
              <w:bottom w:val="nil"/>
              <w:right w:val="nil"/>
            </w:tcBorders>
            <w:shd w:val="clear" w:color="auto" w:fill="auto"/>
            <w:noWrap/>
            <w:hideMark/>
          </w:tcPr>
          <w:p w14:paraId="31AC101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0.0046</w:t>
            </w:r>
          </w:p>
        </w:tc>
        <w:tc>
          <w:tcPr>
            <w:tcW w:w="862" w:type="dxa"/>
            <w:tcBorders>
              <w:top w:val="nil"/>
              <w:left w:val="nil"/>
              <w:bottom w:val="nil"/>
              <w:right w:val="nil"/>
            </w:tcBorders>
            <w:shd w:val="clear" w:color="auto" w:fill="auto"/>
            <w:noWrap/>
            <w:hideMark/>
          </w:tcPr>
          <w:p w14:paraId="30F1757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0.0680</w:t>
            </w:r>
          </w:p>
        </w:tc>
        <w:tc>
          <w:tcPr>
            <w:tcW w:w="1264" w:type="dxa"/>
            <w:gridSpan w:val="2"/>
            <w:tcBorders>
              <w:top w:val="nil"/>
              <w:left w:val="nil"/>
              <w:bottom w:val="nil"/>
              <w:right w:val="nil"/>
            </w:tcBorders>
            <w:shd w:val="clear" w:color="auto" w:fill="auto"/>
            <w:noWrap/>
            <w:hideMark/>
          </w:tcPr>
          <w:p w14:paraId="3A34BB9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140D4369"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5BDFC56C"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4DD579A8" w14:textId="77777777" w:rsidTr="001A26A3">
        <w:trPr>
          <w:trHeight w:val="288"/>
        </w:trPr>
        <w:tc>
          <w:tcPr>
            <w:tcW w:w="3402" w:type="dxa"/>
            <w:tcBorders>
              <w:top w:val="nil"/>
              <w:left w:val="nil"/>
              <w:bottom w:val="nil"/>
              <w:right w:val="nil"/>
            </w:tcBorders>
            <w:shd w:val="clear" w:color="auto" w:fill="auto"/>
            <w:noWrap/>
            <w:hideMark/>
          </w:tcPr>
          <w:p w14:paraId="1565447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Province (intercept)</w:t>
            </w:r>
          </w:p>
        </w:tc>
        <w:tc>
          <w:tcPr>
            <w:tcW w:w="993" w:type="dxa"/>
            <w:tcBorders>
              <w:top w:val="nil"/>
              <w:left w:val="nil"/>
              <w:bottom w:val="nil"/>
              <w:right w:val="nil"/>
            </w:tcBorders>
            <w:shd w:val="clear" w:color="auto" w:fill="auto"/>
            <w:noWrap/>
            <w:hideMark/>
          </w:tcPr>
          <w:p w14:paraId="6900517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6.7730</w:t>
            </w:r>
          </w:p>
        </w:tc>
        <w:tc>
          <w:tcPr>
            <w:tcW w:w="862" w:type="dxa"/>
            <w:tcBorders>
              <w:top w:val="nil"/>
              <w:left w:val="nil"/>
              <w:bottom w:val="nil"/>
              <w:right w:val="nil"/>
            </w:tcBorders>
            <w:shd w:val="clear" w:color="auto" w:fill="auto"/>
            <w:noWrap/>
            <w:hideMark/>
          </w:tcPr>
          <w:p w14:paraId="4C41F99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2.6025</w:t>
            </w:r>
          </w:p>
        </w:tc>
        <w:tc>
          <w:tcPr>
            <w:tcW w:w="1264" w:type="dxa"/>
            <w:gridSpan w:val="2"/>
            <w:tcBorders>
              <w:top w:val="nil"/>
              <w:left w:val="nil"/>
              <w:bottom w:val="nil"/>
              <w:right w:val="nil"/>
            </w:tcBorders>
            <w:shd w:val="clear" w:color="auto" w:fill="auto"/>
            <w:noWrap/>
            <w:hideMark/>
          </w:tcPr>
          <w:p w14:paraId="1A116BB4"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295D9B4E"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071BBAAF"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1DBFFA03" w14:textId="77777777" w:rsidTr="001A26A3">
        <w:trPr>
          <w:trHeight w:val="288"/>
        </w:trPr>
        <w:tc>
          <w:tcPr>
            <w:tcW w:w="3402" w:type="dxa"/>
            <w:tcBorders>
              <w:top w:val="nil"/>
              <w:left w:val="nil"/>
              <w:bottom w:val="nil"/>
              <w:right w:val="nil"/>
            </w:tcBorders>
            <w:shd w:val="clear" w:color="auto" w:fill="auto"/>
            <w:noWrap/>
            <w:hideMark/>
          </w:tcPr>
          <w:p w14:paraId="11A8F0B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Year/Province (slope)</w:t>
            </w:r>
          </w:p>
        </w:tc>
        <w:tc>
          <w:tcPr>
            <w:tcW w:w="993" w:type="dxa"/>
            <w:tcBorders>
              <w:top w:val="nil"/>
              <w:left w:val="nil"/>
              <w:bottom w:val="nil"/>
              <w:right w:val="nil"/>
            </w:tcBorders>
            <w:shd w:val="clear" w:color="auto" w:fill="auto"/>
            <w:noWrap/>
            <w:hideMark/>
          </w:tcPr>
          <w:p w14:paraId="19271EF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0.0005</w:t>
            </w:r>
          </w:p>
        </w:tc>
        <w:tc>
          <w:tcPr>
            <w:tcW w:w="862" w:type="dxa"/>
            <w:tcBorders>
              <w:top w:val="nil"/>
              <w:left w:val="nil"/>
              <w:bottom w:val="nil"/>
              <w:right w:val="nil"/>
            </w:tcBorders>
            <w:shd w:val="clear" w:color="auto" w:fill="auto"/>
            <w:noWrap/>
            <w:hideMark/>
          </w:tcPr>
          <w:p w14:paraId="0CDB5042"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0.0220</w:t>
            </w:r>
          </w:p>
        </w:tc>
        <w:tc>
          <w:tcPr>
            <w:tcW w:w="1264" w:type="dxa"/>
            <w:gridSpan w:val="2"/>
            <w:tcBorders>
              <w:top w:val="nil"/>
              <w:left w:val="nil"/>
              <w:bottom w:val="nil"/>
              <w:right w:val="nil"/>
            </w:tcBorders>
            <w:shd w:val="clear" w:color="auto" w:fill="auto"/>
            <w:noWrap/>
            <w:hideMark/>
          </w:tcPr>
          <w:p w14:paraId="54A2B0BE"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00634EC8"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7CD1F56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1D9C4FFC" w14:textId="77777777" w:rsidTr="001A26A3">
        <w:trPr>
          <w:trHeight w:val="288"/>
        </w:trPr>
        <w:tc>
          <w:tcPr>
            <w:tcW w:w="3402" w:type="dxa"/>
            <w:tcBorders>
              <w:top w:val="nil"/>
              <w:left w:val="nil"/>
              <w:bottom w:val="nil"/>
              <w:right w:val="nil"/>
            </w:tcBorders>
            <w:shd w:val="clear" w:color="auto" w:fill="auto"/>
            <w:noWrap/>
            <w:hideMark/>
          </w:tcPr>
          <w:p w14:paraId="68E7108A"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Fixed effects</w:t>
            </w:r>
          </w:p>
        </w:tc>
        <w:tc>
          <w:tcPr>
            <w:tcW w:w="993" w:type="dxa"/>
            <w:tcBorders>
              <w:top w:val="nil"/>
              <w:left w:val="nil"/>
              <w:bottom w:val="nil"/>
              <w:right w:val="nil"/>
            </w:tcBorders>
            <w:shd w:val="clear" w:color="auto" w:fill="auto"/>
            <w:noWrap/>
            <w:hideMark/>
          </w:tcPr>
          <w:p w14:paraId="03727AF8"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p>
        </w:tc>
        <w:tc>
          <w:tcPr>
            <w:tcW w:w="862" w:type="dxa"/>
            <w:tcBorders>
              <w:top w:val="nil"/>
              <w:left w:val="nil"/>
              <w:bottom w:val="nil"/>
              <w:right w:val="nil"/>
            </w:tcBorders>
            <w:shd w:val="clear" w:color="auto" w:fill="auto"/>
            <w:noWrap/>
            <w:hideMark/>
          </w:tcPr>
          <w:p w14:paraId="59E420BC"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1264" w:type="dxa"/>
            <w:gridSpan w:val="2"/>
            <w:tcBorders>
              <w:top w:val="nil"/>
              <w:left w:val="nil"/>
              <w:bottom w:val="nil"/>
              <w:right w:val="nil"/>
            </w:tcBorders>
            <w:shd w:val="clear" w:color="auto" w:fill="auto"/>
            <w:noWrap/>
            <w:hideMark/>
          </w:tcPr>
          <w:p w14:paraId="1FC89F52"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shd w:val="clear" w:color="auto" w:fill="auto"/>
            <w:noWrap/>
            <w:hideMark/>
          </w:tcPr>
          <w:p w14:paraId="6E94CA27"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tcPr>
          <w:p w14:paraId="5D1C314D"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2C4F1E39" w14:textId="77777777" w:rsidTr="001A26A3">
        <w:trPr>
          <w:trHeight w:val="288"/>
        </w:trPr>
        <w:tc>
          <w:tcPr>
            <w:tcW w:w="3402" w:type="dxa"/>
            <w:tcBorders>
              <w:top w:val="nil"/>
              <w:left w:val="nil"/>
              <w:bottom w:val="nil"/>
              <w:right w:val="nil"/>
            </w:tcBorders>
            <w:shd w:val="clear" w:color="auto" w:fill="auto"/>
            <w:noWrap/>
            <w:hideMark/>
          </w:tcPr>
          <w:p w14:paraId="10B53770"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Intercept</w:t>
            </w:r>
          </w:p>
        </w:tc>
        <w:tc>
          <w:tcPr>
            <w:tcW w:w="993" w:type="dxa"/>
            <w:tcBorders>
              <w:top w:val="nil"/>
              <w:left w:val="nil"/>
              <w:bottom w:val="nil"/>
              <w:right w:val="nil"/>
            </w:tcBorders>
            <w:shd w:val="clear" w:color="auto" w:fill="auto"/>
            <w:noWrap/>
            <w:hideMark/>
          </w:tcPr>
          <w:p w14:paraId="131C82B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47CF0403"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6BD9D20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-4.6240</w:t>
            </w:r>
          </w:p>
        </w:tc>
        <w:tc>
          <w:tcPr>
            <w:tcW w:w="850" w:type="dxa"/>
            <w:tcBorders>
              <w:top w:val="nil"/>
              <w:left w:val="nil"/>
              <w:bottom w:val="nil"/>
              <w:right w:val="nil"/>
            </w:tcBorders>
            <w:shd w:val="clear" w:color="auto" w:fill="auto"/>
            <w:noWrap/>
            <w:hideMark/>
          </w:tcPr>
          <w:p w14:paraId="1E5A9EA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0.5620</w:t>
            </w:r>
          </w:p>
        </w:tc>
        <w:tc>
          <w:tcPr>
            <w:tcW w:w="850" w:type="dxa"/>
            <w:tcBorders>
              <w:top w:val="nil"/>
              <w:left w:val="nil"/>
              <w:bottom w:val="nil"/>
              <w:right w:val="nil"/>
            </w:tcBorders>
          </w:tcPr>
          <w:p w14:paraId="15850CF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p>
        </w:tc>
      </w:tr>
      <w:tr w:rsidR="0011048D" w:rsidRPr="00A2432B" w14:paraId="14DA6774" w14:textId="77777777" w:rsidTr="001A26A3">
        <w:trPr>
          <w:trHeight w:val="288"/>
        </w:trPr>
        <w:tc>
          <w:tcPr>
            <w:tcW w:w="3402" w:type="dxa"/>
            <w:tcBorders>
              <w:top w:val="nil"/>
              <w:left w:val="nil"/>
              <w:bottom w:val="nil"/>
              <w:right w:val="nil"/>
            </w:tcBorders>
            <w:shd w:val="clear" w:color="auto" w:fill="auto"/>
            <w:noWrap/>
            <w:hideMark/>
          </w:tcPr>
          <w:p w14:paraId="724736E9"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Population density</w:t>
            </w:r>
          </w:p>
        </w:tc>
        <w:tc>
          <w:tcPr>
            <w:tcW w:w="993" w:type="dxa"/>
            <w:tcBorders>
              <w:top w:val="nil"/>
              <w:left w:val="nil"/>
              <w:bottom w:val="nil"/>
              <w:right w:val="nil"/>
            </w:tcBorders>
            <w:shd w:val="clear" w:color="auto" w:fill="auto"/>
            <w:noWrap/>
            <w:hideMark/>
          </w:tcPr>
          <w:p w14:paraId="3112906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303B1171"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6518FB3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-7.5140</w:t>
            </w:r>
          </w:p>
        </w:tc>
        <w:tc>
          <w:tcPr>
            <w:tcW w:w="850" w:type="dxa"/>
            <w:tcBorders>
              <w:top w:val="nil"/>
              <w:left w:val="nil"/>
              <w:bottom w:val="nil"/>
              <w:right w:val="nil"/>
            </w:tcBorders>
            <w:shd w:val="clear" w:color="auto" w:fill="auto"/>
            <w:noWrap/>
            <w:hideMark/>
          </w:tcPr>
          <w:p w14:paraId="0A6A1452"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1.1270</w:t>
            </w:r>
          </w:p>
        </w:tc>
        <w:tc>
          <w:tcPr>
            <w:tcW w:w="850" w:type="dxa"/>
            <w:tcBorders>
              <w:top w:val="nil"/>
              <w:left w:val="nil"/>
              <w:bottom w:val="nil"/>
              <w:right w:val="nil"/>
            </w:tcBorders>
          </w:tcPr>
          <w:p w14:paraId="229A4F21"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0.001</w:t>
            </w:r>
          </w:p>
        </w:tc>
      </w:tr>
      <w:tr w:rsidR="0011048D" w:rsidRPr="00A2432B" w14:paraId="5FE540DD" w14:textId="77777777" w:rsidTr="001A26A3">
        <w:trPr>
          <w:trHeight w:val="288"/>
        </w:trPr>
        <w:tc>
          <w:tcPr>
            <w:tcW w:w="3402" w:type="dxa"/>
            <w:tcBorders>
              <w:top w:val="nil"/>
              <w:left w:val="nil"/>
              <w:bottom w:val="nil"/>
              <w:right w:val="nil"/>
            </w:tcBorders>
            <w:shd w:val="clear" w:color="auto" w:fill="auto"/>
            <w:noWrap/>
            <w:hideMark/>
          </w:tcPr>
          <w:p w14:paraId="19BF850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Mean elevation</w:t>
            </w:r>
          </w:p>
        </w:tc>
        <w:tc>
          <w:tcPr>
            <w:tcW w:w="993" w:type="dxa"/>
            <w:tcBorders>
              <w:top w:val="nil"/>
              <w:left w:val="nil"/>
              <w:bottom w:val="nil"/>
              <w:right w:val="nil"/>
            </w:tcBorders>
            <w:shd w:val="clear" w:color="auto" w:fill="auto"/>
            <w:noWrap/>
            <w:hideMark/>
          </w:tcPr>
          <w:p w14:paraId="635F9770"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6541967A"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2036AAA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1.0510</w:t>
            </w:r>
          </w:p>
        </w:tc>
        <w:tc>
          <w:tcPr>
            <w:tcW w:w="850" w:type="dxa"/>
            <w:tcBorders>
              <w:top w:val="nil"/>
              <w:left w:val="nil"/>
              <w:bottom w:val="nil"/>
              <w:right w:val="nil"/>
            </w:tcBorders>
            <w:shd w:val="clear" w:color="auto" w:fill="auto"/>
            <w:noWrap/>
            <w:hideMark/>
          </w:tcPr>
          <w:p w14:paraId="6C3D847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0.1220</w:t>
            </w:r>
          </w:p>
        </w:tc>
        <w:tc>
          <w:tcPr>
            <w:tcW w:w="850" w:type="dxa"/>
            <w:tcBorders>
              <w:top w:val="nil"/>
              <w:left w:val="nil"/>
              <w:bottom w:val="nil"/>
              <w:right w:val="nil"/>
            </w:tcBorders>
          </w:tcPr>
          <w:p w14:paraId="0F0F7AC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2.861</w:t>
            </w:r>
          </w:p>
        </w:tc>
      </w:tr>
      <w:tr w:rsidR="0011048D" w:rsidRPr="00A2432B" w14:paraId="162F17CF" w14:textId="77777777" w:rsidTr="001A26A3">
        <w:trPr>
          <w:trHeight w:val="288"/>
        </w:trPr>
        <w:tc>
          <w:tcPr>
            <w:tcW w:w="3402" w:type="dxa"/>
            <w:tcBorders>
              <w:top w:val="nil"/>
              <w:left w:val="nil"/>
              <w:bottom w:val="nil"/>
              <w:right w:val="nil"/>
            </w:tcBorders>
            <w:shd w:val="clear" w:color="auto" w:fill="auto"/>
            <w:noWrap/>
            <w:hideMark/>
          </w:tcPr>
          <w:p w14:paraId="78F636B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 xml:space="preserve">Distance to </w:t>
            </w:r>
            <w:proofErr w:type="spellStart"/>
            <w:r w:rsidRPr="00A2432B">
              <w:rPr>
                <w:rFonts w:ascii="Calibri" w:eastAsia="Times New Roman" w:hAnsi="Calibri" w:cs="Calibri"/>
                <w:color w:val="000000"/>
                <w:sz w:val="20"/>
                <w:szCs w:val="20"/>
                <w:lang w:eastAsia="en-GB"/>
              </w:rPr>
              <w:t>In'tl</w:t>
            </w:r>
            <w:proofErr w:type="spellEnd"/>
            <w:r w:rsidRPr="00A2432B">
              <w:rPr>
                <w:rFonts w:ascii="Calibri" w:eastAsia="Times New Roman" w:hAnsi="Calibri" w:cs="Calibri"/>
                <w:color w:val="000000"/>
                <w:sz w:val="20"/>
                <w:szCs w:val="20"/>
                <w:lang w:eastAsia="en-GB"/>
              </w:rPr>
              <w:t xml:space="preserve"> border</w:t>
            </w:r>
          </w:p>
        </w:tc>
        <w:tc>
          <w:tcPr>
            <w:tcW w:w="993" w:type="dxa"/>
            <w:tcBorders>
              <w:top w:val="nil"/>
              <w:left w:val="nil"/>
              <w:bottom w:val="nil"/>
              <w:right w:val="nil"/>
            </w:tcBorders>
            <w:shd w:val="clear" w:color="auto" w:fill="auto"/>
            <w:noWrap/>
            <w:hideMark/>
          </w:tcPr>
          <w:p w14:paraId="189D57C2"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673C6226"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128E403F"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0.5805</w:t>
            </w:r>
          </w:p>
        </w:tc>
        <w:tc>
          <w:tcPr>
            <w:tcW w:w="850" w:type="dxa"/>
            <w:tcBorders>
              <w:top w:val="nil"/>
              <w:left w:val="nil"/>
              <w:bottom w:val="nil"/>
              <w:right w:val="nil"/>
            </w:tcBorders>
            <w:shd w:val="clear" w:color="auto" w:fill="auto"/>
            <w:noWrap/>
            <w:hideMark/>
          </w:tcPr>
          <w:p w14:paraId="76436EB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0.2036</w:t>
            </w:r>
          </w:p>
        </w:tc>
        <w:tc>
          <w:tcPr>
            <w:tcW w:w="850" w:type="dxa"/>
            <w:tcBorders>
              <w:top w:val="nil"/>
              <w:left w:val="nil"/>
              <w:bottom w:val="nil"/>
              <w:right w:val="nil"/>
            </w:tcBorders>
          </w:tcPr>
          <w:p w14:paraId="13FAC39D"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1.787</w:t>
            </w:r>
          </w:p>
        </w:tc>
      </w:tr>
      <w:tr w:rsidR="0011048D" w:rsidRPr="00A2432B" w14:paraId="0FD8C7B2" w14:textId="77777777" w:rsidTr="001A26A3">
        <w:trPr>
          <w:trHeight w:val="288"/>
        </w:trPr>
        <w:tc>
          <w:tcPr>
            <w:tcW w:w="3402" w:type="dxa"/>
            <w:tcBorders>
              <w:top w:val="nil"/>
              <w:left w:val="nil"/>
              <w:bottom w:val="nil"/>
              <w:right w:val="nil"/>
            </w:tcBorders>
            <w:shd w:val="clear" w:color="auto" w:fill="auto"/>
            <w:noWrap/>
            <w:hideMark/>
          </w:tcPr>
          <w:p w14:paraId="27B1156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Provincial capital</w:t>
            </w:r>
          </w:p>
        </w:tc>
        <w:tc>
          <w:tcPr>
            <w:tcW w:w="993" w:type="dxa"/>
            <w:tcBorders>
              <w:top w:val="nil"/>
              <w:left w:val="nil"/>
              <w:bottom w:val="nil"/>
              <w:right w:val="nil"/>
            </w:tcBorders>
            <w:shd w:val="clear" w:color="auto" w:fill="auto"/>
            <w:noWrap/>
            <w:hideMark/>
          </w:tcPr>
          <w:p w14:paraId="4F8EC28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32CA3C31"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1373FAA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0.6929</w:t>
            </w:r>
          </w:p>
        </w:tc>
        <w:tc>
          <w:tcPr>
            <w:tcW w:w="850" w:type="dxa"/>
            <w:tcBorders>
              <w:top w:val="nil"/>
              <w:left w:val="nil"/>
              <w:bottom w:val="nil"/>
              <w:right w:val="nil"/>
            </w:tcBorders>
            <w:shd w:val="clear" w:color="auto" w:fill="auto"/>
            <w:noWrap/>
            <w:hideMark/>
          </w:tcPr>
          <w:p w14:paraId="6363536C"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0.1114</w:t>
            </w:r>
          </w:p>
        </w:tc>
        <w:tc>
          <w:tcPr>
            <w:tcW w:w="850" w:type="dxa"/>
            <w:tcBorders>
              <w:top w:val="nil"/>
              <w:left w:val="nil"/>
              <w:bottom w:val="nil"/>
              <w:right w:val="nil"/>
            </w:tcBorders>
          </w:tcPr>
          <w:p w14:paraId="74843B0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2.000</w:t>
            </w:r>
          </w:p>
        </w:tc>
      </w:tr>
      <w:tr w:rsidR="0011048D" w:rsidRPr="00A2432B" w14:paraId="265316DC" w14:textId="77777777" w:rsidTr="001A26A3">
        <w:trPr>
          <w:trHeight w:val="288"/>
        </w:trPr>
        <w:tc>
          <w:tcPr>
            <w:tcW w:w="3402" w:type="dxa"/>
            <w:tcBorders>
              <w:top w:val="nil"/>
              <w:left w:val="nil"/>
              <w:bottom w:val="nil"/>
              <w:right w:val="nil"/>
            </w:tcBorders>
            <w:shd w:val="clear" w:color="auto" w:fill="auto"/>
            <w:noWrap/>
            <w:hideMark/>
          </w:tcPr>
          <w:p w14:paraId="0A71B6D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ELC presence</w:t>
            </w:r>
          </w:p>
        </w:tc>
        <w:tc>
          <w:tcPr>
            <w:tcW w:w="993" w:type="dxa"/>
            <w:tcBorders>
              <w:top w:val="nil"/>
              <w:left w:val="nil"/>
              <w:bottom w:val="nil"/>
              <w:right w:val="nil"/>
            </w:tcBorders>
            <w:shd w:val="clear" w:color="auto" w:fill="auto"/>
            <w:noWrap/>
            <w:hideMark/>
          </w:tcPr>
          <w:p w14:paraId="477FC19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0B320716"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194692F0"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0.0000</w:t>
            </w:r>
          </w:p>
        </w:tc>
        <w:tc>
          <w:tcPr>
            <w:tcW w:w="850" w:type="dxa"/>
            <w:tcBorders>
              <w:top w:val="nil"/>
              <w:left w:val="nil"/>
              <w:bottom w:val="nil"/>
              <w:right w:val="nil"/>
            </w:tcBorders>
            <w:shd w:val="clear" w:color="auto" w:fill="auto"/>
            <w:noWrap/>
            <w:hideMark/>
          </w:tcPr>
          <w:p w14:paraId="437FC0A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0.0025</w:t>
            </w:r>
          </w:p>
        </w:tc>
        <w:tc>
          <w:tcPr>
            <w:tcW w:w="850" w:type="dxa"/>
            <w:tcBorders>
              <w:top w:val="nil"/>
              <w:left w:val="nil"/>
              <w:bottom w:val="nil"/>
              <w:right w:val="nil"/>
            </w:tcBorders>
          </w:tcPr>
          <w:p w14:paraId="170E9ABE"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0.999</w:t>
            </w:r>
          </w:p>
        </w:tc>
      </w:tr>
      <w:tr w:rsidR="0011048D" w:rsidRPr="00A2432B" w14:paraId="7CEC47BF" w14:textId="77777777" w:rsidTr="001A26A3">
        <w:trPr>
          <w:trHeight w:val="288"/>
        </w:trPr>
        <w:tc>
          <w:tcPr>
            <w:tcW w:w="3402" w:type="dxa"/>
            <w:tcBorders>
              <w:top w:val="nil"/>
              <w:left w:val="nil"/>
              <w:bottom w:val="single" w:sz="4" w:space="0" w:color="auto"/>
              <w:right w:val="nil"/>
            </w:tcBorders>
            <w:shd w:val="clear" w:color="auto" w:fill="auto"/>
            <w:noWrap/>
            <w:hideMark/>
          </w:tcPr>
          <w:p w14:paraId="5CA0B35D"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PA presence</w:t>
            </w:r>
          </w:p>
        </w:tc>
        <w:tc>
          <w:tcPr>
            <w:tcW w:w="993" w:type="dxa"/>
            <w:tcBorders>
              <w:top w:val="nil"/>
              <w:left w:val="nil"/>
              <w:bottom w:val="single" w:sz="4" w:space="0" w:color="auto"/>
              <w:right w:val="nil"/>
            </w:tcBorders>
            <w:shd w:val="clear" w:color="auto" w:fill="auto"/>
            <w:noWrap/>
            <w:hideMark/>
          </w:tcPr>
          <w:p w14:paraId="1C0DCE8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 -</w:t>
            </w:r>
          </w:p>
        </w:tc>
        <w:tc>
          <w:tcPr>
            <w:tcW w:w="862" w:type="dxa"/>
            <w:tcBorders>
              <w:top w:val="nil"/>
              <w:left w:val="nil"/>
              <w:bottom w:val="single" w:sz="4" w:space="0" w:color="auto"/>
              <w:right w:val="nil"/>
            </w:tcBorders>
            <w:shd w:val="clear" w:color="auto" w:fill="auto"/>
            <w:noWrap/>
            <w:hideMark/>
          </w:tcPr>
          <w:p w14:paraId="58B8DF6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 -</w:t>
            </w:r>
          </w:p>
        </w:tc>
        <w:tc>
          <w:tcPr>
            <w:tcW w:w="1264" w:type="dxa"/>
            <w:gridSpan w:val="2"/>
            <w:tcBorders>
              <w:top w:val="nil"/>
              <w:left w:val="nil"/>
              <w:bottom w:val="single" w:sz="4" w:space="0" w:color="auto"/>
              <w:right w:val="nil"/>
            </w:tcBorders>
            <w:shd w:val="clear" w:color="auto" w:fill="auto"/>
            <w:noWrap/>
            <w:hideMark/>
          </w:tcPr>
          <w:p w14:paraId="475FE58F"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0.0093</w:t>
            </w:r>
          </w:p>
        </w:tc>
        <w:tc>
          <w:tcPr>
            <w:tcW w:w="850" w:type="dxa"/>
            <w:tcBorders>
              <w:top w:val="nil"/>
              <w:left w:val="nil"/>
              <w:bottom w:val="single" w:sz="4" w:space="0" w:color="auto"/>
              <w:right w:val="nil"/>
            </w:tcBorders>
            <w:shd w:val="clear" w:color="auto" w:fill="auto"/>
            <w:noWrap/>
            <w:hideMark/>
          </w:tcPr>
          <w:p w14:paraId="44F6890C"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0.0143</w:t>
            </w:r>
          </w:p>
        </w:tc>
        <w:tc>
          <w:tcPr>
            <w:tcW w:w="850" w:type="dxa"/>
            <w:tcBorders>
              <w:top w:val="nil"/>
              <w:left w:val="nil"/>
              <w:bottom w:val="single" w:sz="4" w:space="0" w:color="auto"/>
              <w:right w:val="nil"/>
            </w:tcBorders>
          </w:tcPr>
          <w:p w14:paraId="40F472FE"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1.009</w:t>
            </w:r>
          </w:p>
        </w:tc>
      </w:tr>
      <w:tr w:rsidR="0011048D" w:rsidRPr="00A2432B" w14:paraId="105A3F6C" w14:textId="77777777" w:rsidTr="001A26A3">
        <w:trPr>
          <w:trHeight w:val="288"/>
        </w:trPr>
        <w:tc>
          <w:tcPr>
            <w:tcW w:w="3402" w:type="dxa"/>
            <w:tcBorders>
              <w:top w:val="nil"/>
              <w:left w:val="nil"/>
              <w:bottom w:val="nil"/>
              <w:right w:val="nil"/>
            </w:tcBorders>
            <w:shd w:val="clear" w:color="auto" w:fill="auto"/>
            <w:noWrap/>
            <w:hideMark/>
          </w:tcPr>
          <w:p w14:paraId="0F89638D" w14:textId="77777777" w:rsidR="0011048D" w:rsidRPr="00A2432B" w:rsidRDefault="0011048D" w:rsidP="001A26A3">
            <w:pPr>
              <w:spacing w:after="0" w:line="240" w:lineRule="auto"/>
              <w:rPr>
                <w:rFonts w:ascii="Calibri" w:eastAsia="Times New Roman" w:hAnsi="Calibri" w:cs="Calibri"/>
                <w:b/>
                <w:bCs/>
                <w:i/>
                <w:iCs/>
                <w:color w:val="000000"/>
                <w:sz w:val="20"/>
                <w:szCs w:val="20"/>
                <w:lang w:eastAsia="en-GB"/>
              </w:rPr>
            </w:pPr>
            <w:r w:rsidRPr="00A2432B">
              <w:rPr>
                <w:rFonts w:ascii="Calibri" w:eastAsia="Times New Roman" w:hAnsi="Calibri" w:cs="Calibri"/>
                <w:b/>
                <w:bCs/>
                <w:i/>
                <w:iCs/>
                <w:color w:val="000000"/>
                <w:sz w:val="20"/>
                <w:szCs w:val="20"/>
                <w:lang w:eastAsia="en-GB"/>
              </w:rPr>
              <w:t>Province-level final model</w:t>
            </w:r>
          </w:p>
        </w:tc>
        <w:tc>
          <w:tcPr>
            <w:tcW w:w="993" w:type="dxa"/>
            <w:tcBorders>
              <w:top w:val="nil"/>
              <w:left w:val="nil"/>
              <w:bottom w:val="nil"/>
              <w:right w:val="nil"/>
            </w:tcBorders>
            <w:shd w:val="clear" w:color="auto" w:fill="auto"/>
            <w:noWrap/>
            <w:hideMark/>
          </w:tcPr>
          <w:p w14:paraId="24BCC0C3" w14:textId="77777777" w:rsidR="0011048D" w:rsidRPr="00A2432B" w:rsidRDefault="0011048D" w:rsidP="001A26A3">
            <w:pPr>
              <w:spacing w:after="0" w:line="240" w:lineRule="auto"/>
              <w:rPr>
                <w:rFonts w:ascii="Calibri" w:eastAsia="Times New Roman" w:hAnsi="Calibri" w:cs="Calibri"/>
                <w:b/>
                <w:bCs/>
                <w:i/>
                <w:iCs/>
                <w:color w:val="000000"/>
                <w:sz w:val="20"/>
                <w:szCs w:val="20"/>
                <w:lang w:eastAsia="en-GB"/>
              </w:rPr>
            </w:pPr>
          </w:p>
        </w:tc>
        <w:tc>
          <w:tcPr>
            <w:tcW w:w="862" w:type="dxa"/>
            <w:tcBorders>
              <w:top w:val="nil"/>
              <w:left w:val="nil"/>
              <w:bottom w:val="nil"/>
              <w:right w:val="nil"/>
            </w:tcBorders>
            <w:shd w:val="clear" w:color="auto" w:fill="auto"/>
            <w:noWrap/>
            <w:hideMark/>
          </w:tcPr>
          <w:p w14:paraId="783BB69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1264" w:type="dxa"/>
            <w:gridSpan w:val="2"/>
            <w:tcBorders>
              <w:top w:val="nil"/>
              <w:left w:val="nil"/>
              <w:bottom w:val="nil"/>
              <w:right w:val="nil"/>
            </w:tcBorders>
            <w:shd w:val="clear" w:color="auto" w:fill="auto"/>
            <w:noWrap/>
            <w:hideMark/>
          </w:tcPr>
          <w:p w14:paraId="25D83F62"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shd w:val="clear" w:color="auto" w:fill="auto"/>
            <w:noWrap/>
            <w:hideMark/>
          </w:tcPr>
          <w:p w14:paraId="74045090"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tcPr>
          <w:p w14:paraId="6493ACD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1CA0705E" w14:textId="77777777" w:rsidTr="001A26A3">
        <w:trPr>
          <w:trHeight w:val="288"/>
        </w:trPr>
        <w:tc>
          <w:tcPr>
            <w:tcW w:w="3402" w:type="dxa"/>
            <w:tcBorders>
              <w:top w:val="nil"/>
              <w:left w:val="nil"/>
              <w:bottom w:val="nil"/>
              <w:right w:val="nil"/>
            </w:tcBorders>
            <w:shd w:val="clear" w:color="auto" w:fill="auto"/>
            <w:noWrap/>
            <w:hideMark/>
          </w:tcPr>
          <w:p w14:paraId="713FD61E"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Random effects</w:t>
            </w:r>
          </w:p>
        </w:tc>
        <w:tc>
          <w:tcPr>
            <w:tcW w:w="993" w:type="dxa"/>
            <w:tcBorders>
              <w:top w:val="nil"/>
              <w:left w:val="nil"/>
              <w:bottom w:val="nil"/>
              <w:right w:val="nil"/>
            </w:tcBorders>
            <w:shd w:val="clear" w:color="auto" w:fill="auto"/>
            <w:noWrap/>
            <w:hideMark/>
          </w:tcPr>
          <w:p w14:paraId="39062C78"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p>
        </w:tc>
        <w:tc>
          <w:tcPr>
            <w:tcW w:w="862" w:type="dxa"/>
            <w:tcBorders>
              <w:top w:val="nil"/>
              <w:left w:val="nil"/>
              <w:bottom w:val="nil"/>
              <w:right w:val="nil"/>
            </w:tcBorders>
            <w:shd w:val="clear" w:color="auto" w:fill="auto"/>
            <w:noWrap/>
            <w:hideMark/>
          </w:tcPr>
          <w:p w14:paraId="3CE4BCE7"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1264" w:type="dxa"/>
            <w:gridSpan w:val="2"/>
            <w:tcBorders>
              <w:top w:val="nil"/>
              <w:left w:val="nil"/>
              <w:bottom w:val="nil"/>
              <w:right w:val="nil"/>
            </w:tcBorders>
            <w:shd w:val="clear" w:color="auto" w:fill="auto"/>
            <w:noWrap/>
            <w:hideMark/>
          </w:tcPr>
          <w:p w14:paraId="2E2FC46F"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shd w:val="clear" w:color="auto" w:fill="auto"/>
            <w:noWrap/>
            <w:hideMark/>
          </w:tcPr>
          <w:p w14:paraId="798F99FB"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tcPr>
          <w:p w14:paraId="15133337"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05293650" w14:textId="77777777" w:rsidTr="001A26A3">
        <w:trPr>
          <w:trHeight w:val="288"/>
        </w:trPr>
        <w:tc>
          <w:tcPr>
            <w:tcW w:w="3402" w:type="dxa"/>
            <w:tcBorders>
              <w:top w:val="nil"/>
              <w:left w:val="nil"/>
              <w:bottom w:val="nil"/>
              <w:right w:val="nil"/>
            </w:tcBorders>
            <w:shd w:val="clear" w:color="auto" w:fill="auto"/>
            <w:noWrap/>
            <w:hideMark/>
          </w:tcPr>
          <w:p w14:paraId="52038024"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Province (intercept)</w:t>
            </w:r>
          </w:p>
        </w:tc>
        <w:tc>
          <w:tcPr>
            <w:tcW w:w="993" w:type="dxa"/>
            <w:tcBorders>
              <w:top w:val="nil"/>
              <w:left w:val="nil"/>
              <w:bottom w:val="nil"/>
              <w:right w:val="nil"/>
            </w:tcBorders>
            <w:shd w:val="clear" w:color="auto" w:fill="auto"/>
            <w:noWrap/>
            <w:hideMark/>
          </w:tcPr>
          <w:p w14:paraId="6B57D58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1.1762</w:t>
            </w:r>
          </w:p>
        </w:tc>
        <w:tc>
          <w:tcPr>
            <w:tcW w:w="862" w:type="dxa"/>
            <w:tcBorders>
              <w:top w:val="nil"/>
              <w:left w:val="nil"/>
              <w:bottom w:val="nil"/>
              <w:right w:val="nil"/>
            </w:tcBorders>
            <w:shd w:val="clear" w:color="auto" w:fill="auto"/>
            <w:noWrap/>
            <w:hideMark/>
          </w:tcPr>
          <w:p w14:paraId="23A827FD"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1.0845</w:t>
            </w:r>
          </w:p>
        </w:tc>
        <w:tc>
          <w:tcPr>
            <w:tcW w:w="1264" w:type="dxa"/>
            <w:gridSpan w:val="2"/>
            <w:tcBorders>
              <w:top w:val="nil"/>
              <w:left w:val="nil"/>
              <w:bottom w:val="nil"/>
              <w:right w:val="nil"/>
            </w:tcBorders>
            <w:shd w:val="clear" w:color="auto" w:fill="auto"/>
            <w:noWrap/>
            <w:hideMark/>
          </w:tcPr>
          <w:p w14:paraId="0512DD5F"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3FC32B6D"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3D65CAFE"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657ECE29" w14:textId="77777777" w:rsidTr="001A26A3">
        <w:trPr>
          <w:trHeight w:val="288"/>
        </w:trPr>
        <w:tc>
          <w:tcPr>
            <w:tcW w:w="3402" w:type="dxa"/>
            <w:tcBorders>
              <w:top w:val="nil"/>
              <w:left w:val="nil"/>
              <w:bottom w:val="nil"/>
              <w:right w:val="nil"/>
            </w:tcBorders>
            <w:shd w:val="clear" w:color="auto" w:fill="auto"/>
            <w:noWrap/>
            <w:hideMark/>
          </w:tcPr>
          <w:p w14:paraId="19154BD8"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Year/Province (slope)</w:t>
            </w:r>
          </w:p>
        </w:tc>
        <w:tc>
          <w:tcPr>
            <w:tcW w:w="993" w:type="dxa"/>
            <w:tcBorders>
              <w:top w:val="nil"/>
              <w:left w:val="nil"/>
              <w:bottom w:val="nil"/>
              <w:right w:val="nil"/>
            </w:tcBorders>
            <w:shd w:val="clear" w:color="auto" w:fill="auto"/>
            <w:noWrap/>
            <w:hideMark/>
          </w:tcPr>
          <w:p w14:paraId="610B5A7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0.0058</w:t>
            </w:r>
          </w:p>
        </w:tc>
        <w:tc>
          <w:tcPr>
            <w:tcW w:w="862" w:type="dxa"/>
            <w:tcBorders>
              <w:top w:val="nil"/>
              <w:left w:val="nil"/>
              <w:bottom w:val="nil"/>
              <w:right w:val="nil"/>
            </w:tcBorders>
            <w:shd w:val="clear" w:color="auto" w:fill="auto"/>
            <w:noWrap/>
            <w:hideMark/>
          </w:tcPr>
          <w:p w14:paraId="0B9A352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0.0765</w:t>
            </w:r>
          </w:p>
        </w:tc>
        <w:tc>
          <w:tcPr>
            <w:tcW w:w="1264" w:type="dxa"/>
            <w:gridSpan w:val="2"/>
            <w:tcBorders>
              <w:top w:val="nil"/>
              <w:left w:val="nil"/>
              <w:bottom w:val="nil"/>
              <w:right w:val="nil"/>
            </w:tcBorders>
            <w:shd w:val="clear" w:color="auto" w:fill="auto"/>
            <w:noWrap/>
            <w:hideMark/>
          </w:tcPr>
          <w:p w14:paraId="35F64CFF"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44F4AA1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792D9A21"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6AE5011E" w14:textId="77777777" w:rsidTr="001A26A3">
        <w:trPr>
          <w:trHeight w:val="288"/>
        </w:trPr>
        <w:tc>
          <w:tcPr>
            <w:tcW w:w="3402" w:type="dxa"/>
            <w:tcBorders>
              <w:top w:val="nil"/>
              <w:left w:val="nil"/>
              <w:bottom w:val="nil"/>
              <w:right w:val="nil"/>
            </w:tcBorders>
            <w:shd w:val="clear" w:color="auto" w:fill="auto"/>
            <w:noWrap/>
            <w:hideMark/>
          </w:tcPr>
          <w:p w14:paraId="4CB7E392"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Fixed effects</w:t>
            </w:r>
          </w:p>
        </w:tc>
        <w:tc>
          <w:tcPr>
            <w:tcW w:w="993" w:type="dxa"/>
            <w:tcBorders>
              <w:top w:val="nil"/>
              <w:left w:val="nil"/>
              <w:bottom w:val="nil"/>
              <w:right w:val="nil"/>
            </w:tcBorders>
            <w:shd w:val="clear" w:color="auto" w:fill="auto"/>
            <w:noWrap/>
            <w:hideMark/>
          </w:tcPr>
          <w:p w14:paraId="45A2285D"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p>
        </w:tc>
        <w:tc>
          <w:tcPr>
            <w:tcW w:w="862" w:type="dxa"/>
            <w:tcBorders>
              <w:top w:val="nil"/>
              <w:left w:val="nil"/>
              <w:bottom w:val="nil"/>
              <w:right w:val="nil"/>
            </w:tcBorders>
            <w:shd w:val="clear" w:color="auto" w:fill="auto"/>
            <w:noWrap/>
            <w:hideMark/>
          </w:tcPr>
          <w:p w14:paraId="78F346D5"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1264" w:type="dxa"/>
            <w:gridSpan w:val="2"/>
            <w:tcBorders>
              <w:top w:val="nil"/>
              <w:left w:val="nil"/>
              <w:bottom w:val="nil"/>
              <w:right w:val="nil"/>
            </w:tcBorders>
            <w:shd w:val="clear" w:color="auto" w:fill="auto"/>
            <w:noWrap/>
            <w:hideMark/>
          </w:tcPr>
          <w:p w14:paraId="27F14B6C"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shd w:val="clear" w:color="auto" w:fill="auto"/>
            <w:noWrap/>
            <w:hideMark/>
          </w:tcPr>
          <w:p w14:paraId="6EE7336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36AB7645"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0E7D11C5" w14:textId="77777777" w:rsidTr="001A26A3">
        <w:trPr>
          <w:trHeight w:val="288"/>
        </w:trPr>
        <w:tc>
          <w:tcPr>
            <w:tcW w:w="3402" w:type="dxa"/>
            <w:tcBorders>
              <w:top w:val="nil"/>
              <w:left w:val="nil"/>
              <w:bottom w:val="nil"/>
              <w:right w:val="nil"/>
            </w:tcBorders>
            <w:shd w:val="clear" w:color="auto" w:fill="auto"/>
            <w:noWrap/>
            <w:hideMark/>
          </w:tcPr>
          <w:p w14:paraId="6E68C3BF"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Intercept</w:t>
            </w:r>
          </w:p>
        </w:tc>
        <w:tc>
          <w:tcPr>
            <w:tcW w:w="993" w:type="dxa"/>
            <w:tcBorders>
              <w:top w:val="nil"/>
              <w:left w:val="nil"/>
              <w:bottom w:val="nil"/>
              <w:right w:val="nil"/>
            </w:tcBorders>
            <w:shd w:val="clear" w:color="auto" w:fill="auto"/>
            <w:noWrap/>
            <w:hideMark/>
          </w:tcPr>
          <w:p w14:paraId="442A6D4C"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2AAFE0A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3849B9DD"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-2.9900</w:t>
            </w:r>
          </w:p>
        </w:tc>
        <w:tc>
          <w:tcPr>
            <w:tcW w:w="850" w:type="dxa"/>
            <w:tcBorders>
              <w:top w:val="nil"/>
              <w:left w:val="nil"/>
              <w:bottom w:val="nil"/>
              <w:right w:val="nil"/>
            </w:tcBorders>
            <w:shd w:val="clear" w:color="auto" w:fill="auto"/>
            <w:noWrap/>
            <w:hideMark/>
          </w:tcPr>
          <w:p w14:paraId="7F6C154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0.4497</w:t>
            </w:r>
          </w:p>
        </w:tc>
        <w:tc>
          <w:tcPr>
            <w:tcW w:w="850" w:type="dxa"/>
            <w:tcBorders>
              <w:top w:val="nil"/>
              <w:left w:val="nil"/>
              <w:bottom w:val="nil"/>
              <w:right w:val="nil"/>
            </w:tcBorders>
          </w:tcPr>
          <w:p w14:paraId="7079DF6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p>
        </w:tc>
      </w:tr>
      <w:tr w:rsidR="0011048D" w:rsidRPr="00A2432B" w14:paraId="0669CD04" w14:textId="77777777" w:rsidTr="001A26A3">
        <w:trPr>
          <w:trHeight w:val="288"/>
        </w:trPr>
        <w:tc>
          <w:tcPr>
            <w:tcW w:w="3402" w:type="dxa"/>
            <w:tcBorders>
              <w:top w:val="nil"/>
              <w:left w:val="nil"/>
              <w:bottom w:val="nil"/>
              <w:right w:val="nil"/>
            </w:tcBorders>
            <w:shd w:val="clear" w:color="auto" w:fill="auto"/>
            <w:noWrap/>
            <w:hideMark/>
          </w:tcPr>
          <w:p w14:paraId="6F1F7CD1"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Males in school (low)</w:t>
            </w:r>
          </w:p>
        </w:tc>
        <w:tc>
          <w:tcPr>
            <w:tcW w:w="993" w:type="dxa"/>
            <w:tcBorders>
              <w:top w:val="nil"/>
              <w:left w:val="nil"/>
              <w:bottom w:val="nil"/>
              <w:right w:val="nil"/>
            </w:tcBorders>
            <w:shd w:val="clear" w:color="auto" w:fill="auto"/>
            <w:noWrap/>
            <w:hideMark/>
          </w:tcPr>
          <w:p w14:paraId="26045E5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10A4896D"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1338CF3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0.0051</w:t>
            </w:r>
          </w:p>
        </w:tc>
        <w:tc>
          <w:tcPr>
            <w:tcW w:w="850" w:type="dxa"/>
            <w:tcBorders>
              <w:top w:val="nil"/>
              <w:left w:val="nil"/>
              <w:bottom w:val="nil"/>
              <w:right w:val="nil"/>
            </w:tcBorders>
            <w:shd w:val="clear" w:color="auto" w:fill="auto"/>
            <w:noWrap/>
            <w:hideMark/>
          </w:tcPr>
          <w:p w14:paraId="05719EA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0.0019</w:t>
            </w:r>
          </w:p>
        </w:tc>
        <w:tc>
          <w:tcPr>
            <w:tcW w:w="850" w:type="dxa"/>
            <w:tcBorders>
              <w:top w:val="nil"/>
              <w:left w:val="nil"/>
              <w:bottom w:val="nil"/>
              <w:right w:val="nil"/>
            </w:tcBorders>
          </w:tcPr>
          <w:p w14:paraId="72DF952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1.002</w:t>
            </w:r>
          </w:p>
        </w:tc>
      </w:tr>
      <w:tr w:rsidR="0011048D" w:rsidRPr="00A2432B" w14:paraId="1297ABDE" w14:textId="77777777" w:rsidTr="001A26A3">
        <w:trPr>
          <w:trHeight w:val="288"/>
        </w:trPr>
        <w:tc>
          <w:tcPr>
            <w:tcW w:w="3402" w:type="dxa"/>
            <w:tcBorders>
              <w:top w:val="nil"/>
              <w:left w:val="nil"/>
              <w:bottom w:val="nil"/>
              <w:right w:val="nil"/>
            </w:tcBorders>
            <w:shd w:val="clear" w:color="auto" w:fill="auto"/>
            <w:noWrap/>
            <w:hideMark/>
          </w:tcPr>
          <w:p w14:paraId="23EACFD2"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school (low)</w:t>
            </w:r>
          </w:p>
        </w:tc>
        <w:tc>
          <w:tcPr>
            <w:tcW w:w="993" w:type="dxa"/>
            <w:tcBorders>
              <w:top w:val="nil"/>
              <w:left w:val="nil"/>
              <w:bottom w:val="nil"/>
              <w:right w:val="nil"/>
            </w:tcBorders>
            <w:shd w:val="clear" w:color="auto" w:fill="auto"/>
            <w:noWrap/>
            <w:hideMark/>
          </w:tcPr>
          <w:p w14:paraId="02337C11"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0C2B4450"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72E8640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-0.0174</w:t>
            </w:r>
          </w:p>
        </w:tc>
        <w:tc>
          <w:tcPr>
            <w:tcW w:w="850" w:type="dxa"/>
            <w:tcBorders>
              <w:top w:val="nil"/>
              <w:left w:val="nil"/>
              <w:bottom w:val="nil"/>
              <w:right w:val="nil"/>
            </w:tcBorders>
            <w:shd w:val="clear" w:color="auto" w:fill="auto"/>
            <w:noWrap/>
            <w:hideMark/>
          </w:tcPr>
          <w:p w14:paraId="5851CBB4"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0.0022</w:t>
            </w:r>
          </w:p>
        </w:tc>
        <w:tc>
          <w:tcPr>
            <w:tcW w:w="850" w:type="dxa"/>
            <w:tcBorders>
              <w:top w:val="nil"/>
              <w:left w:val="nil"/>
              <w:bottom w:val="nil"/>
              <w:right w:val="nil"/>
            </w:tcBorders>
          </w:tcPr>
          <w:p w14:paraId="5500966D"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1.002</w:t>
            </w:r>
          </w:p>
        </w:tc>
      </w:tr>
      <w:tr w:rsidR="0011048D" w:rsidRPr="00A2432B" w14:paraId="31EA186A" w14:textId="77777777" w:rsidTr="001A26A3">
        <w:trPr>
          <w:trHeight w:val="288"/>
        </w:trPr>
        <w:tc>
          <w:tcPr>
            <w:tcW w:w="3402" w:type="dxa"/>
            <w:tcBorders>
              <w:top w:val="nil"/>
              <w:left w:val="nil"/>
              <w:bottom w:val="nil"/>
              <w:right w:val="nil"/>
            </w:tcBorders>
            <w:shd w:val="clear" w:color="auto" w:fill="auto"/>
            <w:noWrap/>
            <w:hideMark/>
          </w:tcPr>
          <w:p w14:paraId="5FA9161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Mean elevation (low)</w:t>
            </w:r>
          </w:p>
        </w:tc>
        <w:tc>
          <w:tcPr>
            <w:tcW w:w="993" w:type="dxa"/>
            <w:tcBorders>
              <w:top w:val="nil"/>
              <w:left w:val="nil"/>
              <w:bottom w:val="nil"/>
              <w:right w:val="nil"/>
            </w:tcBorders>
            <w:shd w:val="clear" w:color="auto" w:fill="auto"/>
            <w:noWrap/>
            <w:hideMark/>
          </w:tcPr>
          <w:p w14:paraId="74C0BA1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20B08A88"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2FBF4C7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-0.0223</w:t>
            </w:r>
          </w:p>
        </w:tc>
        <w:tc>
          <w:tcPr>
            <w:tcW w:w="850" w:type="dxa"/>
            <w:tcBorders>
              <w:top w:val="nil"/>
              <w:left w:val="nil"/>
              <w:bottom w:val="nil"/>
              <w:right w:val="nil"/>
            </w:tcBorders>
            <w:shd w:val="clear" w:color="auto" w:fill="auto"/>
            <w:noWrap/>
            <w:hideMark/>
          </w:tcPr>
          <w:p w14:paraId="58E5288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0.0024</w:t>
            </w:r>
          </w:p>
        </w:tc>
        <w:tc>
          <w:tcPr>
            <w:tcW w:w="850" w:type="dxa"/>
            <w:tcBorders>
              <w:top w:val="nil"/>
              <w:left w:val="nil"/>
              <w:bottom w:val="nil"/>
              <w:right w:val="nil"/>
            </w:tcBorders>
          </w:tcPr>
          <w:p w14:paraId="6A509ED4"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1.002</w:t>
            </w:r>
          </w:p>
        </w:tc>
      </w:tr>
      <w:tr w:rsidR="0011048D" w:rsidRPr="00A2432B" w14:paraId="3E5F240B" w14:textId="77777777" w:rsidTr="001A26A3">
        <w:trPr>
          <w:trHeight w:val="288"/>
        </w:trPr>
        <w:tc>
          <w:tcPr>
            <w:tcW w:w="3402" w:type="dxa"/>
            <w:tcBorders>
              <w:top w:val="nil"/>
              <w:left w:val="nil"/>
              <w:bottom w:val="nil"/>
              <w:right w:val="nil"/>
            </w:tcBorders>
            <w:shd w:val="clear" w:color="auto" w:fill="auto"/>
            <w:noWrap/>
            <w:hideMark/>
          </w:tcPr>
          <w:p w14:paraId="7CB75579"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border (low)</w:t>
            </w:r>
          </w:p>
        </w:tc>
        <w:tc>
          <w:tcPr>
            <w:tcW w:w="993" w:type="dxa"/>
            <w:tcBorders>
              <w:top w:val="nil"/>
              <w:left w:val="nil"/>
              <w:bottom w:val="nil"/>
              <w:right w:val="nil"/>
            </w:tcBorders>
            <w:shd w:val="clear" w:color="auto" w:fill="auto"/>
            <w:noWrap/>
            <w:hideMark/>
          </w:tcPr>
          <w:p w14:paraId="2057014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44D930F3"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5B37B58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0.0061</w:t>
            </w:r>
          </w:p>
        </w:tc>
        <w:tc>
          <w:tcPr>
            <w:tcW w:w="850" w:type="dxa"/>
            <w:tcBorders>
              <w:top w:val="nil"/>
              <w:left w:val="nil"/>
              <w:bottom w:val="nil"/>
              <w:right w:val="nil"/>
            </w:tcBorders>
            <w:shd w:val="clear" w:color="auto" w:fill="auto"/>
            <w:noWrap/>
            <w:hideMark/>
          </w:tcPr>
          <w:p w14:paraId="033C521E"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0.0019</w:t>
            </w:r>
          </w:p>
        </w:tc>
        <w:tc>
          <w:tcPr>
            <w:tcW w:w="850" w:type="dxa"/>
            <w:tcBorders>
              <w:top w:val="nil"/>
              <w:left w:val="nil"/>
              <w:bottom w:val="nil"/>
              <w:right w:val="nil"/>
            </w:tcBorders>
          </w:tcPr>
          <w:p w14:paraId="3C26FA5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1.002</w:t>
            </w:r>
          </w:p>
        </w:tc>
      </w:tr>
      <w:tr w:rsidR="0011048D" w:rsidRPr="00A2432B" w14:paraId="0CF6AFAE" w14:textId="77777777" w:rsidTr="001A26A3">
        <w:trPr>
          <w:trHeight w:val="288"/>
        </w:trPr>
        <w:tc>
          <w:tcPr>
            <w:tcW w:w="3402" w:type="dxa"/>
            <w:tcBorders>
              <w:top w:val="nil"/>
              <w:left w:val="nil"/>
              <w:bottom w:val="nil"/>
              <w:right w:val="nil"/>
            </w:tcBorders>
            <w:shd w:val="clear" w:color="auto" w:fill="auto"/>
            <w:noWrap/>
            <w:hideMark/>
          </w:tcPr>
          <w:p w14:paraId="62F68034"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 xml:space="preserve">Distance to </w:t>
            </w:r>
            <w:proofErr w:type="spellStart"/>
            <w:r w:rsidRPr="00A2432B">
              <w:rPr>
                <w:rFonts w:ascii="Calibri" w:eastAsia="Times New Roman" w:hAnsi="Calibri" w:cs="Calibri"/>
                <w:color w:val="000000"/>
                <w:sz w:val="20"/>
                <w:szCs w:val="20"/>
                <w:lang w:eastAsia="en-GB"/>
              </w:rPr>
              <w:t>Prov</w:t>
            </w:r>
            <w:proofErr w:type="spellEnd"/>
            <w:r w:rsidRPr="00A2432B">
              <w:rPr>
                <w:rFonts w:ascii="Calibri" w:eastAsia="Times New Roman" w:hAnsi="Calibri" w:cs="Calibri"/>
                <w:color w:val="000000"/>
                <w:sz w:val="20"/>
                <w:szCs w:val="20"/>
                <w:lang w:eastAsia="en-GB"/>
              </w:rPr>
              <w:t xml:space="preserve"> capital (low)</w:t>
            </w:r>
          </w:p>
        </w:tc>
        <w:tc>
          <w:tcPr>
            <w:tcW w:w="993" w:type="dxa"/>
            <w:tcBorders>
              <w:top w:val="nil"/>
              <w:left w:val="nil"/>
              <w:bottom w:val="nil"/>
              <w:right w:val="nil"/>
            </w:tcBorders>
            <w:shd w:val="clear" w:color="auto" w:fill="auto"/>
            <w:noWrap/>
            <w:hideMark/>
          </w:tcPr>
          <w:p w14:paraId="25A12C4D"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332D3E8B"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69C539A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-0.0072</w:t>
            </w:r>
          </w:p>
        </w:tc>
        <w:tc>
          <w:tcPr>
            <w:tcW w:w="850" w:type="dxa"/>
            <w:tcBorders>
              <w:top w:val="nil"/>
              <w:left w:val="nil"/>
              <w:bottom w:val="nil"/>
              <w:right w:val="nil"/>
            </w:tcBorders>
            <w:shd w:val="clear" w:color="auto" w:fill="auto"/>
            <w:noWrap/>
            <w:hideMark/>
          </w:tcPr>
          <w:p w14:paraId="4E41AFB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0.0019</w:t>
            </w:r>
          </w:p>
        </w:tc>
        <w:tc>
          <w:tcPr>
            <w:tcW w:w="850" w:type="dxa"/>
            <w:tcBorders>
              <w:top w:val="nil"/>
              <w:left w:val="nil"/>
              <w:bottom w:val="nil"/>
              <w:right w:val="nil"/>
            </w:tcBorders>
          </w:tcPr>
          <w:p w14:paraId="48FF80A2"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1.002</w:t>
            </w:r>
          </w:p>
        </w:tc>
      </w:tr>
      <w:tr w:rsidR="0011048D" w:rsidRPr="00A2432B" w14:paraId="6221EAEA" w14:textId="77777777" w:rsidTr="001A26A3">
        <w:trPr>
          <w:trHeight w:val="205"/>
        </w:trPr>
        <w:tc>
          <w:tcPr>
            <w:tcW w:w="3402" w:type="dxa"/>
            <w:tcBorders>
              <w:top w:val="nil"/>
              <w:left w:val="nil"/>
              <w:bottom w:val="nil"/>
              <w:right w:val="nil"/>
            </w:tcBorders>
            <w:shd w:val="clear" w:color="auto" w:fill="auto"/>
            <w:hideMark/>
          </w:tcPr>
          <w:p w14:paraId="6EBE5E1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Presence of economic concessions (1)</w:t>
            </w:r>
          </w:p>
        </w:tc>
        <w:tc>
          <w:tcPr>
            <w:tcW w:w="993" w:type="dxa"/>
            <w:tcBorders>
              <w:top w:val="nil"/>
              <w:left w:val="nil"/>
              <w:bottom w:val="nil"/>
              <w:right w:val="nil"/>
            </w:tcBorders>
            <w:shd w:val="clear" w:color="auto" w:fill="auto"/>
            <w:noWrap/>
            <w:hideMark/>
          </w:tcPr>
          <w:p w14:paraId="182D1EF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160A4FB0"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249FD7E0"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1.9974</w:t>
            </w:r>
          </w:p>
        </w:tc>
        <w:tc>
          <w:tcPr>
            <w:tcW w:w="850" w:type="dxa"/>
            <w:tcBorders>
              <w:top w:val="nil"/>
              <w:left w:val="nil"/>
              <w:bottom w:val="nil"/>
              <w:right w:val="nil"/>
            </w:tcBorders>
            <w:shd w:val="clear" w:color="auto" w:fill="auto"/>
            <w:noWrap/>
            <w:hideMark/>
          </w:tcPr>
          <w:p w14:paraId="2329640C"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0.4090</w:t>
            </w:r>
          </w:p>
        </w:tc>
        <w:tc>
          <w:tcPr>
            <w:tcW w:w="850" w:type="dxa"/>
            <w:tcBorders>
              <w:top w:val="nil"/>
              <w:left w:val="nil"/>
              <w:bottom w:val="nil"/>
              <w:right w:val="nil"/>
            </w:tcBorders>
          </w:tcPr>
          <w:p w14:paraId="05EFF8A1"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1.505</w:t>
            </w:r>
          </w:p>
        </w:tc>
      </w:tr>
      <w:tr w:rsidR="0011048D" w:rsidRPr="00A2432B" w14:paraId="4E2E4CBE" w14:textId="77777777" w:rsidTr="001A26A3">
        <w:trPr>
          <w:trHeight w:val="288"/>
        </w:trPr>
        <w:tc>
          <w:tcPr>
            <w:tcW w:w="3402" w:type="dxa"/>
            <w:tcBorders>
              <w:top w:val="nil"/>
              <w:left w:val="nil"/>
              <w:bottom w:val="single" w:sz="12" w:space="0" w:color="auto"/>
              <w:right w:val="nil"/>
            </w:tcBorders>
            <w:shd w:val="clear" w:color="auto" w:fill="auto"/>
            <w:noWrap/>
            <w:hideMark/>
          </w:tcPr>
          <w:p w14:paraId="4A3DF63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Presence of PAs (1)</w:t>
            </w:r>
          </w:p>
        </w:tc>
        <w:tc>
          <w:tcPr>
            <w:tcW w:w="993" w:type="dxa"/>
            <w:tcBorders>
              <w:top w:val="nil"/>
              <w:left w:val="nil"/>
              <w:bottom w:val="single" w:sz="12" w:space="0" w:color="auto"/>
              <w:right w:val="nil"/>
            </w:tcBorders>
            <w:shd w:val="clear" w:color="auto" w:fill="auto"/>
            <w:noWrap/>
            <w:hideMark/>
          </w:tcPr>
          <w:p w14:paraId="461B625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single" w:sz="12" w:space="0" w:color="auto"/>
              <w:right w:val="nil"/>
            </w:tcBorders>
            <w:shd w:val="clear" w:color="auto" w:fill="auto"/>
            <w:noWrap/>
            <w:hideMark/>
          </w:tcPr>
          <w:p w14:paraId="23986C96"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single" w:sz="12" w:space="0" w:color="auto"/>
              <w:right w:val="nil"/>
            </w:tcBorders>
            <w:shd w:val="clear" w:color="auto" w:fill="auto"/>
            <w:noWrap/>
            <w:hideMark/>
          </w:tcPr>
          <w:p w14:paraId="298A8D30"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2.8063</w:t>
            </w:r>
          </w:p>
        </w:tc>
        <w:tc>
          <w:tcPr>
            <w:tcW w:w="850" w:type="dxa"/>
            <w:tcBorders>
              <w:top w:val="nil"/>
              <w:left w:val="nil"/>
              <w:bottom w:val="single" w:sz="12" w:space="0" w:color="auto"/>
              <w:right w:val="nil"/>
            </w:tcBorders>
            <w:shd w:val="clear" w:color="auto" w:fill="auto"/>
            <w:noWrap/>
            <w:hideMark/>
          </w:tcPr>
          <w:p w14:paraId="435723FC"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0.4965</w:t>
            </w:r>
          </w:p>
        </w:tc>
        <w:tc>
          <w:tcPr>
            <w:tcW w:w="850" w:type="dxa"/>
            <w:tcBorders>
              <w:top w:val="nil"/>
              <w:left w:val="nil"/>
              <w:bottom w:val="single" w:sz="12" w:space="0" w:color="auto"/>
              <w:right w:val="nil"/>
            </w:tcBorders>
          </w:tcPr>
          <w:p w14:paraId="010C413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1.643</w:t>
            </w:r>
          </w:p>
        </w:tc>
      </w:tr>
    </w:tbl>
    <w:p w14:paraId="61430198" w14:textId="77777777" w:rsidR="0011048D" w:rsidRPr="00A66892" w:rsidRDefault="0011048D" w:rsidP="0011048D">
      <w:pPr>
        <w:rPr>
          <w:sz w:val="18"/>
          <w:szCs w:val="18"/>
        </w:rPr>
      </w:pPr>
      <w:r w:rsidRPr="00A66892">
        <w:rPr>
          <w:i/>
          <w:iCs/>
          <w:sz w:val="24"/>
          <w:szCs w:val="24"/>
          <w:vertAlign w:val="superscript"/>
        </w:rPr>
        <w:t>a</w:t>
      </w:r>
      <w:r w:rsidRPr="00A66892">
        <w:rPr>
          <w:sz w:val="18"/>
          <w:szCs w:val="18"/>
        </w:rPr>
        <w:t xml:space="preserve"> Rate ratio = exp(coefficient) </w:t>
      </w:r>
    </w:p>
    <w:p w14:paraId="63B1C71F" w14:textId="39A28F21" w:rsidR="00D6664E" w:rsidRDefault="00D6664E">
      <w:pPr>
        <w:rPr>
          <w:b/>
          <w:bCs/>
        </w:rPr>
      </w:pPr>
    </w:p>
    <w:p w14:paraId="2C59AEF2" w14:textId="0799381C" w:rsidR="0011048D" w:rsidRDefault="0011048D">
      <w:pPr>
        <w:rPr>
          <w:b/>
          <w:bCs/>
        </w:rPr>
      </w:pPr>
    </w:p>
    <w:p w14:paraId="1C0A3482" w14:textId="4E8D2AC1" w:rsidR="0011048D" w:rsidRDefault="0011048D">
      <w:pPr>
        <w:rPr>
          <w:b/>
          <w:bCs/>
        </w:rPr>
      </w:pPr>
    </w:p>
    <w:p w14:paraId="18AE0B8D" w14:textId="4A8DEC37" w:rsidR="0011048D" w:rsidRDefault="0011048D">
      <w:pPr>
        <w:rPr>
          <w:noProof/>
          <w:lang w:eastAsia="en-GB"/>
        </w:rPr>
      </w:pPr>
      <w:r>
        <w:rPr>
          <w:noProof/>
          <w:lang w:eastAsia="en-GB"/>
        </w:rPr>
        <w:lastRenderedPageBreak/>
        <w:drawing>
          <wp:inline distT="0" distB="0" distL="0" distR="0" wp14:anchorId="1297CA35" wp14:editId="20F0167D">
            <wp:extent cx="5731510" cy="4460240"/>
            <wp:effectExtent l="0" t="0" r="254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4460240"/>
                    </a:xfrm>
                    <a:prstGeom prst="rect">
                      <a:avLst/>
                    </a:prstGeom>
                    <a:noFill/>
                    <a:ln>
                      <a:noFill/>
                    </a:ln>
                  </pic:spPr>
                </pic:pic>
              </a:graphicData>
            </a:graphic>
          </wp:inline>
        </w:drawing>
      </w:r>
    </w:p>
    <w:p w14:paraId="327249DC" w14:textId="77777777" w:rsidR="0011048D" w:rsidRDefault="0011048D" w:rsidP="0011048D">
      <w:pPr>
        <w:rPr>
          <w:b/>
          <w:bCs/>
          <w:sz w:val="20"/>
          <w:szCs w:val="20"/>
        </w:rPr>
      </w:pPr>
      <w:r w:rsidRPr="00591618">
        <w:rPr>
          <w:b/>
          <w:bCs/>
          <w:sz w:val="20"/>
          <w:szCs w:val="20"/>
        </w:rPr>
        <w:t xml:space="preserve">Figure </w:t>
      </w:r>
      <w:r>
        <w:rPr>
          <w:b/>
          <w:bCs/>
          <w:sz w:val="20"/>
          <w:szCs w:val="20"/>
        </w:rPr>
        <w:t>5</w:t>
      </w:r>
      <w:r w:rsidRPr="00591618">
        <w:rPr>
          <w:b/>
          <w:bCs/>
          <w:sz w:val="20"/>
          <w:szCs w:val="20"/>
        </w:rPr>
        <w:t xml:space="preserve">. </w:t>
      </w:r>
      <w:commentRangeStart w:id="0"/>
      <w:r w:rsidRPr="00591618">
        <w:rPr>
          <w:b/>
          <w:bCs/>
          <w:sz w:val="20"/>
          <w:szCs w:val="20"/>
        </w:rPr>
        <w:t xml:space="preserve">Predicted </w:t>
      </w:r>
      <w:commentRangeEnd w:id="0"/>
      <w:r>
        <w:rPr>
          <w:rStyle w:val="CommentReference"/>
        </w:rPr>
        <w:commentReference w:id="0"/>
      </w:r>
      <w:r w:rsidRPr="00591618">
        <w:rPr>
          <w:b/>
          <w:bCs/>
          <w:sz w:val="20"/>
          <w:szCs w:val="20"/>
        </w:rPr>
        <w:t>relationships (red lines) between socioeconomic variables and forest cover in Cambodia between 2007 – 2012 from the top commune-level model. Predictions are ‘global’ i.e., all random effects were set to their mean values, and thus predictions are not for any specific commune. Black dots are the raw data points of each predictor versus forest cover.</w:t>
      </w:r>
    </w:p>
    <w:p w14:paraId="41ABCD4D" w14:textId="0D2CB813" w:rsidR="0011048D" w:rsidRDefault="0011048D" w:rsidP="0011048D"/>
    <w:p w14:paraId="079E5C71" w14:textId="4AF745B8" w:rsidR="0011048D" w:rsidRDefault="0011048D" w:rsidP="0011048D">
      <w:pPr>
        <w:rPr>
          <w:noProof/>
          <w:lang w:eastAsia="en-GB"/>
        </w:rPr>
      </w:pPr>
      <w:r>
        <w:rPr>
          <w:noProof/>
          <w:lang w:eastAsia="en-GB"/>
        </w:rPr>
        <w:lastRenderedPageBreak/>
        <w:drawing>
          <wp:inline distT="0" distB="0" distL="0" distR="0" wp14:anchorId="6184219F" wp14:editId="17A71559">
            <wp:extent cx="5731510" cy="5731510"/>
            <wp:effectExtent l="0" t="0" r="2540" b="2540"/>
            <wp:docPr id="5" name="Picture 5" descr="Diagram,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hape, arrow&#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3D87D270" w14:textId="77777777" w:rsidR="0011048D" w:rsidRDefault="0011048D" w:rsidP="0011048D">
      <w:pPr>
        <w:rPr>
          <w:b/>
          <w:bCs/>
          <w:sz w:val="20"/>
          <w:szCs w:val="20"/>
        </w:rPr>
      </w:pPr>
      <w:r w:rsidRPr="00CC10DE">
        <w:rPr>
          <w:b/>
          <w:bCs/>
          <w:sz w:val="20"/>
          <w:szCs w:val="20"/>
        </w:rPr>
        <w:t xml:space="preserve">Figure </w:t>
      </w:r>
      <w:r>
        <w:rPr>
          <w:b/>
          <w:bCs/>
          <w:sz w:val="20"/>
          <w:szCs w:val="20"/>
        </w:rPr>
        <w:t>6</w:t>
      </w:r>
      <w:r w:rsidRPr="00CC10DE">
        <w:rPr>
          <w:b/>
          <w:bCs/>
          <w:sz w:val="20"/>
          <w:szCs w:val="20"/>
        </w:rPr>
        <w:t>. Predicted relationships between population density and forest cover within Cambodian provinces between 2007 – 2012 using the top commune-level model. Faded grey lines are the predictions for each individual commune within each province. Black lines are the mean provincial predictions, which were computed using the 50% quantile from all commune predictions.</w:t>
      </w:r>
      <w:r>
        <w:rPr>
          <w:b/>
          <w:bCs/>
          <w:sz w:val="20"/>
          <w:szCs w:val="20"/>
        </w:rPr>
        <w:t xml:space="preserve"> Plot panels have non-standard y axis ranges.</w:t>
      </w:r>
    </w:p>
    <w:p w14:paraId="0B3A8EEB" w14:textId="1BC86002" w:rsidR="0011048D" w:rsidRDefault="0011048D" w:rsidP="0011048D">
      <w:pPr>
        <w:rPr>
          <w:noProof/>
          <w:lang w:eastAsia="en-GB"/>
        </w:rPr>
      </w:pPr>
      <w:r>
        <w:rPr>
          <w:noProof/>
          <w:lang w:eastAsia="en-GB"/>
        </w:rPr>
        <w:lastRenderedPageBreak/>
        <w:drawing>
          <wp:inline distT="0" distB="0" distL="0" distR="0" wp14:anchorId="31107EB8" wp14:editId="60DA324E">
            <wp:extent cx="5272644" cy="5272644"/>
            <wp:effectExtent l="0" t="0" r="4445" b="4445"/>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7264" cy="5277264"/>
                    </a:xfrm>
                    <a:prstGeom prst="rect">
                      <a:avLst/>
                    </a:prstGeom>
                    <a:noFill/>
                    <a:ln>
                      <a:noFill/>
                    </a:ln>
                  </pic:spPr>
                </pic:pic>
              </a:graphicData>
            </a:graphic>
          </wp:inline>
        </w:drawing>
      </w:r>
    </w:p>
    <w:p w14:paraId="36553963" w14:textId="77777777" w:rsidR="0011048D" w:rsidRDefault="0011048D" w:rsidP="0011048D">
      <w:pPr>
        <w:rPr>
          <w:b/>
          <w:bCs/>
          <w:sz w:val="20"/>
          <w:szCs w:val="20"/>
        </w:rPr>
      </w:pPr>
      <w:commentRangeStart w:id="1"/>
      <w:r w:rsidRPr="00BA3DF2">
        <w:rPr>
          <w:b/>
          <w:bCs/>
          <w:sz w:val="20"/>
          <w:szCs w:val="20"/>
        </w:rPr>
        <w:t xml:space="preserve">Figure </w:t>
      </w:r>
      <w:r>
        <w:rPr>
          <w:b/>
          <w:bCs/>
          <w:sz w:val="20"/>
          <w:szCs w:val="20"/>
        </w:rPr>
        <w:t>7</w:t>
      </w:r>
      <w:r w:rsidRPr="00BA3DF2">
        <w:rPr>
          <w:b/>
          <w:bCs/>
          <w:sz w:val="20"/>
          <w:szCs w:val="20"/>
        </w:rPr>
        <w:t>.</w:t>
      </w:r>
      <w:commentRangeEnd w:id="1"/>
      <w:r w:rsidR="00AF7E60">
        <w:rPr>
          <w:rStyle w:val="CommentReference"/>
        </w:rPr>
        <w:commentReference w:id="1"/>
      </w:r>
      <w:r w:rsidRPr="00BA3DF2">
        <w:rPr>
          <w:b/>
          <w:bCs/>
          <w:sz w:val="20"/>
          <w:szCs w:val="20"/>
        </w:rPr>
        <w:t xml:space="preserve"> Predicted forest cover within each Cambodian province given high and low levels of school attendance (males aged 6 – 24 in school) from the top province-level model. All other variables in the model were set to their reference level (distance to school = low, elevation = low, distance to international border = low, distance to provincial capital = low, economic land concession = yes, protected area = yes). </w:t>
      </w:r>
    </w:p>
    <w:p w14:paraId="7117E3B9" w14:textId="0228F84A" w:rsidR="0011048D" w:rsidRDefault="0011048D" w:rsidP="0011048D">
      <w:r>
        <w:rPr>
          <w:noProof/>
          <w:lang w:eastAsia="en-GB"/>
        </w:rPr>
        <w:lastRenderedPageBreak/>
        <w:drawing>
          <wp:inline distT="0" distB="0" distL="0" distR="0" wp14:anchorId="3FD24F3A" wp14:editId="304408E0">
            <wp:extent cx="5731510" cy="5731510"/>
            <wp:effectExtent l="0" t="0" r="2540" b="2540"/>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4A444957" w14:textId="4DEB0D62" w:rsidR="0011048D" w:rsidRDefault="0011048D" w:rsidP="0011048D">
      <w:pPr>
        <w:rPr>
          <w:b/>
          <w:bCs/>
          <w:sz w:val="20"/>
          <w:szCs w:val="20"/>
        </w:rPr>
      </w:pPr>
      <w:commentRangeStart w:id="2"/>
      <w:r w:rsidRPr="00BA3DF2">
        <w:rPr>
          <w:b/>
          <w:bCs/>
          <w:sz w:val="20"/>
          <w:szCs w:val="20"/>
        </w:rPr>
        <w:t xml:space="preserve">Figure </w:t>
      </w:r>
      <w:r>
        <w:rPr>
          <w:b/>
          <w:bCs/>
          <w:sz w:val="20"/>
          <w:szCs w:val="20"/>
        </w:rPr>
        <w:t>8</w:t>
      </w:r>
      <w:commentRangeEnd w:id="2"/>
      <w:r w:rsidR="00AF7E60">
        <w:rPr>
          <w:rStyle w:val="CommentReference"/>
        </w:rPr>
        <w:commentReference w:id="2"/>
      </w:r>
      <w:r w:rsidRPr="00BA3DF2">
        <w:rPr>
          <w:b/>
          <w:bCs/>
          <w:sz w:val="20"/>
          <w:szCs w:val="20"/>
        </w:rPr>
        <w:t xml:space="preserve">. Predicted forest cover within each Cambodian province given high and low </w:t>
      </w:r>
      <w:r>
        <w:rPr>
          <w:b/>
          <w:bCs/>
          <w:sz w:val="20"/>
          <w:szCs w:val="20"/>
        </w:rPr>
        <w:t xml:space="preserve">distances to the nearest school </w:t>
      </w:r>
      <w:r w:rsidRPr="00BA3DF2">
        <w:rPr>
          <w:b/>
          <w:bCs/>
          <w:sz w:val="20"/>
          <w:szCs w:val="20"/>
        </w:rPr>
        <w:t>from the top province-level model. All other variables in the model were set to their reference level (</w:t>
      </w:r>
      <w:r>
        <w:rPr>
          <w:b/>
          <w:bCs/>
          <w:sz w:val="20"/>
          <w:szCs w:val="20"/>
        </w:rPr>
        <w:t>school attendance</w:t>
      </w:r>
      <w:r w:rsidRPr="00BA3DF2">
        <w:rPr>
          <w:b/>
          <w:bCs/>
          <w:sz w:val="20"/>
          <w:szCs w:val="20"/>
        </w:rPr>
        <w:t xml:space="preserve"> = low, elevation = low, distance to international border = low, distance to provincial capital = low, economic land concession = yes, protected area = yes). </w:t>
      </w:r>
    </w:p>
    <w:p w14:paraId="4D6D3F11" w14:textId="7319608A" w:rsidR="0011048D" w:rsidRDefault="0011048D" w:rsidP="0011048D">
      <w:pPr>
        <w:rPr>
          <w:b/>
          <w:bCs/>
          <w:sz w:val="20"/>
          <w:szCs w:val="20"/>
        </w:rPr>
      </w:pPr>
    </w:p>
    <w:p w14:paraId="2F998785" w14:textId="2FF0B6AF" w:rsidR="0011048D" w:rsidRDefault="0011048D" w:rsidP="0011048D">
      <w:pPr>
        <w:rPr>
          <w:b/>
          <w:bCs/>
          <w:sz w:val="20"/>
          <w:szCs w:val="20"/>
        </w:rPr>
      </w:pPr>
    </w:p>
    <w:p w14:paraId="409D2859" w14:textId="6821B0D3" w:rsidR="0011048D" w:rsidRDefault="0011048D" w:rsidP="0011048D">
      <w:pPr>
        <w:rPr>
          <w:b/>
          <w:bCs/>
          <w:sz w:val="20"/>
          <w:szCs w:val="20"/>
        </w:rPr>
      </w:pPr>
    </w:p>
    <w:p w14:paraId="6F898E54" w14:textId="0B261A24" w:rsidR="0011048D" w:rsidRDefault="0011048D" w:rsidP="0011048D">
      <w:pPr>
        <w:rPr>
          <w:b/>
          <w:bCs/>
          <w:sz w:val="20"/>
          <w:szCs w:val="20"/>
        </w:rPr>
      </w:pPr>
    </w:p>
    <w:p w14:paraId="4FC580AA" w14:textId="66E5CC54" w:rsidR="0011048D" w:rsidRDefault="0011048D" w:rsidP="0011048D">
      <w:pPr>
        <w:rPr>
          <w:b/>
          <w:bCs/>
          <w:sz w:val="20"/>
          <w:szCs w:val="20"/>
        </w:rPr>
      </w:pPr>
    </w:p>
    <w:p w14:paraId="18DC92CD" w14:textId="60F8859B" w:rsidR="0011048D" w:rsidRDefault="0011048D" w:rsidP="0011048D">
      <w:pPr>
        <w:rPr>
          <w:b/>
          <w:bCs/>
          <w:sz w:val="20"/>
          <w:szCs w:val="20"/>
        </w:rPr>
      </w:pPr>
    </w:p>
    <w:p w14:paraId="392A81EC" w14:textId="2EC702D1" w:rsidR="0011048D" w:rsidRDefault="0011048D" w:rsidP="0011048D">
      <w:pPr>
        <w:rPr>
          <w:b/>
          <w:bCs/>
          <w:sz w:val="20"/>
          <w:szCs w:val="20"/>
        </w:rPr>
      </w:pPr>
    </w:p>
    <w:p w14:paraId="23C3DBBA" w14:textId="77777777" w:rsidR="0011048D" w:rsidRDefault="0011048D" w:rsidP="0011048D">
      <w:pPr>
        <w:rPr>
          <w:b/>
          <w:bCs/>
          <w:sz w:val="20"/>
          <w:szCs w:val="20"/>
        </w:rPr>
      </w:pPr>
    </w:p>
    <w:p w14:paraId="78C9DE29" w14:textId="6B1BDD41" w:rsidR="0011048D" w:rsidRDefault="0011048D" w:rsidP="0011048D">
      <w:pPr>
        <w:ind w:firstLine="720"/>
      </w:pPr>
      <w:r>
        <w:rPr>
          <w:noProof/>
          <w:lang w:eastAsia="en-GB"/>
        </w:rPr>
        <w:lastRenderedPageBreak/>
        <w:drawing>
          <wp:anchor distT="0" distB="0" distL="114300" distR="114300" simplePos="0" relativeHeight="251659264" behindDoc="1" locked="0" layoutInCell="1" allowOverlap="1" wp14:anchorId="73EB6D50" wp14:editId="29CD8EC6">
            <wp:simplePos x="0" y="0"/>
            <wp:positionH relativeFrom="column">
              <wp:posOffset>0</wp:posOffset>
            </wp:positionH>
            <wp:positionV relativeFrom="paragraph">
              <wp:posOffset>0</wp:posOffset>
            </wp:positionV>
            <wp:extent cx="5731510" cy="5731510"/>
            <wp:effectExtent l="0" t="0" r="2540" b="2540"/>
            <wp:wrapNone/>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040445" w14:textId="15EBAC10" w:rsidR="0011048D" w:rsidRPr="0011048D" w:rsidRDefault="0011048D" w:rsidP="0011048D"/>
    <w:p w14:paraId="0D3494EB" w14:textId="3541AA34" w:rsidR="0011048D" w:rsidRPr="0011048D" w:rsidRDefault="0011048D" w:rsidP="0011048D"/>
    <w:p w14:paraId="332B5486" w14:textId="20566509" w:rsidR="0011048D" w:rsidRPr="0011048D" w:rsidRDefault="0011048D" w:rsidP="0011048D"/>
    <w:p w14:paraId="2D6EC145" w14:textId="0CF933FC" w:rsidR="0011048D" w:rsidRPr="0011048D" w:rsidRDefault="0011048D" w:rsidP="0011048D"/>
    <w:p w14:paraId="4F4BFBB3" w14:textId="3103E1DD" w:rsidR="0011048D" w:rsidRPr="0011048D" w:rsidRDefault="0011048D" w:rsidP="0011048D"/>
    <w:p w14:paraId="7CFC9AF9" w14:textId="01D22B70" w:rsidR="0011048D" w:rsidRPr="0011048D" w:rsidRDefault="0011048D" w:rsidP="0011048D"/>
    <w:p w14:paraId="76D9073B" w14:textId="7EF74E54" w:rsidR="0011048D" w:rsidRPr="0011048D" w:rsidRDefault="0011048D" w:rsidP="0011048D"/>
    <w:p w14:paraId="7084F302" w14:textId="376B95BA" w:rsidR="0011048D" w:rsidRPr="0011048D" w:rsidRDefault="0011048D" w:rsidP="0011048D"/>
    <w:p w14:paraId="355BE01B" w14:textId="20B135FD" w:rsidR="0011048D" w:rsidRPr="0011048D" w:rsidRDefault="0011048D" w:rsidP="0011048D"/>
    <w:p w14:paraId="4970FE01" w14:textId="0ECD5711" w:rsidR="0011048D" w:rsidRPr="0011048D" w:rsidRDefault="0011048D" w:rsidP="0011048D"/>
    <w:p w14:paraId="7691CD76" w14:textId="5284211A" w:rsidR="0011048D" w:rsidRPr="0011048D" w:rsidRDefault="0011048D" w:rsidP="0011048D"/>
    <w:p w14:paraId="31F6B864" w14:textId="610C94EA" w:rsidR="0011048D" w:rsidRPr="0011048D" w:rsidRDefault="0011048D" w:rsidP="0011048D"/>
    <w:p w14:paraId="3AB9C4E0" w14:textId="03C2A67C" w:rsidR="0011048D" w:rsidRPr="0011048D" w:rsidRDefault="0011048D" w:rsidP="0011048D"/>
    <w:p w14:paraId="5D79A61B" w14:textId="1EE64974" w:rsidR="0011048D" w:rsidRPr="0011048D" w:rsidRDefault="0011048D" w:rsidP="0011048D"/>
    <w:p w14:paraId="039CB359" w14:textId="2D990665" w:rsidR="0011048D" w:rsidRPr="0011048D" w:rsidRDefault="0011048D" w:rsidP="0011048D"/>
    <w:p w14:paraId="629718D8" w14:textId="59A11399" w:rsidR="0011048D" w:rsidRPr="0011048D" w:rsidRDefault="0011048D" w:rsidP="0011048D"/>
    <w:p w14:paraId="1379BB76" w14:textId="40196067" w:rsidR="0011048D" w:rsidRPr="0011048D" w:rsidRDefault="0011048D" w:rsidP="0011048D"/>
    <w:p w14:paraId="289434A6" w14:textId="58B486FD" w:rsidR="0011048D" w:rsidRPr="0011048D" w:rsidRDefault="0011048D" w:rsidP="0011048D"/>
    <w:p w14:paraId="20AB8B14" w14:textId="700338B5" w:rsidR="0011048D" w:rsidRDefault="0011048D" w:rsidP="0011048D"/>
    <w:p w14:paraId="066658F7" w14:textId="77777777" w:rsidR="0011048D" w:rsidRPr="008850DC" w:rsidRDefault="0011048D" w:rsidP="0011048D">
      <w:pPr>
        <w:rPr>
          <w:b/>
          <w:bCs/>
          <w:sz w:val="20"/>
          <w:szCs w:val="20"/>
        </w:rPr>
      </w:pPr>
      <w:commentRangeStart w:id="3"/>
      <w:r w:rsidRPr="008850DC">
        <w:rPr>
          <w:b/>
          <w:bCs/>
          <w:sz w:val="20"/>
          <w:szCs w:val="20"/>
        </w:rPr>
        <w:t xml:space="preserve">Figure </w:t>
      </w:r>
      <w:r>
        <w:rPr>
          <w:b/>
          <w:bCs/>
          <w:sz w:val="20"/>
          <w:szCs w:val="20"/>
        </w:rPr>
        <w:t>9</w:t>
      </w:r>
      <w:commentRangeEnd w:id="3"/>
      <w:r w:rsidR="00AF7E60">
        <w:rPr>
          <w:rStyle w:val="CommentReference"/>
        </w:rPr>
        <w:commentReference w:id="3"/>
      </w:r>
      <w:r w:rsidRPr="008850DC">
        <w:rPr>
          <w:b/>
          <w:bCs/>
          <w:sz w:val="20"/>
          <w:szCs w:val="20"/>
        </w:rPr>
        <w:t>. Cambodian provinces clustered based on socioeconomics. Data were averaged across the study period 2007 – 2012. Variables included were total population, population density, number of land conflict cases, number of criminal cases per capita, number of in- and out-migrants, the proportion of the population classified as indigenous, proportion of males aged 6 – 24 in school, proportion of the population employed in the primary and secondary sectors, proportion of families with no access to agricultural land, proportion of families who kept pigs, distance to the nearest school, proportion of families with access to waste collection, and distance to the commune (administrative) centre. The clustering method was unweighted pair-group using arithmetic averages (UPGMA).</w:t>
      </w:r>
    </w:p>
    <w:p w14:paraId="46A36BAB" w14:textId="316DE989" w:rsidR="0011048D" w:rsidRDefault="0011048D" w:rsidP="0011048D"/>
    <w:p w14:paraId="60A4F8BF" w14:textId="33E79845" w:rsidR="0011048D" w:rsidRDefault="0011048D" w:rsidP="0011048D"/>
    <w:p w14:paraId="56C96396" w14:textId="06FE4724" w:rsidR="0011048D" w:rsidRDefault="0011048D" w:rsidP="0011048D"/>
    <w:p w14:paraId="63FBD4CB" w14:textId="4F1F49BC" w:rsidR="0011048D" w:rsidRDefault="0011048D" w:rsidP="0011048D"/>
    <w:p w14:paraId="7E5C90E7" w14:textId="402FE56E" w:rsidR="0011048D" w:rsidRDefault="0011048D" w:rsidP="0011048D"/>
    <w:p w14:paraId="08817C04" w14:textId="6A7F4AC4" w:rsidR="0011048D" w:rsidRDefault="0011048D" w:rsidP="0011048D"/>
    <w:p w14:paraId="30642C94" w14:textId="69CE143E" w:rsidR="0011048D" w:rsidRDefault="0011048D" w:rsidP="0011048D">
      <w:r>
        <w:rPr>
          <w:noProof/>
          <w:lang w:eastAsia="en-GB"/>
        </w:rPr>
        <w:lastRenderedPageBreak/>
        <w:drawing>
          <wp:anchor distT="0" distB="0" distL="114300" distR="114300" simplePos="0" relativeHeight="251661312" behindDoc="1" locked="0" layoutInCell="1" allowOverlap="1" wp14:anchorId="6CF6B1EC" wp14:editId="4F14AA43">
            <wp:simplePos x="0" y="0"/>
            <wp:positionH relativeFrom="margin">
              <wp:posOffset>0</wp:posOffset>
            </wp:positionH>
            <wp:positionV relativeFrom="paragraph">
              <wp:posOffset>0</wp:posOffset>
            </wp:positionV>
            <wp:extent cx="6614555" cy="6614555"/>
            <wp:effectExtent l="0" t="0" r="0" b="0"/>
            <wp:wrapNone/>
            <wp:docPr id="8" name="Picture 8"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Map&#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623672" cy="662367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EB7AB9" w14:textId="52900B1A" w:rsidR="0011048D" w:rsidRPr="0011048D" w:rsidRDefault="0011048D" w:rsidP="0011048D"/>
    <w:p w14:paraId="7B06C71F" w14:textId="4E11F8EE" w:rsidR="0011048D" w:rsidRPr="0011048D" w:rsidRDefault="0011048D" w:rsidP="0011048D"/>
    <w:p w14:paraId="2287A84A" w14:textId="494FF2F4" w:rsidR="0011048D" w:rsidRPr="0011048D" w:rsidRDefault="0011048D" w:rsidP="0011048D"/>
    <w:p w14:paraId="1B284CD7" w14:textId="7418918B" w:rsidR="0011048D" w:rsidRPr="0011048D" w:rsidRDefault="0011048D" w:rsidP="0011048D"/>
    <w:p w14:paraId="6D947F99" w14:textId="74F00564" w:rsidR="0011048D" w:rsidRPr="0011048D" w:rsidRDefault="0011048D" w:rsidP="0011048D"/>
    <w:p w14:paraId="370BD46D" w14:textId="5BE12041" w:rsidR="0011048D" w:rsidRPr="0011048D" w:rsidRDefault="0011048D" w:rsidP="0011048D"/>
    <w:p w14:paraId="669F4277" w14:textId="06C5BBCE" w:rsidR="0011048D" w:rsidRPr="0011048D" w:rsidRDefault="0011048D" w:rsidP="0011048D"/>
    <w:p w14:paraId="6AC288E1" w14:textId="4409FEAC" w:rsidR="0011048D" w:rsidRPr="0011048D" w:rsidRDefault="0011048D" w:rsidP="0011048D"/>
    <w:p w14:paraId="4E7BEBA5" w14:textId="030BE6A5" w:rsidR="0011048D" w:rsidRPr="0011048D" w:rsidRDefault="0011048D" w:rsidP="0011048D"/>
    <w:p w14:paraId="7A9C0947" w14:textId="4F1CD19F" w:rsidR="0011048D" w:rsidRPr="0011048D" w:rsidRDefault="0011048D" w:rsidP="0011048D"/>
    <w:p w14:paraId="1FA28FAA" w14:textId="3A6E2A80" w:rsidR="0011048D" w:rsidRPr="0011048D" w:rsidRDefault="0011048D" w:rsidP="0011048D"/>
    <w:p w14:paraId="2F613DC1" w14:textId="408AD301" w:rsidR="0011048D" w:rsidRPr="0011048D" w:rsidRDefault="0011048D" w:rsidP="0011048D"/>
    <w:p w14:paraId="28CDA88E" w14:textId="74C8053B" w:rsidR="0011048D" w:rsidRPr="0011048D" w:rsidRDefault="0011048D" w:rsidP="0011048D"/>
    <w:p w14:paraId="387DAABC" w14:textId="480BC357" w:rsidR="0011048D" w:rsidRPr="0011048D" w:rsidRDefault="0011048D" w:rsidP="0011048D"/>
    <w:p w14:paraId="0651C0AB" w14:textId="09590E5B" w:rsidR="0011048D" w:rsidRPr="0011048D" w:rsidRDefault="0011048D" w:rsidP="0011048D"/>
    <w:p w14:paraId="38886F4F" w14:textId="6522F0A8" w:rsidR="0011048D" w:rsidRPr="0011048D" w:rsidRDefault="0011048D" w:rsidP="0011048D"/>
    <w:p w14:paraId="08773766" w14:textId="6094F9C7" w:rsidR="0011048D" w:rsidRPr="0011048D" w:rsidRDefault="0011048D" w:rsidP="0011048D"/>
    <w:p w14:paraId="4E3F2A33" w14:textId="6842B75F" w:rsidR="0011048D" w:rsidRPr="0011048D" w:rsidRDefault="0011048D" w:rsidP="0011048D"/>
    <w:p w14:paraId="6281B756" w14:textId="256359CD" w:rsidR="0011048D" w:rsidRPr="0011048D" w:rsidRDefault="0011048D" w:rsidP="0011048D"/>
    <w:p w14:paraId="6F78D51A" w14:textId="0994392A" w:rsidR="0011048D" w:rsidRPr="0011048D" w:rsidRDefault="0011048D" w:rsidP="0011048D"/>
    <w:p w14:paraId="1661B755" w14:textId="3DC2FEC3" w:rsidR="0011048D" w:rsidRPr="0011048D" w:rsidRDefault="0011048D" w:rsidP="0011048D"/>
    <w:p w14:paraId="7CB4523B" w14:textId="2CC3A802" w:rsidR="0011048D" w:rsidRPr="0011048D" w:rsidRDefault="0011048D" w:rsidP="0011048D"/>
    <w:p w14:paraId="4EC1F58F" w14:textId="77777777" w:rsidR="0011048D" w:rsidRPr="00154653" w:rsidRDefault="0011048D" w:rsidP="0011048D">
      <w:pPr>
        <w:rPr>
          <w:b/>
          <w:bCs/>
          <w:sz w:val="20"/>
          <w:szCs w:val="20"/>
        </w:rPr>
      </w:pPr>
      <w:r w:rsidRPr="00154653">
        <w:rPr>
          <w:b/>
          <w:bCs/>
          <w:sz w:val="20"/>
          <w:szCs w:val="20"/>
        </w:rPr>
        <w:t xml:space="preserve">Figure </w:t>
      </w:r>
      <w:r>
        <w:rPr>
          <w:b/>
          <w:bCs/>
          <w:sz w:val="20"/>
          <w:szCs w:val="20"/>
        </w:rPr>
        <w:t>10</w:t>
      </w:r>
      <w:r w:rsidRPr="00154653">
        <w:rPr>
          <w:b/>
          <w:bCs/>
          <w:sz w:val="20"/>
          <w:szCs w:val="20"/>
        </w:rPr>
        <w:t>. Map of Cambodia showing the clusters resulting from the unweighted pair-group using arithmetic averages (UPGMA) method. Provinces are labelled.</w:t>
      </w:r>
      <w:r>
        <w:rPr>
          <w:b/>
          <w:bCs/>
          <w:sz w:val="20"/>
          <w:szCs w:val="20"/>
        </w:rPr>
        <w:t xml:space="preserve"> The upper white polygon is the Tonle Sap lake, and the lower white polygon is the city of Phnom Penh, both of which were excluded from the analysis.</w:t>
      </w:r>
    </w:p>
    <w:p w14:paraId="691110E4" w14:textId="39D5254C" w:rsidR="0011048D" w:rsidRDefault="0011048D" w:rsidP="0011048D"/>
    <w:p w14:paraId="41049F8A" w14:textId="69693D2F" w:rsidR="0011048D" w:rsidRDefault="0011048D" w:rsidP="0011048D"/>
    <w:p w14:paraId="055D1BEE" w14:textId="6005237E" w:rsidR="0011048D" w:rsidRDefault="0011048D" w:rsidP="0011048D"/>
    <w:p w14:paraId="402F9528" w14:textId="7C79E716" w:rsidR="0011048D" w:rsidRDefault="0011048D" w:rsidP="0011048D"/>
    <w:p w14:paraId="6BA322BD" w14:textId="6C788E4A" w:rsidR="0011048D" w:rsidRDefault="0011048D" w:rsidP="0011048D"/>
    <w:p w14:paraId="67F7A0CB" w14:textId="21E08BF3" w:rsidR="0011048D" w:rsidRDefault="0011048D" w:rsidP="0011048D"/>
    <w:p w14:paraId="3E65BAF3" w14:textId="510BA56A" w:rsidR="0011048D" w:rsidRDefault="0011048D" w:rsidP="0011048D">
      <w:r>
        <w:rPr>
          <w:noProof/>
          <w:lang w:eastAsia="en-GB"/>
        </w:rPr>
        <w:lastRenderedPageBreak/>
        <w:drawing>
          <wp:inline distT="0" distB="0" distL="0" distR="0" wp14:anchorId="2A2ECF59" wp14:editId="60D55515">
            <wp:extent cx="4933950" cy="4933950"/>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33950" cy="4933950"/>
                    </a:xfrm>
                    <a:prstGeom prst="rect">
                      <a:avLst/>
                    </a:prstGeom>
                    <a:noFill/>
                    <a:ln>
                      <a:noFill/>
                    </a:ln>
                  </pic:spPr>
                </pic:pic>
              </a:graphicData>
            </a:graphic>
          </wp:inline>
        </w:drawing>
      </w:r>
    </w:p>
    <w:p w14:paraId="1264C404" w14:textId="77777777" w:rsidR="0011048D" w:rsidRPr="001168E7" w:rsidRDefault="0011048D" w:rsidP="0011048D">
      <w:pPr>
        <w:rPr>
          <w:b/>
          <w:bCs/>
          <w:sz w:val="20"/>
          <w:szCs w:val="20"/>
        </w:rPr>
      </w:pPr>
      <w:commentRangeStart w:id="4"/>
      <w:r w:rsidRPr="001168E7">
        <w:rPr>
          <w:b/>
          <w:bCs/>
          <w:sz w:val="20"/>
          <w:szCs w:val="20"/>
        </w:rPr>
        <w:t xml:space="preserve">Figure </w:t>
      </w:r>
      <w:r>
        <w:rPr>
          <w:b/>
          <w:bCs/>
          <w:sz w:val="20"/>
          <w:szCs w:val="20"/>
        </w:rPr>
        <w:t>11</w:t>
      </w:r>
      <w:r w:rsidRPr="001168E7">
        <w:rPr>
          <w:b/>
          <w:bCs/>
          <w:sz w:val="20"/>
          <w:szCs w:val="20"/>
        </w:rPr>
        <w:t xml:space="preserve">. </w:t>
      </w:r>
      <w:commentRangeEnd w:id="4"/>
      <w:r w:rsidR="00AF7E60">
        <w:rPr>
          <w:rStyle w:val="CommentReference"/>
        </w:rPr>
        <w:commentReference w:id="4"/>
      </w:r>
      <w:r w:rsidRPr="001168E7">
        <w:rPr>
          <w:b/>
          <w:bCs/>
          <w:sz w:val="20"/>
          <w:szCs w:val="20"/>
        </w:rPr>
        <w:t>Heatmap showing the variable values for each cluster. Variables were categorised as “</w:t>
      </w:r>
      <w:proofErr w:type="spellStart"/>
      <w:r w:rsidRPr="001168E7">
        <w:rPr>
          <w:b/>
          <w:bCs/>
          <w:sz w:val="20"/>
          <w:szCs w:val="20"/>
        </w:rPr>
        <w:t>v.low</w:t>
      </w:r>
      <w:proofErr w:type="spellEnd"/>
      <w:r w:rsidRPr="001168E7">
        <w:rPr>
          <w:b/>
          <w:bCs/>
          <w:sz w:val="20"/>
          <w:szCs w:val="20"/>
        </w:rPr>
        <w:t>” if the mean (across provinces within that cluster) was below the 25% quantile for that variable across the whole country, “low” if the mean was above 25 and below 50%, “high” if the mean was above 50% but below 75%, and “</w:t>
      </w:r>
      <w:proofErr w:type="spellStart"/>
      <w:r w:rsidRPr="001168E7">
        <w:rPr>
          <w:b/>
          <w:bCs/>
          <w:sz w:val="20"/>
          <w:szCs w:val="20"/>
        </w:rPr>
        <w:t>v.high</w:t>
      </w:r>
      <w:proofErr w:type="spellEnd"/>
      <w:r w:rsidRPr="001168E7">
        <w:rPr>
          <w:b/>
          <w:bCs/>
          <w:sz w:val="20"/>
          <w:szCs w:val="20"/>
        </w:rPr>
        <w:t xml:space="preserve">” if the mean was above the 75% quantile. </w:t>
      </w:r>
      <w:proofErr w:type="spellStart"/>
      <w:r w:rsidRPr="001168E7">
        <w:rPr>
          <w:b/>
          <w:bCs/>
          <w:sz w:val="20"/>
          <w:szCs w:val="20"/>
        </w:rPr>
        <w:t>Pax_migt_out</w:t>
      </w:r>
      <w:proofErr w:type="spellEnd"/>
      <w:r w:rsidRPr="001168E7">
        <w:rPr>
          <w:b/>
          <w:bCs/>
          <w:sz w:val="20"/>
          <w:szCs w:val="20"/>
        </w:rPr>
        <w:t xml:space="preserve"> = numbers of out-migrants, </w:t>
      </w:r>
      <w:proofErr w:type="spellStart"/>
      <w:r w:rsidRPr="001168E7">
        <w:rPr>
          <w:b/>
          <w:bCs/>
          <w:sz w:val="20"/>
          <w:szCs w:val="20"/>
        </w:rPr>
        <w:t>Pax_migt_in</w:t>
      </w:r>
      <w:proofErr w:type="spellEnd"/>
      <w:r w:rsidRPr="001168E7">
        <w:rPr>
          <w:b/>
          <w:bCs/>
          <w:sz w:val="20"/>
          <w:szCs w:val="20"/>
        </w:rPr>
        <w:t xml:space="preserve"> = numbers of in-migrants, </w:t>
      </w:r>
      <w:proofErr w:type="spellStart"/>
      <w:r w:rsidRPr="001168E7">
        <w:rPr>
          <w:b/>
          <w:bCs/>
          <w:sz w:val="20"/>
          <w:szCs w:val="20"/>
        </w:rPr>
        <w:t>land_confl</w:t>
      </w:r>
      <w:proofErr w:type="spellEnd"/>
      <w:r w:rsidRPr="001168E7">
        <w:rPr>
          <w:b/>
          <w:bCs/>
          <w:sz w:val="20"/>
          <w:szCs w:val="20"/>
        </w:rPr>
        <w:t xml:space="preserve"> = number of land conflicts, </w:t>
      </w:r>
      <w:proofErr w:type="spellStart"/>
      <w:r w:rsidRPr="001168E7">
        <w:rPr>
          <w:b/>
          <w:bCs/>
          <w:sz w:val="20"/>
          <w:szCs w:val="20"/>
        </w:rPr>
        <w:t>crim_case</w:t>
      </w:r>
      <w:proofErr w:type="spellEnd"/>
      <w:r w:rsidRPr="001168E7">
        <w:rPr>
          <w:b/>
          <w:bCs/>
          <w:sz w:val="20"/>
          <w:szCs w:val="20"/>
        </w:rPr>
        <w:t xml:space="preserve"> = criminal cases per capita, </w:t>
      </w:r>
      <w:proofErr w:type="spellStart"/>
      <w:r w:rsidRPr="001168E7">
        <w:rPr>
          <w:b/>
          <w:bCs/>
          <w:sz w:val="20"/>
          <w:szCs w:val="20"/>
        </w:rPr>
        <w:t>KM_Comm</w:t>
      </w:r>
      <w:proofErr w:type="spellEnd"/>
      <w:r w:rsidRPr="001168E7">
        <w:rPr>
          <w:b/>
          <w:bCs/>
          <w:sz w:val="20"/>
          <w:szCs w:val="20"/>
        </w:rPr>
        <w:t xml:space="preserve"> = distance to commune office, garbage = proportion of families with access to waste collection, </w:t>
      </w:r>
      <w:proofErr w:type="spellStart"/>
      <w:r w:rsidRPr="001168E7">
        <w:rPr>
          <w:b/>
          <w:bCs/>
          <w:sz w:val="20"/>
          <w:szCs w:val="20"/>
        </w:rPr>
        <w:t>dist_school</w:t>
      </w:r>
      <w:proofErr w:type="spellEnd"/>
      <w:r w:rsidRPr="001168E7">
        <w:rPr>
          <w:b/>
          <w:bCs/>
          <w:sz w:val="20"/>
          <w:szCs w:val="20"/>
        </w:rPr>
        <w:t xml:space="preserve"> = distance to nearest school, </w:t>
      </w:r>
      <w:proofErr w:type="spellStart"/>
      <w:r w:rsidRPr="001168E7">
        <w:rPr>
          <w:b/>
          <w:bCs/>
          <w:sz w:val="20"/>
          <w:szCs w:val="20"/>
        </w:rPr>
        <w:t>pig_fam</w:t>
      </w:r>
      <w:proofErr w:type="spellEnd"/>
      <w:r w:rsidRPr="001168E7">
        <w:rPr>
          <w:b/>
          <w:bCs/>
          <w:sz w:val="20"/>
          <w:szCs w:val="20"/>
        </w:rPr>
        <w:t xml:space="preserve"> = proportion of families who keep pigs, Les1_R_Land = proportion of families with no rice land, </w:t>
      </w:r>
      <w:proofErr w:type="spellStart"/>
      <w:r w:rsidRPr="001168E7">
        <w:rPr>
          <w:b/>
          <w:bCs/>
          <w:sz w:val="20"/>
          <w:szCs w:val="20"/>
        </w:rPr>
        <w:t>propSecSec</w:t>
      </w:r>
      <w:proofErr w:type="spellEnd"/>
      <w:r w:rsidRPr="001168E7">
        <w:rPr>
          <w:b/>
          <w:bCs/>
          <w:sz w:val="20"/>
          <w:szCs w:val="20"/>
        </w:rPr>
        <w:t xml:space="preserve"> = proportion of adults employed in the secondary sector, </w:t>
      </w:r>
      <w:proofErr w:type="spellStart"/>
      <w:r w:rsidRPr="001168E7">
        <w:rPr>
          <w:b/>
          <w:bCs/>
          <w:sz w:val="20"/>
          <w:szCs w:val="20"/>
        </w:rPr>
        <w:t>propPrimSec</w:t>
      </w:r>
      <w:proofErr w:type="spellEnd"/>
      <w:r w:rsidRPr="001168E7">
        <w:rPr>
          <w:b/>
          <w:bCs/>
          <w:sz w:val="20"/>
          <w:szCs w:val="20"/>
        </w:rPr>
        <w:t xml:space="preserve"> = proportion of adults employed in the primary sector, M6_24_sch = proportion of males aged 6-24 in education, </w:t>
      </w:r>
      <w:proofErr w:type="spellStart"/>
      <w:r w:rsidRPr="001168E7">
        <w:rPr>
          <w:b/>
          <w:bCs/>
          <w:sz w:val="20"/>
          <w:szCs w:val="20"/>
        </w:rPr>
        <w:t>prop_ind</w:t>
      </w:r>
      <w:proofErr w:type="spellEnd"/>
      <w:r w:rsidRPr="001168E7">
        <w:rPr>
          <w:b/>
          <w:bCs/>
          <w:sz w:val="20"/>
          <w:szCs w:val="20"/>
        </w:rPr>
        <w:t xml:space="preserve"> = proportion of the population that is indigenous, </w:t>
      </w:r>
      <w:proofErr w:type="spellStart"/>
      <w:r w:rsidRPr="001168E7">
        <w:rPr>
          <w:b/>
          <w:bCs/>
          <w:sz w:val="20"/>
          <w:szCs w:val="20"/>
        </w:rPr>
        <w:t>pop_den</w:t>
      </w:r>
      <w:proofErr w:type="spellEnd"/>
      <w:r w:rsidRPr="001168E7">
        <w:rPr>
          <w:b/>
          <w:bCs/>
          <w:sz w:val="20"/>
          <w:szCs w:val="20"/>
        </w:rPr>
        <w:t xml:space="preserve"> = population density. </w:t>
      </w:r>
    </w:p>
    <w:p w14:paraId="46D5B01E" w14:textId="550E17FE" w:rsidR="0011048D" w:rsidRDefault="0011048D" w:rsidP="0011048D">
      <w:pPr>
        <w:ind w:firstLine="720"/>
      </w:pPr>
    </w:p>
    <w:p w14:paraId="18BB3E99" w14:textId="625D2675" w:rsidR="0011048D" w:rsidRDefault="0011048D" w:rsidP="0011048D">
      <w:pPr>
        <w:ind w:firstLine="720"/>
      </w:pPr>
    </w:p>
    <w:p w14:paraId="2A993D28" w14:textId="53CBFB86" w:rsidR="0011048D" w:rsidRDefault="0011048D" w:rsidP="0011048D">
      <w:pPr>
        <w:ind w:firstLine="720"/>
      </w:pPr>
    </w:p>
    <w:p w14:paraId="537D3545" w14:textId="05717FFF" w:rsidR="0011048D" w:rsidRDefault="0011048D" w:rsidP="0011048D">
      <w:pPr>
        <w:ind w:firstLine="720"/>
      </w:pPr>
    </w:p>
    <w:p w14:paraId="6E480AA3" w14:textId="5CCD0779" w:rsidR="0011048D" w:rsidRDefault="0011048D" w:rsidP="0011048D">
      <w:pPr>
        <w:ind w:firstLine="720"/>
      </w:pPr>
    </w:p>
    <w:p w14:paraId="40A49B54" w14:textId="05E7AE5A" w:rsidR="0011048D" w:rsidRDefault="0011048D" w:rsidP="0011048D">
      <w:pPr>
        <w:ind w:firstLine="720"/>
      </w:pPr>
    </w:p>
    <w:p w14:paraId="24185517" w14:textId="0B9C7F46" w:rsidR="0011048D" w:rsidRDefault="0011048D" w:rsidP="0011048D">
      <w:pPr>
        <w:ind w:firstLine="720"/>
      </w:pPr>
      <w:r>
        <w:rPr>
          <w:noProof/>
          <w:lang w:eastAsia="en-GB"/>
        </w:rPr>
        <w:lastRenderedPageBreak/>
        <w:drawing>
          <wp:anchor distT="0" distB="0" distL="114300" distR="114300" simplePos="0" relativeHeight="251663360" behindDoc="1" locked="0" layoutInCell="1" allowOverlap="1" wp14:anchorId="1088F25A" wp14:editId="397F7722">
            <wp:simplePos x="0" y="0"/>
            <wp:positionH relativeFrom="margin">
              <wp:posOffset>-304800</wp:posOffset>
            </wp:positionH>
            <wp:positionV relativeFrom="paragraph">
              <wp:posOffset>0</wp:posOffset>
            </wp:positionV>
            <wp:extent cx="6590805" cy="4393626"/>
            <wp:effectExtent l="0" t="0" r="635" b="6985"/>
            <wp:wrapNone/>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590805" cy="439362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CB6A50" w14:textId="20F1B270" w:rsidR="0011048D" w:rsidRPr="0011048D" w:rsidRDefault="0011048D" w:rsidP="0011048D"/>
    <w:p w14:paraId="735727CF" w14:textId="719F2815" w:rsidR="0011048D" w:rsidRPr="0011048D" w:rsidRDefault="0011048D" w:rsidP="0011048D"/>
    <w:p w14:paraId="01D19F73" w14:textId="61DEAEF4" w:rsidR="0011048D" w:rsidRPr="0011048D" w:rsidRDefault="0011048D" w:rsidP="0011048D"/>
    <w:p w14:paraId="36EABEFB" w14:textId="66AD62B9" w:rsidR="0011048D" w:rsidRPr="0011048D" w:rsidRDefault="0011048D" w:rsidP="0011048D"/>
    <w:p w14:paraId="24B12E3F" w14:textId="3C47F4F6" w:rsidR="0011048D" w:rsidRPr="0011048D" w:rsidRDefault="0011048D" w:rsidP="0011048D"/>
    <w:p w14:paraId="2F8D658C" w14:textId="5E7D8014" w:rsidR="0011048D" w:rsidRPr="0011048D" w:rsidRDefault="0011048D" w:rsidP="0011048D"/>
    <w:p w14:paraId="0FA75F67" w14:textId="2303A79F" w:rsidR="0011048D" w:rsidRPr="0011048D" w:rsidRDefault="0011048D" w:rsidP="0011048D"/>
    <w:p w14:paraId="5E4230E3" w14:textId="2C5A6229" w:rsidR="0011048D" w:rsidRPr="0011048D" w:rsidRDefault="0011048D" w:rsidP="0011048D"/>
    <w:p w14:paraId="227495BD" w14:textId="6DA13B24" w:rsidR="0011048D" w:rsidRPr="0011048D" w:rsidRDefault="0011048D" w:rsidP="0011048D"/>
    <w:p w14:paraId="5D66B8DB" w14:textId="48CE8F3C" w:rsidR="0011048D" w:rsidRPr="0011048D" w:rsidRDefault="0011048D" w:rsidP="0011048D"/>
    <w:p w14:paraId="3759DD4B" w14:textId="0D8B60B0" w:rsidR="0011048D" w:rsidRPr="0011048D" w:rsidRDefault="0011048D" w:rsidP="0011048D"/>
    <w:p w14:paraId="3708FCA1" w14:textId="6ED08B45" w:rsidR="0011048D" w:rsidRPr="0011048D" w:rsidRDefault="0011048D" w:rsidP="0011048D"/>
    <w:p w14:paraId="517BCDA7" w14:textId="158D559D" w:rsidR="0011048D" w:rsidRPr="0011048D" w:rsidRDefault="0011048D" w:rsidP="0011048D"/>
    <w:p w14:paraId="6A1A289F" w14:textId="08954BA2" w:rsidR="0011048D" w:rsidRPr="0011048D" w:rsidRDefault="0011048D" w:rsidP="0011048D"/>
    <w:p w14:paraId="62834098" w14:textId="6051F0A4" w:rsidR="0011048D" w:rsidRDefault="0011048D" w:rsidP="0011048D"/>
    <w:p w14:paraId="37AD5DE9" w14:textId="77777777" w:rsidR="0011048D" w:rsidRDefault="0011048D" w:rsidP="0011048D">
      <w:pPr>
        <w:tabs>
          <w:tab w:val="left" w:pos="936"/>
        </w:tabs>
        <w:rPr>
          <w:sz w:val="20"/>
          <w:szCs w:val="20"/>
        </w:rPr>
      </w:pPr>
      <w:commentRangeStart w:id="5"/>
      <w:r w:rsidRPr="004874EB">
        <w:rPr>
          <w:b/>
          <w:bCs/>
          <w:sz w:val="20"/>
          <w:szCs w:val="20"/>
        </w:rPr>
        <w:t>Figure 1</w:t>
      </w:r>
      <w:r>
        <w:rPr>
          <w:b/>
          <w:bCs/>
          <w:sz w:val="20"/>
          <w:szCs w:val="20"/>
        </w:rPr>
        <w:t>2</w:t>
      </w:r>
      <w:r w:rsidRPr="004874EB">
        <w:rPr>
          <w:b/>
          <w:bCs/>
          <w:sz w:val="20"/>
          <w:szCs w:val="20"/>
        </w:rPr>
        <w:t xml:space="preserve">. </w:t>
      </w:r>
      <w:commentRangeEnd w:id="5"/>
      <w:r w:rsidR="00C73044">
        <w:rPr>
          <w:rStyle w:val="CommentReference"/>
        </w:rPr>
        <w:commentReference w:id="5"/>
      </w:r>
      <w:r w:rsidRPr="004874EB">
        <w:rPr>
          <w:b/>
          <w:bCs/>
          <w:sz w:val="20"/>
          <w:szCs w:val="20"/>
        </w:rPr>
        <w:t xml:space="preserve">Boxplots showing the distribution of environmental variables for each cluster: </w:t>
      </w:r>
      <w:r w:rsidRPr="004874EB">
        <w:rPr>
          <w:b/>
          <w:bCs/>
          <w:i/>
          <w:iCs/>
          <w:sz w:val="20"/>
          <w:szCs w:val="20"/>
        </w:rPr>
        <w:t>a</w:t>
      </w:r>
      <w:r w:rsidRPr="004874EB">
        <w:rPr>
          <w:b/>
          <w:bCs/>
          <w:sz w:val="20"/>
          <w:szCs w:val="20"/>
        </w:rPr>
        <w:t xml:space="preserve"> = mean forest area, </w:t>
      </w:r>
      <w:r w:rsidRPr="004874EB">
        <w:rPr>
          <w:b/>
          <w:bCs/>
          <w:i/>
          <w:iCs/>
          <w:sz w:val="20"/>
          <w:szCs w:val="20"/>
        </w:rPr>
        <w:t xml:space="preserve">b </w:t>
      </w:r>
      <w:r w:rsidRPr="004874EB">
        <w:rPr>
          <w:b/>
          <w:bCs/>
          <w:sz w:val="20"/>
          <w:szCs w:val="20"/>
        </w:rPr>
        <w:t>= mean area (km</w:t>
      </w:r>
      <w:r w:rsidRPr="004874EB">
        <w:rPr>
          <w:b/>
          <w:bCs/>
          <w:sz w:val="20"/>
          <w:szCs w:val="20"/>
          <w:vertAlign w:val="superscript"/>
        </w:rPr>
        <w:t>2</w:t>
      </w:r>
      <w:r w:rsidRPr="004874EB">
        <w:rPr>
          <w:b/>
          <w:bCs/>
          <w:sz w:val="20"/>
          <w:szCs w:val="20"/>
        </w:rPr>
        <w:t>),</w:t>
      </w:r>
      <w:r w:rsidRPr="004874EB">
        <w:rPr>
          <w:b/>
          <w:bCs/>
          <w:i/>
          <w:iCs/>
          <w:sz w:val="20"/>
          <w:szCs w:val="20"/>
        </w:rPr>
        <w:t xml:space="preserve"> c </w:t>
      </w:r>
      <w:r w:rsidRPr="004874EB">
        <w:rPr>
          <w:b/>
          <w:bCs/>
          <w:sz w:val="20"/>
          <w:szCs w:val="20"/>
        </w:rPr>
        <w:t xml:space="preserve">= change in forest cover (between 2007-2012), </w:t>
      </w:r>
      <w:r w:rsidRPr="004874EB">
        <w:rPr>
          <w:b/>
          <w:bCs/>
          <w:i/>
          <w:iCs/>
          <w:sz w:val="20"/>
          <w:szCs w:val="20"/>
        </w:rPr>
        <w:t>d</w:t>
      </w:r>
      <w:r w:rsidRPr="004874EB">
        <w:rPr>
          <w:b/>
          <w:bCs/>
          <w:sz w:val="20"/>
          <w:szCs w:val="20"/>
        </w:rPr>
        <w:t xml:space="preserve"> = mean elevation (</w:t>
      </w:r>
      <w:proofErr w:type="spellStart"/>
      <w:r w:rsidRPr="004874EB">
        <w:rPr>
          <w:b/>
          <w:bCs/>
          <w:sz w:val="20"/>
          <w:szCs w:val="20"/>
        </w:rPr>
        <w:t>masl</w:t>
      </w:r>
      <w:proofErr w:type="spellEnd"/>
      <w:r w:rsidRPr="004874EB">
        <w:rPr>
          <w:b/>
          <w:bCs/>
          <w:sz w:val="20"/>
          <w:szCs w:val="20"/>
        </w:rPr>
        <w:t xml:space="preserve">), </w:t>
      </w:r>
      <w:r w:rsidRPr="004874EB">
        <w:rPr>
          <w:b/>
          <w:bCs/>
          <w:i/>
          <w:iCs/>
          <w:sz w:val="20"/>
          <w:szCs w:val="20"/>
        </w:rPr>
        <w:t>e</w:t>
      </w:r>
      <w:r w:rsidRPr="004874EB">
        <w:rPr>
          <w:b/>
          <w:bCs/>
          <w:sz w:val="20"/>
          <w:szCs w:val="20"/>
        </w:rPr>
        <w:t xml:space="preserve"> = mean distance to international border, </w:t>
      </w:r>
      <w:r w:rsidRPr="004874EB">
        <w:rPr>
          <w:b/>
          <w:bCs/>
          <w:i/>
          <w:iCs/>
          <w:sz w:val="20"/>
          <w:szCs w:val="20"/>
        </w:rPr>
        <w:t>f</w:t>
      </w:r>
      <w:r w:rsidRPr="004874EB">
        <w:rPr>
          <w:b/>
          <w:bCs/>
          <w:sz w:val="20"/>
          <w:szCs w:val="20"/>
        </w:rPr>
        <w:t xml:space="preserve"> = mean distance to a provincial capital.  Boxplots show the median (centre line within boxes), 25 and 75% percentiles (box edges), and minimum and maximum values (upper and lower whiskers, not exceeding 1.5 </w:t>
      </w:r>
      <w:r w:rsidRPr="004874EB">
        <w:rPr>
          <w:rFonts w:cstheme="minorHAnsi"/>
          <w:b/>
          <w:bCs/>
          <w:sz w:val="20"/>
          <w:szCs w:val="20"/>
        </w:rPr>
        <w:t>×</w:t>
      </w:r>
      <w:r w:rsidRPr="004874EB">
        <w:rPr>
          <w:b/>
          <w:bCs/>
          <w:sz w:val="20"/>
          <w:szCs w:val="20"/>
        </w:rPr>
        <w:t xml:space="preserve"> interquartile range). 5 UPGMA clusters.</w:t>
      </w:r>
      <w:r w:rsidRPr="004874EB">
        <w:rPr>
          <w:sz w:val="20"/>
          <w:szCs w:val="20"/>
        </w:rPr>
        <w:tab/>
      </w:r>
    </w:p>
    <w:p w14:paraId="12AB6738" w14:textId="77777777" w:rsidR="0011048D" w:rsidRDefault="0011048D" w:rsidP="0011048D">
      <w:pPr>
        <w:sectPr w:rsidR="0011048D" w:rsidSect="00D6664E">
          <w:pgSz w:w="11906" w:h="16838"/>
          <w:pgMar w:top="1440" w:right="1440" w:bottom="1440" w:left="1440" w:header="708" w:footer="708" w:gutter="0"/>
          <w:cols w:space="708"/>
          <w:docGrid w:linePitch="360"/>
        </w:sectPr>
      </w:pPr>
    </w:p>
    <w:p w14:paraId="54A389DD" w14:textId="77777777" w:rsidR="0011048D" w:rsidRPr="00A168E5" w:rsidRDefault="0011048D" w:rsidP="0011048D">
      <w:pPr>
        <w:tabs>
          <w:tab w:val="left" w:pos="936"/>
        </w:tabs>
        <w:rPr>
          <w:b/>
          <w:bCs/>
          <w:sz w:val="20"/>
          <w:szCs w:val="20"/>
        </w:rPr>
      </w:pPr>
      <w:r w:rsidRPr="00A168E5">
        <w:rPr>
          <w:b/>
          <w:bCs/>
          <w:sz w:val="20"/>
          <w:szCs w:val="20"/>
        </w:rPr>
        <w:lastRenderedPageBreak/>
        <w:t xml:space="preserve">Table 5. Descriptive typology of the provinces and clusters within Cambodia, clustered using socioeconomic variables and the unweighted pair group using arithmetic </w:t>
      </w:r>
      <w:r>
        <w:rPr>
          <w:b/>
          <w:bCs/>
          <w:sz w:val="20"/>
          <w:szCs w:val="20"/>
        </w:rPr>
        <w:t>mean (UPGMA)</w:t>
      </w:r>
    </w:p>
    <w:tbl>
      <w:tblPr>
        <w:tblStyle w:val="TableGrid"/>
        <w:tblW w:w="14029" w:type="dxa"/>
        <w:tblLook w:val="04A0" w:firstRow="1" w:lastRow="0" w:firstColumn="1" w:lastColumn="0" w:noHBand="0" w:noVBand="1"/>
      </w:tblPr>
      <w:tblGrid>
        <w:gridCol w:w="1413"/>
        <w:gridCol w:w="3402"/>
        <w:gridCol w:w="9214"/>
      </w:tblGrid>
      <w:tr w:rsidR="0011048D" w:rsidRPr="00634903" w14:paraId="65C3AED4" w14:textId="77777777" w:rsidTr="001A26A3">
        <w:tc>
          <w:tcPr>
            <w:tcW w:w="1413" w:type="dxa"/>
          </w:tcPr>
          <w:p w14:paraId="20ECB7CE" w14:textId="77777777" w:rsidR="0011048D" w:rsidRPr="00634903" w:rsidRDefault="0011048D" w:rsidP="001A26A3">
            <w:pPr>
              <w:rPr>
                <w:b/>
                <w:bCs/>
                <w:sz w:val="20"/>
                <w:szCs w:val="20"/>
              </w:rPr>
            </w:pPr>
            <w:r w:rsidRPr="00634903">
              <w:rPr>
                <w:b/>
                <w:bCs/>
                <w:sz w:val="20"/>
                <w:szCs w:val="20"/>
              </w:rPr>
              <w:t>UPGMA cluster</w:t>
            </w:r>
          </w:p>
        </w:tc>
        <w:tc>
          <w:tcPr>
            <w:tcW w:w="3402" w:type="dxa"/>
          </w:tcPr>
          <w:p w14:paraId="34542F7B" w14:textId="77777777" w:rsidR="0011048D" w:rsidRPr="00634903" w:rsidRDefault="0011048D" w:rsidP="001A26A3">
            <w:pPr>
              <w:rPr>
                <w:b/>
                <w:bCs/>
                <w:sz w:val="20"/>
                <w:szCs w:val="20"/>
              </w:rPr>
            </w:pPr>
            <w:r w:rsidRPr="00634903">
              <w:rPr>
                <w:b/>
                <w:bCs/>
                <w:sz w:val="20"/>
                <w:szCs w:val="20"/>
              </w:rPr>
              <w:t>Provinces</w:t>
            </w:r>
          </w:p>
        </w:tc>
        <w:tc>
          <w:tcPr>
            <w:tcW w:w="9214" w:type="dxa"/>
          </w:tcPr>
          <w:p w14:paraId="1CAE4CC4" w14:textId="77777777" w:rsidR="0011048D" w:rsidRPr="00634903" w:rsidRDefault="0011048D" w:rsidP="001A26A3">
            <w:pPr>
              <w:rPr>
                <w:b/>
                <w:bCs/>
                <w:sz w:val="20"/>
                <w:szCs w:val="20"/>
              </w:rPr>
            </w:pPr>
            <w:r w:rsidRPr="00634903">
              <w:rPr>
                <w:b/>
                <w:bCs/>
                <w:sz w:val="20"/>
                <w:szCs w:val="20"/>
              </w:rPr>
              <w:t>Description</w:t>
            </w:r>
          </w:p>
        </w:tc>
      </w:tr>
      <w:tr w:rsidR="0011048D" w:rsidRPr="00634903" w14:paraId="7A5F9B7D" w14:textId="77777777" w:rsidTr="001A26A3">
        <w:tc>
          <w:tcPr>
            <w:tcW w:w="1413" w:type="dxa"/>
          </w:tcPr>
          <w:p w14:paraId="1F16DAA0" w14:textId="77777777" w:rsidR="0011048D" w:rsidRPr="00634903" w:rsidRDefault="0011048D" w:rsidP="001A26A3">
            <w:pPr>
              <w:rPr>
                <w:sz w:val="20"/>
                <w:szCs w:val="20"/>
              </w:rPr>
            </w:pPr>
            <w:r w:rsidRPr="00634903">
              <w:rPr>
                <w:sz w:val="20"/>
                <w:szCs w:val="20"/>
              </w:rPr>
              <w:t>1</w:t>
            </w:r>
          </w:p>
        </w:tc>
        <w:tc>
          <w:tcPr>
            <w:tcW w:w="3402" w:type="dxa"/>
          </w:tcPr>
          <w:p w14:paraId="4ACDFD46" w14:textId="77777777" w:rsidR="0011048D" w:rsidRPr="00634903" w:rsidRDefault="0011048D" w:rsidP="001A26A3">
            <w:pPr>
              <w:rPr>
                <w:sz w:val="20"/>
                <w:szCs w:val="20"/>
              </w:rPr>
            </w:pPr>
            <w:proofErr w:type="spellStart"/>
            <w:r w:rsidRPr="00634903">
              <w:rPr>
                <w:sz w:val="20"/>
                <w:szCs w:val="20"/>
              </w:rPr>
              <w:t>Mondulkiri</w:t>
            </w:r>
            <w:proofErr w:type="spellEnd"/>
            <w:r w:rsidRPr="00634903">
              <w:rPr>
                <w:sz w:val="20"/>
                <w:szCs w:val="20"/>
              </w:rPr>
              <w:t xml:space="preserve">, </w:t>
            </w:r>
            <w:proofErr w:type="spellStart"/>
            <w:r w:rsidRPr="00634903">
              <w:rPr>
                <w:sz w:val="20"/>
                <w:szCs w:val="20"/>
              </w:rPr>
              <w:t>Ratanikiri</w:t>
            </w:r>
            <w:proofErr w:type="spellEnd"/>
          </w:p>
        </w:tc>
        <w:tc>
          <w:tcPr>
            <w:tcW w:w="9214" w:type="dxa"/>
          </w:tcPr>
          <w:p w14:paraId="5B7A3567" w14:textId="77777777" w:rsidR="0011048D" w:rsidRPr="00634903" w:rsidRDefault="0011048D" w:rsidP="001A26A3">
            <w:pPr>
              <w:rPr>
                <w:sz w:val="20"/>
                <w:szCs w:val="20"/>
              </w:rPr>
            </w:pPr>
            <w:r w:rsidRPr="00634903">
              <w:rPr>
                <w:sz w:val="20"/>
                <w:szCs w:val="20"/>
              </w:rPr>
              <w:t>Very large provinces with very high elevations. Very low population density, and very high proportion of indigenous people. Very low education levels, very high proportion of primary sector workers and very low proportion of secondary sector workers. Economic security provided by rural livelihoods - few people have no farmland and livestock ownership is common. Very low access to services, high crime per capita, low land conflict, and very low migration levels.</w:t>
            </w:r>
          </w:p>
        </w:tc>
      </w:tr>
      <w:tr w:rsidR="0011048D" w:rsidRPr="00634903" w14:paraId="06B63B9A" w14:textId="77777777" w:rsidTr="001A26A3">
        <w:tc>
          <w:tcPr>
            <w:tcW w:w="1413" w:type="dxa"/>
          </w:tcPr>
          <w:p w14:paraId="40DCF9E7" w14:textId="77777777" w:rsidR="0011048D" w:rsidRPr="00634903" w:rsidRDefault="0011048D" w:rsidP="001A26A3">
            <w:pPr>
              <w:rPr>
                <w:sz w:val="20"/>
                <w:szCs w:val="20"/>
              </w:rPr>
            </w:pPr>
            <w:r w:rsidRPr="00634903">
              <w:rPr>
                <w:sz w:val="20"/>
                <w:szCs w:val="20"/>
              </w:rPr>
              <w:t>2</w:t>
            </w:r>
          </w:p>
        </w:tc>
        <w:tc>
          <w:tcPr>
            <w:tcW w:w="3402" w:type="dxa"/>
          </w:tcPr>
          <w:p w14:paraId="786BF78B" w14:textId="77777777" w:rsidR="0011048D" w:rsidRPr="00634903" w:rsidRDefault="0011048D" w:rsidP="001A26A3">
            <w:pPr>
              <w:rPr>
                <w:sz w:val="20"/>
                <w:szCs w:val="20"/>
              </w:rPr>
            </w:pPr>
            <w:proofErr w:type="spellStart"/>
            <w:r w:rsidRPr="00634903">
              <w:rPr>
                <w:sz w:val="20"/>
                <w:szCs w:val="20"/>
              </w:rPr>
              <w:t>Pailin</w:t>
            </w:r>
            <w:proofErr w:type="spellEnd"/>
          </w:p>
        </w:tc>
        <w:tc>
          <w:tcPr>
            <w:tcW w:w="9214" w:type="dxa"/>
          </w:tcPr>
          <w:p w14:paraId="61048D86" w14:textId="77777777" w:rsidR="0011048D" w:rsidRPr="00634903" w:rsidRDefault="0011048D" w:rsidP="001A26A3">
            <w:pPr>
              <w:rPr>
                <w:sz w:val="20"/>
                <w:szCs w:val="20"/>
              </w:rPr>
            </w:pPr>
            <w:r w:rsidRPr="00634903">
              <w:rPr>
                <w:sz w:val="20"/>
                <w:szCs w:val="20"/>
              </w:rPr>
              <w:t>Very small province with very high elevations. Low population density and low proportion of indigenous people. Low levels of education, low proportion of people in the primary sector but higher proportion of people in the secondary sector. Very few people with no farmland, but very little livestock ownership. High access to services and high crime per capita. Low land conflict and low migration.</w:t>
            </w:r>
          </w:p>
        </w:tc>
      </w:tr>
      <w:tr w:rsidR="0011048D" w:rsidRPr="00634903" w14:paraId="00728C2D" w14:textId="77777777" w:rsidTr="001A26A3">
        <w:tc>
          <w:tcPr>
            <w:tcW w:w="1413" w:type="dxa"/>
          </w:tcPr>
          <w:p w14:paraId="18194855" w14:textId="77777777" w:rsidR="0011048D" w:rsidRPr="00634903" w:rsidRDefault="0011048D" w:rsidP="001A26A3">
            <w:pPr>
              <w:rPr>
                <w:sz w:val="20"/>
                <w:szCs w:val="20"/>
              </w:rPr>
            </w:pPr>
            <w:r w:rsidRPr="00634903">
              <w:rPr>
                <w:sz w:val="20"/>
                <w:szCs w:val="20"/>
              </w:rPr>
              <w:t>3</w:t>
            </w:r>
          </w:p>
        </w:tc>
        <w:tc>
          <w:tcPr>
            <w:tcW w:w="3402" w:type="dxa"/>
          </w:tcPr>
          <w:p w14:paraId="1CF8A000" w14:textId="77777777" w:rsidR="0011048D" w:rsidRPr="00634903" w:rsidRDefault="0011048D" w:rsidP="001A26A3">
            <w:pPr>
              <w:rPr>
                <w:sz w:val="20"/>
                <w:szCs w:val="20"/>
              </w:rPr>
            </w:pPr>
            <w:r w:rsidRPr="00634903">
              <w:rPr>
                <w:sz w:val="20"/>
                <w:szCs w:val="20"/>
              </w:rPr>
              <w:t>Kampong Cham, Kandal, Prey Veng, Takeo</w:t>
            </w:r>
          </w:p>
        </w:tc>
        <w:tc>
          <w:tcPr>
            <w:tcW w:w="9214" w:type="dxa"/>
          </w:tcPr>
          <w:p w14:paraId="091EDF8B" w14:textId="77777777" w:rsidR="0011048D" w:rsidRPr="00634903" w:rsidRDefault="0011048D" w:rsidP="001A26A3">
            <w:pPr>
              <w:rPr>
                <w:sz w:val="20"/>
                <w:szCs w:val="20"/>
              </w:rPr>
            </w:pPr>
            <w:r w:rsidRPr="00634903">
              <w:rPr>
                <w:sz w:val="20"/>
                <w:szCs w:val="20"/>
              </w:rPr>
              <w:t>Small provinces with very low elevations. Very high population density and high proportion of indigenous people. Very high levels of education, high proportion of people in the primary sector, but very high proportion of people in the secondary sector. High proportion of people with no farmland, but high levels of livestock ownership. High access to services and low crime per capita. But very high migration levels and very high rates of land conflict.</w:t>
            </w:r>
          </w:p>
        </w:tc>
      </w:tr>
      <w:tr w:rsidR="0011048D" w:rsidRPr="00634903" w14:paraId="3327351A" w14:textId="77777777" w:rsidTr="001A26A3">
        <w:tc>
          <w:tcPr>
            <w:tcW w:w="1413" w:type="dxa"/>
          </w:tcPr>
          <w:p w14:paraId="4578420F" w14:textId="77777777" w:rsidR="0011048D" w:rsidRPr="00634903" w:rsidRDefault="0011048D" w:rsidP="001A26A3">
            <w:pPr>
              <w:rPr>
                <w:sz w:val="20"/>
                <w:szCs w:val="20"/>
              </w:rPr>
            </w:pPr>
            <w:r w:rsidRPr="00634903">
              <w:rPr>
                <w:sz w:val="20"/>
                <w:szCs w:val="20"/>
              </w:rPr>
              <w:t>4</w:t>
            </w:r>
          </w:p>
        </w:tc>
        <w:tc>
          <w:tcPr>
            <w:tcW w:w="3402" w:type="dxa"/>
          </w:tcPr>
          <w:p w14:paraId="318B1DA1" w14:textId="77777777" w:rsidR="0011048D" w:rsidRPr="00634903" w:rsidRDefault="0011048D" w:rsidP="001A26A3">
            <w:pPr>
              <w:rPr>
                <w:sz w:val="20"/>
                <w:szCs w:val="20"/>
              </w:rPr>
            </w:pPr>
            <w:r w:rsidRPr="00634903">
              <w:rPr>
                <w:sz w:val="20"/>
                <w:szCs w:val="20"/>
              </w:rPr>
              <w:t>Banteay Meanchey, Battambang</w:t>
            </w:r>
          </w:p>
        </w:tc>
        <w:tc>
          <w:tcPr>
            <w:tcW w:w="9214" w:type="dxa"/>
          </w:tcPr>
          <w:p w14:paraId="40FC892C" w14:textId="77777777" w:rsidR="0011048D" w:rsidRPr="00634903" w:rsidRDefault="0011048D" w:rsidP="001A26A3">
            <w:pPr>
              <w:rPr>
                <w:sz w:val="20"/>
                <w:szCs w:val="20"/>
              </w:rPr>
            </w:pPr>
            <w:r w:rsidRPr="00634903">
              <w:rPr>
                <w:sz w:val="20"/>
                <w:szCs w:val="20"/>
              </w:rPr>
              <w:t>Large provinces with low elevations. Very high population density and very low proportion of indigenous people. Very high levels of education, and relatively low proportion of workers in the primary and secondary sectors (suggesting higher proportions in the other sectors e.g., tertiary). High proportion of people with no farmland, and low levels of livestock ownership (suggesting very urban).  Low access to services, but this may be explained by the mean size of the provinces in this cluster (there is high access to garbage collection). Low crime per capita, but very high migration and very high rates of land conflict</w:t>
            </w:r>
          </w:p>
        </w:tc>
      </w:tr>
      <w:tr w:rsidR="0011048D" w:rsidRPr="00634903" w14:paraId="1DD3B37A" w14:textId="77777777" w:rsidTr="001A26A3">
        <w:tc>
          <w:tcPr>
            <w:tcW w:w="1413" w:type="dxa"/>
          </w:tcPr>
          <w:p w14:paraId="022CF14E" w14:textId="77777777" w:rsidR="0011048D" w:rsidRPr="00634903" w:rsidRDefault="0011048D" w:rsidP="001A26A3">
            <w:pPr>
              <w:rPr>
                <w:sz w:val="20"/>
                <w:szCs w:val="20"/>
              </w:rPr>
            </w:pPr>
            <w:r w:rsidRPr="00634903">
              <w:rPr>
                <w:sz w:val="20"/>
                <w:szCs w:val="20"/>
              </w:rPr>
              <w:t>5</w:t>
            </w:r>
          </w:p>
        </w:tc>
        <w:tc>
          <w:tcPr>
            <w:tcW w:w="3402" w:type="dxa"/>
          </w:tcPr>
          <w:p w14:paraId="1131DC0F" w14:textId="77777777" w:rsidR="0011048D" w:rsidRPr="00634903" w:rsidRDefault="0011048D" w:rsidP="001A26A3">
            <w:pPr>
              <w:rPr>
                <w:sz w:val="20"/>
                <w:szCs w:val="20"/>
              </w:rPr>
            </w:pPr>
            <w:r w:rsidRPr="00634903">
              <w:rPr>
                <w:sz w:val="20"/>
                <w:szCs w:val="20"/>
              </w:rPr>
              <w:t xml:space="preserve">Kampong Chhnang, Kampong </w:t>
            </w:r>
            <w:proofErr w:type="spellStart"/>
            <w:r w:rsidRPr="00634903">
              <w:rPr>
                <w:sz w:val="20"/>
                <w:szCs w:val="20"/>
              </w:rPr>
              <w:t>Speu</w:t>
            </w:r>
            <w:proofErr w:type="spellEnd"/>
            <w:r w:rsidRPr="00634903">
              <w:rPr>
                <w:sz w:val="20"/>
                <w:szCs w:val="20"/>
              </w:rPr>
              <w:t xml:space="preserve">, Kampong Thom, </w:t>
            </w:r>
            <w:proofErr w:type="spellStart"/>
            <w:r w:rsidRPr="00634903">
              <w:rPr>
                <w:sz w:val="20"/>
                <w:szCs w:val="20"/>
              </w:rPr>
              <w:t>Kampot</w:t>
            </w:r>
            <w:proofErr w:type="spellEnd"/>
            <w:r w:rsidRPr="00634903">
              <w:rPr>
                <w:sz w:val="20"/>
                <w:szCs w:val="20"/>
              </w:rPr>
              <w:t xml:space="preserve">, </w:t>
            </w:r>
            <w:proofErr w:type="spellStart"/>
            <w:r w:rsidRPr="00634903">
              <w:rPr>
                <w:sz w:val="20"/>
                <w:szCs w:val="20"/>
              </w:rPr>
              <w:t>Kep</w:t>
            </w:r>
            <w:proofErr w:type="spellEnd"/>
            <w:r w:rsidRPr="00634903">
              <w:rPr>
                <w:sz w:val="20"/>
                <w:szCs w:val="20"/>
              </w:rPr>
              <w:t xml:space="preserve">, Koh Kong, </w:t>
            </w:r>
            <w:proofErr w:type="spellStart"/>
            <w:r w:rsidRPr="00634903">
              <w:rPr>
                <w:sz w:val="20"/>
                <w:szCs w:val="20"/>
              </w:rPr>
              <w:t>Kracheh</w:t>
            </w:r>
            <w:proofErr w:type="spellEnd"/>
            <w:r w:rsidRPr="00634903">
              <w:rPr>
                <w:sz w:val="20"/>
                <w:szCs w:val="20"/>
              </w:rPr>
              <w:t xml:space="preserve">, </w:t>
            </w:r>
            <w:proofErr w:type="spellStart"/>
            <w:r w:rsidRPr="00634903">
              <w:rPr>
                <w:sz w:val="20"/>
                <w:szCs w:val="20"/>
              </w:rPr>
              <w:t>Otdar</w:t>
            </w:r>
            <w:proofErr w:type="spellEnd"/>
            <w:r w:rsidRPr="00634903">
              <w:rPr>
                <w:sz w:val="20"/>
                <w:szCs w:val="20"/>
              </w:rPr>
              <w:t xml:space="preserve"> Meanchey, Preah Sihanouk, Preah </w:t>
            </w:r>
            <w:proofErr w:type="spellStart"/>
            <w:r w:rsidRPr="00634903">
              <w:rPr>
                <w:sz w:val="20"/>
                <w:szCs w:val="20"/>
              </w:rPr>
              <w:t>Vihear</w:t>
            </w:r>
            <w:proofErr w:type="spellEnd"/>
            <w:r w:rsidRPr="00634903">
              <w:rPr>
                <w:sz w:val="20"/>
                <w:szCs w:val="20"/>
              </w:rPr>
              <w:t xml:space="preserve">, </w:t>
            </w:r>
            <w:proofErr w:type="spellStart"/>
            <w:r w:rsidRPr="00634903">
              <w:rPr>
                <w:sz w:val="20"/>
                <w:szCs w:val="20"/>
              </w:rPr>
              <w:t>Pursat</w:t>
            </w:r>
            <w:proofErr w:type="spellEnd"/>
            <w:r w:rsidRPr="00634903">
              <w:rPr>
                <w:sz w:val="20"/>
                <w:szCs w:val="20"/>
              </w:rPr>
              <w:t xml:space="preserve">, </w:t>
            </w:r>
            <w:proofErr w:type="spellStart"/>
            <w:r w:rsidRPr="00634903">
              <w:rPr>
                <w:sz w:val="20"/>
                <w:szCs w:val="20"/>
              </w:rPr>
              <w:t>Siem</w:t>
            </w:r>
            <w:proofErr w:type="spellEnd"/>
            <w:r w:rsidRPr="00634903">
              <w:rPr>
                <w:sz w:val="20"/>
                <w:szCs w:val="20"/>
              </w:rPr>
              <w:t xml:space="preserve"> Reap, Stung </w:t>
            </w:r>
            <w:proofErr w:type="spellStart"/>
            <w:r w:rsidRPr="00634903">
              <w:rPr>
                <w:sz w:val="20"/>
                <w:szCs w:val="20"/>
              </w:rPr>
              <w:t>Treng</w:t>
            </w:r>
            <w:proofErr w:type="spellEnd"/>
            <w:r w:rsidRPr="00634903">
              <w:rPr>
                <w:sz w:val="20"/>
                <w:szCs w:val="20"/>
              </w:rPr>
              <w:t xml:space="preserve">, </w:t>
            </w:r>
            <w:proofErr w:type="spellStart"/>
            <w:r w:rsidRPr="00634903">
              <w:rPr>
                <w:sz w:val="20"/>
                <w:szCs w:val="20"/>
              </w:rPr>
              <w:t>Svay</w:t>
            </w:r>
            <w:proofErr w:type="spellEnd"/>
            <w:r w:rsidRPr="00634903">
              <w:rPr>
                <w:sz w:val="20"/>
                <w:szCs w:val="20"/>
              </w:rPr>
              <w:t xml:space="preserve"> </w:t>
            </w:r>
            <w:proofErr w:type="spellStart"/>
            <w:r w:rsidRPr="00634903">
              <w:rPr>
                <w:sz w:val="20"/>
                <w:szCs w:val="20"/>
              </w:rPr>
              <w:t>Rieng</w:t>
            </w:r>
            <w:proofErr w:type="spellEnd"/>
          </w:p>
        </w:tc>
        <w:tc>
          <w:tcPr>
            <w:tcW w:w="9214" w:type="dxa"/>
          </w:tcPr>
          <w:p w14:paraId="40D3F10F" w14:textId="77777777" w:rsidR="0011048D" w:rsidRPr="00634903" w:rsidRDefault="0011048D" w:rsidP="001A26A3">
            <w:pPr>
              <w:rPr>
                <w:sz w:val="20"/>
                <w:szCs w:val="20"/>
              </w:rPr>
            </w:pPr>
            <w:r w:rsidRPr="00634903">
              <w:rPr>
                <w:sz w:val="20"/>
                <w:szCs w:val="20"/>
              </w:rPr>
              <w:t>Large provinces with high elevations. High population density and very high proportion of indigenous people. High levels of education, and a high proportion of workers in both primary and secondary sectors. Very high proportion of people with no farmland, but also very high proportion of people with livestock. Low access to services (although very high access to garbage collection) - this may be an artefact of the very large mean area of the provinces in this cluster. Very high crime rates, very high migration, and very high rates of land conflict.</w:t>
            </w:r>
          </w:p>
        </w:tc>
      </w:tr>
    </w:tbl>
    <w:p w14:paraId="5543745F" w14:textId="59EA519C" w:rsidR="0011048D" w:rsidRDefault="0011048D" w:rsidP="0011048D">
      <w:pPr>
        <w:tabs>
          <w:tab w:val="left" w:pos="924"/>
        </w:tabs>
        <w:sectPr w:rsidR="0011048D" w:rsidSect="005244E7">
          <w:pgSz w:w="16838" w:h="11906" w:orient="landscape"/>
          <w:pgMar w:top="1440" w:right="1440" w:bottom="1440" w:left="1440" w:header="708" w:footer="708" w:gutter="0"/>
          <w:cols w:space="708"/>
          <w:docGrid w:linePitch="360"/>
        </w:sectPr>
      </w:pPr>
    </w:p>
    <w:p w14:paraId="4289B339" w14:textId="39172AB6" w:rsidR="0011048D" w:rsidRDefault="00C15F73" w:rsidP="0071774F">
      <w:pPr>
        <w:rPr>
          <w:b/>
          <w:bCs/>
        </w:rPr>
      </w:pPr>
      <w:r>
        <w:rPr>
          <w:b/>
          <w:bCs/>
        </w:rPr>
        <w:lastRenderedPageBreak/>
        <w:t xml:space="preserve">Discussion </w:t>
      </w:r>
    </w:p>
    <w:p w14:paraId="5ED41EFE" w14:textId="425983EC" w:rsidR="00C15F73" w:rsidRDefault="00C15F73" w:rsidP="00C15F73">
      <w:r w:rsidRPr="00C15F73">
        <w:t xml:space="preserve">Understanding the drivers and proximate causes of </w:t>
      </w:r>
      <w:r>
        <w:t>deforestation</w:t>
      </w:r>
      <w:r w:rsidRPr="00C15F73">
        <w:t xml:space="preserve"> is critical for the development of sustainable environmental policies and forest conservation initiatives. Studies need to target multiple scales to build a cohesive picture of the social-ecological systems within which deforestation occurs, so that policy development is appropriate and effective. Importantly, researchers need to select the appropriate method to answer specific questions at specific scales, and the complexity of the system must be understood. In this study, </w:t>
      </w:r>
      <w:r>
        <w:t>I</w:t>
      </w:r>
      <w:r w:rsidRPr="00C15F73">
        <w:t xml:space="preserve"> have modelled the relationships between socioeconomic variables and forest cover</w:t>
      </w:r>
      <w:r>
        <w:t xml:space="preserve"> </w:t>
      </w:r>
      <w:r w:rsidRPr="00C15F73">
        <w:t>at multiple scales</w:t>
      </w:r>
      <w:r>
        <w:t xml:space="preserve"> and</w:t>
      </w:r>
      <w:r w:rsidRPr="00C15F73">
        <w:t xml:space="preserve"> have investigated these relationships</w:t>
      </w:r>
      <w:r w:rsidR="00274B68">
        <w:t xml:space="preserve"> using</w:t>
      </w:r>
      <w:r w:rsidRPr="00C15F73">
        <w:t xml:space="preserve"> </w:t>
      </w:r>
      <w:r>
        <w:t>two different</w:t>
      </w:r>
      <w:r w:rsidRPr="00C15F73">
        <w:t xml:space="preserve"> approaches</w:t>
      </w:r>
      <w:r>
        <w:t>.</w:t>
      </w:r>
      <w:r w:rsidR="00274B68">
        <w:t xml:space="preserve"> This study has </w:t>
      </w:r>
      <w:r w:rsidR="00274B68" w:rsidRPr="00C15F73">
        <w:t>revealed some important relationships from which we can make inferences regarding</w:t>
      </w:r>
      <w:r w:rsidR="00274B68">
        <w:t xml:space="preserve"> the socioeconomic, geographical, </w:t>
      </w:r>
      <w:r w:rsidR="002473F5">
        <w:t xml:space="preserve">and </w:t>
      </w:r>
      <w:r w:rsidR="00274B68">
        <w:t>biophysical</w:t>
      </w:r>
      <w:r w:rsidR="002473F5">
        <w:t xml:space="preserve"> predictors of forest cover across Cambodia.</w:t>
      </w:r>
      <w:r w:rsidR="00274B68">
        <w:t xml:space="preserve"> </w:t>
      </w:r>
      <w:r w:rsidR="002473F5" w:rsidRPr="00C15F73">
        <w:t>Furthermore, we have revealed key methodological issues, particularly around scale and model variance, that are likely to be common in these types of analyses, but which often remain unexplored or unreported in the literature.</w:t>
      </w:r>
    </w:p>
    <w:p w14:paraId="7F26BD30" w14:textId="6F3B5AB6" w:rsidR="008B46A1" w:rsidRPr="008B46A1" w:rsidRDefault="00234AEE" w:rsidP="00C15F73">
      <w:pPr>
        <w:rPr>
          <w:i/>
          <w:iCs/>
        </w:rPr>
      </w:pPr>
      <w:r>
        <w:rPr>
          <w:i/>
          <w:iCs/>
        </w:rPr>
        <w:t>Socioeconomic predictors of forest cover</w:t>
      </w:r>
    </w:p>
    <w:p w14:paraId="6991EFD7" w14:textId="6B2D4268" w:rsidR="008B46A1" w:rsidRPr="008B46A1" w:rsidRDefault="008B46A1" w:rsidP="008B46A1">
      <w:r w:rsidRPr="008B46A1">
        <w:t>The commune-level model revealed that population density was the only non-control variable with any effect</w:t>
      </w:r>
      <w:r>
        <w:t xml:space="preserve"> on forest cover</w:t>
      </w:r>
      <w:r w:rsidRPr="008B46A1">
        <w:t xml:space="preserve">, and the effect was very weak. </w:t>
      </w:r>
      <w:r>
        <w:t>I</w:t>
      </w:r>
      <w:r w:rsidRPr="008B46A1">
        <w:t xml:space="preserve"> w</w:t>
      </w:r>
      <w:r>
        <w:t>as</w:t>
      </w:r>
      <w:r w:rsidRPr="008B46A1">
        <w:t xml:space="preserve"> limited in the socioeconomic variables that were available, and it is possible that the variables selected were simply poor predictors of forest cover. However, the modelling process revealed very large between-commune variation in both predictor and response variables, in addition to a large number of random effect levels (between 1,317 and 1,512). Model predictions from the final model, and from preliminary models, showed that the parameter estimates (intercepts and slopes) for a given socioeconomic variable (see Figure 6 for an example from population density) varied widely from commune to commune, even within the same province. Therefore, it is possible that the difficulty in estimating a single parameter from the surrounding “noise” resulted in the detection of weak, or no effects, rather than a genuine lack of effects. The province-level model was built to counter the issue of excessive between-commune variance by approaching the analysis from a different scale. Two socioeconomic variables remained in the final province-level model but again, the effects were relatively weak. It is still possible that the weak effects represented a genuine lack of correlation between socioeconomics and forest cover, however, modelling the effects at a larger scale will simply mask the large variation that exists at the finer scale, rather than eliminating it. This analysis highlights the importance of scale when modelling complex social-ecological systems; researchers must not only select the scale of the analysis carefully but must also be aware of underlying variation which may be affecting estimates, requiring cautious interpretation of results. The results of the socioeconomic analysis have further highlighted the effect of scale on drivers with larger effects. The direction of the effect of the presence of ELCs changes depending on whether you are looking at the commune-level or the province-level (ELCs have a negative effect on forest cover within a commune, but a positive effect on forest cover within a province). This reversal of effect direction between scales also occurs for distance to an international border (positive within communes and negative within provinces) and the distance to the provincial capital (positive within communes and negative within provinces). Taken together, the two models can add important nuance to the interpretation of results; provinces that are small and are close to international borders have higher forest cover, but within those provinces, the communes that are furthest away from the border and the provincial capital are predicted to have the highest forest cover. These results demonstrate how the relationships between forest cover and predictor variables are being driven in different directions at different scales, </w:t>
      </w:r>
      <w:commentRangeStart w:id="6"/>
      <w:r w:rsidRPr="008B46A1">
        <w:t>emphasising the complexity of modelling social-ecological systems</w:t>
      </w:r>
      <w:commentRangeEnd w:id="6"/>
      <w:r w:rsidRPr="008B46A1">
        <w:commentReference w:id="6"/>
      </w:r>
      <w:r w:rsidRPr="008B46A1">
        <w:t xml:space="preserve">. </w:t>
      </w:r>
    </w:p>
    <w:p w14:paraId="48CE48B5" w14:textId="1174D859" w:rsidR="00C15F73" w:rsidRDefault="00234AEE" w:rsidP="00C15F73">
      <w:pPr>
        <w:rPr>
          <w:i/>
          <w:iCs/>
        </w:rPr>
      </w:pPr>
      <w:r>
        <w:rPr>
          <w:i/>
          <w:iCs/>
        </w:rPr>
        <w:lastRenderedPageBreak/>
        <w:t>Implications / broader perspectives of the results</w:t>
      </w:r>
    </w:p>
    <w:p w14:paraId="4A9C7B4A" w14:textId="05F0AECB" w:rsidR="00234AEE" w:rsidRDefault="00234AEE" w:rsidP="00C15F73">
      <w:r>
        <w:t xml:space="preserve">The results of this study have highlighted that the regions of Cambodia that have the highest forest cover also tend to be the most rural, the most remote, </w:t>
      </w:r>
    </w:p>
    <w:p w14:paraId="7D6E4C87" w14:textId="0B7ACC62" w:rsidR="00234AEE" w:rsidRDefault="00234AEE" w:rsidP="00C15F73"/>
    <w:p w14:paraId="2B48FB74" w14:textId="48A6034E" w:rsidR="00234AEE" w:rsidRDefault="00234AEE" w:rsidP="00C15F73">
      <w:r>
        <w:t>Provinces with high forest also the most poor, remote, rural, indigenous etc. This means that the people in these areas are likely to be the most reliant on natural resources and forest products for their subsistence and livelihoods. This means that efforts by individual actors to increase their socioeconomic status are also likely to include agricultural expansion. This is particularly likely if rural population densities continue to rise. Therefore to prevent forest loss as the cost of socioeconomic improvement, government policy and support to local people needs to be tailored towards sustainable development</w:t>
      </w:r>
      <w:r w:rsidR="00940351">
        <w:t>.</w:t>
      </w:r>
    </w:p>
    <w:p w14:paraId="23D9A825" w14:textId="41738D31" w:rsidR="00940351" w:rsidRDefault="00940351" w:rsidP="00C15F73">
      <w:r>
        <w:t xml:space="preserve">The past has shown that the government is happy to allocate ELCs on forested land, and has often done so on the traditional lands of indigenous people and other poor people who do not have secure land tenure. This makes the forested lands in rural, remote, poor province with relatively low population density particularly vulnerable to ELCs, which will cause conflict and have negative consequences for forests and local people. </w:t>
      </w:r>
    </w:p>
    <w:p w14:paraId="08FC7356" w14:textId="4379ED76" w:rsidR="00940351" w:rsidRDefault="00940351" w:rsidP="00C15F73">
      <w:r>
        <w:t xml:space="preserve">There has been a lot of migration into the remote provinces over the last 20 years as landless poor look for land to settle. This has come at a cost to forests. These areas are still vulnerable as people see large areas of forest as potential farmland. Government settlement policies need to pre-empt this migration and ensure that forests, particularly PAs, do not suffer. SLCs need to be better managed and used. </w:t>
      </w:r>
    </w:p>
    <w:p w14:paraId="5B369410" w14:textId="2115192D" w:rsidR="00940351" w:rsidRPr="00234AEE" w:rsidRDefault="00940351" w:rsidP="00C15F73">
      <w:r>
        <w:t xml:space="preserve">Lessons need to be learnt from the provinces from provinces in cluster 5 that have increased socioeconomic status but still relatively high forest cover. Is this because of tourism? Growth in other sectors that have provided economic benefits that do not rely on forests? </w:t>
      </w:r>
    </w:p>
    <w:sectPr w:rsidR="00940351" w:rsidRPr="00234AEE" w:rsidSect="0071774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Nuttall" w:date="2021-07-23T13:30:00Z" w:initials="MN">
    <w:p w14:paraId="65883D35" w14:textId="77777777" w:rsidR="0011048D" w:rsidRDefault="0011048D" w:rsidP="0011048D">
      <w:pPr>
        <w:pStyle w:val="CommentText"/>
      </w:pPr>
      <w:r>
        <w:rPr>
          <w:rStyle w:val="CommentReference"/>
        </w:rPr>
        <w:annotationRef/>
      </w:r>
      <w:r>
        <w:t>Need to check/change y axis labels (can’t be both pixels and km2)</w:t>
      </w:r>
    </w:p>
  </w:comment>
  <w:comment w:id="1" w:author="Matthew Nuttall" w:date="2021-11-08T11:48:00Z" w:initials="MN">
    <w:p w14:paraId="669EA7D4" w14:textId="30041F55" w:rsidR="00AF7E60" w:rsidRDefault="00AF7E60">
      <w:pPr>
        <w:pStyle w:val="CommentText"/>
      </w:pPr>
      <w:r>
        <w:rPr>
          <w:rStyle w:val="CommentReference"/>
        </w:rPr>
        <w:annotationRef/>
      </w:r>
      <w:r>
        <w:t>Plot as bars and add SE?</w:t>
      </w:r>
    </w:p>
  </w:comment>
  <w:comment w:id="2" w:author="Matthew Nuttall" w:date="2021-11-08T11:48:00Z" w:initials="MN">
    <w:p w14:paraId="2932BB39" w14:textId="07214887" w:rsidR="00AF7E60" w:rsidRDefault="00AF7E60">
      <w:pPr>
        <w:pStyle w:val="CommentText"/>
      </w:pPr>
      <w:r>
        <w:rPr>
          <w:rStyle w:val="CommentReference"/>
        </w:rPr>
        <w:annotationRef/>
      </w:r>
      <w:r>
        <w:t>Plot as bars and add SE</w:t>
      </w:r>
    </w:p>
  </w:comment>
  <w:comment w:id="3" w:author="Matthew Nuttall" w:date="2021-11-08T11:48:00Z" w:initials="MN">
    <w:p w14:paraId="22E820A3" w14:textId="3F2AF90F" w:rsidR="00AF7E60" w:rsidRDefault="00AF7E60">
      <w:pPr>
        <w:pStyle w:val="CommentText"/>
      </w:pPr>
      <w:r>
        <w:rPr>
          <w:rStyle w:val="CommentReference"/>
        </w:rPr>
        <w:annotationRef/>
      </w:r>
      <w:r>
        <w:t>Move to SI</w:t>
      </w:r>
    </w:p>
  </w:comment>
  <w:comment w:id="4" w:author="Matthew Nuttall" w:date="2021-11-08T11:49:00Z" w:initials="MN">
    <w:p w14:paraId="6EA17A5B" w14:textId="01A585F7" w:rsidR="00AF7E60" w:rsidRDefault="00AF7E60">
      <w:pPr>
        <w:pStyle w:val="CommentText"/>
      </w:pPr>
      <w:r>
        <w:rPr>
          <w:rStyle w:val="CommentReference"/>
        </w:rPr>
        <w:annotationRef/>
      </w:r>
      <w:r>
        <w:t>Move to SI?</w:t>
      </w:r>
    </w:p>
  </w:comment>
  <w:comment w:id="5" w:author="Matthew Nuttall" w:date="2021-10-28T11:36:00Z" w:initials="MN">
    <w:p w14:paraId="13C889B6" w14:textId="77777777" w:rsidR="00C73044" w:rsidRDefault="00C73044">
      <w:pPr>
        <w:pStyle w:val="CommentText"/>
      </w:pPr>
      <w:r>
        <w:rPr>
          <w:rStyle w:val="CommentReference"/>
        </w:rPr>
        <w:annotationRef/>
      </w:r>
      <w:r>
        <w:t>Check units for y axis for a, c, e, f</w:t>
      </w:r>
    </w:p>
    <w:p w14:paraId="1A0F7703" w14:textId="10FDE3F4" w:rsidR="00AF7E60" w:rsidRDefault="00AF7E60">
      <w:pPr>
        <w:pStyle w:val="CommentText"/>
      </w:pPr>
      <w:r>
        <w:t>Adjust y axis for c</w:t>
      </w:r>
    </w:p>
  </w:comment>
  <w:comment w:id="6" w:author="Philip McGowan" w:date="2021-09-23T20:44:00Z" w:initials="PM">
    <w:p w14:paraId="2195F61E" w14:textId="77777777" w:rsidR="008B46A1" w:rsidRDefault="008B46A1" w:rsidP="008B46A1">
      <w:pPr>
        <w:pStyle w:val="CommentText"/>
      </w:pPr>
      <w:r>
        <w:rPr>
          <w:rStyle w:val="CommentReference"/>
        </w:rPr>
        <w:annotationRef/>
      </w:r>
      <w:r>
        <w:t>OK, but are there any potential explanations for these patterns that will offer pointers as to what might be going 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883D35" w15:done="0"/>
  <w15:commentEx w15:paraId="669EA7D4" w15:done="0"/>
  <w15:commentEx w15:paraId="2932BB39" w15:done="0"/>
  <w15:commentEx w15:paraId="22E820A3" w15:done="0"/>
  <w15:commentEx w15:paraId="6EA17A5B" w15:done="0"/>
  <w15:commentEx w15:paraId="1A0F7703" w15:done="0"/>
  <w15:commentEx w15:paraId="2195F6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542F3" w16cex:dateUtc="2021-07-23T12:30:00Z"/>
  <w16cex:commentExtensible w16cex:durableId="25338D0B" w16cex:dateUtc="2021-11-08T11:48:00Z"/>
  <w16cex:commentExtensible w16cex:durableId="25338D1A" w16cex:dateUtc="2021-11-08T11:48:00Z"/>
  <w16cex:commentExtensible w16cex:durableId="25338D24" w16cex:dateUtc="2021-11-08T11:48:00Z"/>
  <w16cex:commentExtensible w16cex:durableId="25338D32" w16cex:dateUtc="2021-11-08T11:49:00Z"/>
  <w16cex:commentExtensible w16cex:durableId="252509C9" w16cex:dateUtc="2021-10-28T10:36:00Z"/>
  <w16cex:commentExtensible w16cex:durableId="2533AFDC" w16cex:dateUtc="2021-09-23T19: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883D35" w16cid:durableId="24A542F3"/>
  <w16cid:commentId w16cid:paraId="669EA7D4" w16cid:durableId="25338D0B"/>
  <w16cid:commentId w16cid:paraId="2932BB39" w16cid:durableId="25338D1A"/>
  <w16cid:commentId w16cid:paraId="22E820A3" w16cid:durableId="25338D24"/>
  <w16cid:commentId w16cid:paraId="6EA17A5B" w16cid:durableId="25338D32"/>
  <w16cid:commentId w16cid:paraId="1A0F7703" w16cid:durableId="252509C9"/>
  <w16cid:commentId w16cid:paraId="2195F61E" w16cid:durableId="2533AF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Nuttall">
    <w15:presenceInfo w15:providerId="AD" w15:userId="S::mnn1@stir.ac.uk::52bda326-1982-4d2e-bfc2-66e5e0894b6c"/>
  </w15:person>
  <w15:person w15:author="Philip McGowan">
    <w15:presenceInfo w15:providerId="AD" w15:userId="S-1-5-21-1417001333-839522115-1801674531-1753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64E"/>
    <w:rsid w:val="000111C4"/>
    <w:rsid w:val="000359C7"/>
    <w:rsid w:val="0005444F"/>
    <w:rsid w:val="00072256"/>
    <w:rsid w:val="00086943"/>
    <w:rsid w:val="000920A2"/>
    <w:rsid w:val="000A5C90"/>
    <w:rsid w:val="000A7573"/>
    <w:rsid w:val="0011048D"/>
    <w:rsid w:val="0011317E"/>
    <w:rsid w:val="00127FD8"/>
    <w:rsid w:val="0014759D"/>
    <w:rsid w:val="001A49B6"/>
    <w:rsid w:val="001C6CC0"/>
    <w:rsid w:val="001E29BB"/>
    <w:rsid w:val="00212B19"/>
    <w:rsid w:val="00234AEE"/>
    <w:rsid w:val="002473F5"/>
    <w:rsid w:val="00267F13"/>
    <w:rsid w:val="00274B68"/>
    <w:rsid w:val="00285D11"/>
    <w:rsid w:val="002C711B"/>
    <w:rsid w:val="00316B6B"/>
    <w:rsid w:val="003B4CB2"/>
    <w:rsid w:val="003D2547"/>
    <w:rsid w:val="004022CF"/>
    <w:rsid w:val="004336C4"/>
    <w:rsid w:val="00451A01"/>
    <w:rsid w:val="004B2379"/>
    <w:rsid w:val="004C58EB"/>
    <w:rsid w:val="004E5487"/>
    <w:rsid w:val="00515BD5"/>
    <w:rsid w:val="00524C0E"/>
    <w:rsid w:val="00535B36"/>
    <w:rsid w:val="00567397"/>
    <w:rsid w:val="005744DE"/>
    <w:rsid w:val="005760C1"/>
    <w:rsid w:val="00592712"/>
    <w:rsid w:val="005B33C1"/>
    <w:rsid w:val="005C65BA"/>
    <w:rsid w:val="005D0E96"/>
    <w:rsid w:val="005D1F14"/>
    <w:rsid w:val="005F24FA"/>
    <w:rsid w:val="00636916"/>
    <w:rsid w:val="00663A82"/>
    <w:rsid w:val="006E6AD5"/>
    <w:rsid w:val="006F0007"/>
    <w:rsid w:val="007173AE"/>
    <w:rsid w:val="00717426"/>
    <w:rsid w:val="0071774F"/>
    <w:rsid w:val="00756D59"/>
    <w:rsid w:val="007723BD"/>
    <w:rsid w:val="007772FF"/>
    <w:rsid w:val="00780D5F"/>
    <w:rsid w:val="007E74E7"/>
    <w:rsid w:val="007F53DC"/>
    <w:rsid w:val="008542C1"/>
    <w:rsid w:val="00890C61"/>
    <w:rsid w:val="008B17DA"/>
    <w:rsid w:val="008B46A1"/>
    <w:rsid w:val="008B6ED5"/>
    <w:rsid w:val="008F5576"/>
    <w:rsid w:val="00900623"/>
    <w:rsid w:val="00902F41"/>
    <w:rsid w:val="009107F5"/>
    <w:rsid w:val="00940351"/>
    <w:rsid w:val="009B6994"/>
    <w:rsid w:val="00A13D84"/>
    <w:rsid w:val="00A63D6A"/>
    <w:rsid w:val="00AF717F"/>
    <w:rsid w:val="00AF7E60"/>
    <w:rsid w:val="00B0710D"/>
    <w:rsid w:val="00B30997"/>
    <w:rsid w:val="00B65CA2"/>
    <w:rsid w:val="00B91ACA"/>
    <w:rsid w:val="00BA0606"/>
    <w:rsid w:val="00BB17C1"/>
    <w:rsid w:val="00C15F73"/>
    <w:rsid w:val="00C51A4D"/>
    <w:rsid w:val="00C629EA"/>
    <w:rsid w:val="00C64B16"/>
    <w:rsid w:val="00C73044"/>
    <w:rsid w:val="00C769D9"/>
    <w:rsid w:val="00CD0112"/>
    <w:rsid w:val="00D1536D"/>
    <w:rsid w:val="00D25F20"/>
    <w:rsid w:val="00D6664E"/>
    <w:rsid w:val="00E62493"/>
    <w:rsid w:val="00E7333A"/>
    <w:rsid w:val="00E821FF"/>
    <w:rsid w:val="00F2715A"/>
    <w:rsid w:val="00F34C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FE407"/>
  <w15:chartTrackingRefBased/>
  <w15:docId w15:val="{8C8991C4-158C-4BC0-8DC5-6166767A2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6664E"/>
    <w:rPr>
      <w:sz w:val="16"/>
      <w:szCs w:val="16"/>
    </w:rPr>
  </w:style>
  <w:style w:type="paragraph" w:styleId="CommentText">
    <w:name w:val="annotation text"/>
    <w:basedOn w:val="Normal"/>
    <w:link w:val="CommentTextChar"/>
    <w:uiPriority w:val="99"/>
    <w:unhideWhenUsed/>
    <w:rsid w:val="00D6664E"/>
    <w:pPr>
      <w:spacing w:line="240" w:lineRule="auto"/>
    </w:pPr>
    <w:rPr>
      <w:sz w:val="20"/>
      <w:szCs w:val="20"/>
    </w:rPr>
  </w:style>
  <w:style w:type="character" w:customStyle="1" w:styleId="CommentTextChar">
    <w:name w:val="Comment Text Char"/>
    <w:basedOn w:val="DefaultParagraphFont"/>
    <w:link w:val="CommentText"/>
    <w:uiPriority w:val="99"/>
    <w:rsid w:val="00D6664E"/>
    <w:rPr>
      <w:sz w:val="20"/>
      <w:szCs w:val="20"/>
    </w:rPr>
  </w:style>
  <w:style w:type="character" w:styleId="Hyperlink">
    <w:name w:val="Hyperlink"/>
    <w:basedOn w:val="DefaultParagraphFont"/>
    <w:uiPriority w:val="99"/>
    <w:unhideWhenUsed/>
    <w:rsid w:val="00D6664E"/>
    <w:rPr>
      <w:color w:val="0563C1" w:themeColor="hyperlink"/>
      <w:u w:val="single"/>
    </w:rPr>
  </w:style>
  <w:style w:type="character" w:styleId="UnresolvedMention">
    <w:name w:val="Unresolved Mention"/>
    <w:basedOn w:val="DefaultParagraphFont"/>
    <w:uiPriority w:val="99"/>
    <w:semiHidden/>
    <w:unhideWhenUsed/>
    <w:rsid w:val="00D6664E"/>
    <w:rPr>
      <w:color w:val="605E5C"/>
      <w:shd w:val="clear" w:color="auto" w:fill="E1DFDD"/>
    </w:rPr>
  </w:style>
  <w:style w:type="table" w:styleId="TableGrid">
    <w:name w:val="Table Grid"/>
    <w:basedOn w:val="TableNormal"/>
    <w:uiPriority w:val="39"/>
    <w:rsid w:val="00D666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73044"/>
    <w:rPr>
      <w:b/>
      <w:bCs/>
    </w:rPr>
  </w:style>
  <w:style w:type="character" w:customStyle="1" w:styleId="CommentSubjectChar">
    <w:name w:val="Comment Subject Char"/>
    <w:basedOn w:val="CommentTextChar"/>
    <w:link w:val="CommentSubject"/>
    <w:uiPriority w:val="99"/>
    <w:semiHidden/>
    <w:rsid w:val="00C7304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hyperlink" Target="http://www.opendevelopmentcambodia.net" TargetMode="External"/><Relationship Id="rId15" Type="http://schemas.openxmlformats.org/officeDocument/2006/relationships/image" Target="media/image6.png"/><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F2875-0DC1-4363-AB9E-8C71606BC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7634</TotalTime>
  <Pages>22</Pages>
  <Words>31323</Words>
  <Characters>178545</Characters>
  <Application>Microsoft Office Word</Application>
  <DocSecurity>0</DocSecurity>
  <Lines>1487</Lines>
  <Paragraphs>418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26</cp:revision>
  <dcterms:created xsi:type="dcterms:W3CDTF">2021-10-26T19:13:00Z</dcterms:created>
  <dcterms:modified xsi:type="dcterms:W3CDTF">2021-11-08T21:39:00Z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id="DlLEKdlZ"/&gt;&lt;style id="http://www.zotero.org/styles/conservation-biology" hasBibliography="1" bibliographyStyleHasBeenSet="0"/&gt;&lt;prefs&gt;&lt;pref name="fieldType" value="Field"/&gt;&lt;pref name="automaticJ</vt:lpwstr>
  </property>
  <property fmtid="{D5CDD505-2E9C-101B-9397-08002B2CF9AE}" pid="3" name="ZOTERO_PREF_2">
    <vt:lpwstr>ournalAbbreviations" value="true"/&gt;&lt;/prefs&gt;&lt;/data&gt;</vt:lpwstr>
  </property>
</Properties>
</file>