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02C4" w14:textId="1D0A8B5F" w:rsidR="00612128" w:rsidRDefault="005B33C1">
      <w:pPr>
        <w:rPr>
          <w:b/>
          <w:bCs/>
        </w:rPr>
      </w:pPr>
      <w:r>
        <w:rPr>
          <w:b/>
          <w:bCs/>
        </w:rPr>
        <w:t xml:space="preserve">Introduction </w:t>
      </w:r>
    </w:p>
    <w:p w14:paraId="2337EA05" w14:textId="2469E8EE" w:rsidR="0005444F" w:rsidRDefault="000111C4">
      <w:r>
        <w:t xml:space="preserve">Tropical deforestation is a significant threat to biodiversity, ecosystem processes, and local people </w:t>
      </w:r>
      <w:r>
        <w:fldChar w:fldCharType="begin"/>
      </w:r>
      <w:r>
        <w:instrText xml:space="preserve"> ADDIN ZOTERO_ITEM CSL_CITATION {"citationID":"IQD5xEzv","properties":{"formattedCitation":"(Frewer &amp; Chan 2014; Estoque et al. 2019)","plainCitation":"(Frewer &amp; Chan 2014; Estoque et al. 2019)","noteIndex":0},"citationItems":[{"id":1667,"uris":["http://zotero.org/users/2170232/items/W5KFBHFU"],"uri":["http://zotero.org/users/2170232/items/W5KFBHFU"],"itemData":{"id":1667,"type":"article-journal","abstract":"GIS-RS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fldChar w:fldCharType="separate"/>
      </w:r>
      <w:r w:rsidRPr="000111C4">
        <w:rPr>
          <w:rFonts w:ascii="Calibri" w:hAnsi="Calibri" w:cs="Calibri"/>
        </w:rPr>
        <w:t>(Frewer &amp; Chan 2014; Estoque et al. 2019)</w:t>
      </w:r>
      <w:r>
        <w:fldChar w:fldCharType="end"/>
      </w:r>
      <w:r>
        <w:t xml:space="preserve">, and is particularly insidious in its complexity </w:t>
      </w:r>
      <w:r>
        <w:fldChar w:fldCharType="begin"/>
      </w:r>
      <w:r>
        <w:instrText xml:space="preserve"> ADDIN ZOTERO_ITEM CSL_CITATION {"citationID":"4Nk3K687","properties":{"formattedCitation":"(Mena et al. 2006; Rowcroft 2008; Kong et al. 2019)","plainCitation":"(Mena et al. 2006; Rowcroft 2008; Kong et al. 2019)","noteIndex":0},"citationItems":[{"id":2260,"uris":["http://zotero.org/users/2170232/items/BTIITC3E"],"uri":["http://zotero.org/users/2170232/items/BTIITC3E"],"itemData":{"id":2260,"type":"article-journal","abstract":"Investigations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fldChar w:fldCharType="separate"/>
      </w:r>
      <w:r w:rsidRPr="000111C4">
        <w:rPr>
          <w:rFonts w:ascii="Calibri" w:hAnsi="Calibri" w:cs="Calibri"/>
        </w:rPr>
        <w:t>(Mena et al. 2006; Rowcroft 2008; Kong et al. 2019)</w:t>
      </w:r>
      <w:r>
        <w:fldChar w:fldCharType="end"/>
      </w:r>
      <w:r>
        <w:t xml:space="preserve">. </w:t>
      </w:r>
      <w:r w:rsidR="004B2379">
        <w:t xml:space="preserve">The drivers of forest loss in the tropics are not only numerous and multifaceted, but they operate at multiple scales and are comprised of complex feedback loops between ecological, biophysical, social, </w:t>
      </w:r>
      <w:r w:rsidR="00B91ACA">
        <w:t xml:space="preserve">cultural, </w:t>
      </w:r>
      <w:r w:rsidR="004B2379">
        <w:t xml:space="preserve">political, and economic factors </w:t>
      </w:r>
      <w:r w:rsidR="004B2379">
        <w:fldChar w:fldCharType="begin"/>
      </w:r>
      <w:r w:rsidR="00B91ACA">
        <w:instrText xml:space="preserve"> ADDIN ZOTERO_ITEM CSL_CITATION {"citationID":"TdqqAGpI","properties":{"formattedCitation":"(Geist &amp; Lambin 2002, 2003; Shrestha et al. 2018; Xu et al. 2019; Mannan et al. 2019)","plainCitation":"(Geist &amp; Lambin 2002, 2003; Shrestha et al. 2018; Xu et al. 2019; Mannan et al. 2019)","noteIndex":0},"citationItems":[{"id":1947,"uris":["http://zotero.org/users/2170232/items/HNTSNFG3"],"uri":["http://zotero.org/users/2170232/items/HNTSNFG3"],"itemData":{"id":1947,"type":"article-journal","abstract":"One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2103,"uris":["http://zotero.org/users/2170232/items/QKT7ZI6Q"],"uri":["http://zotero.org/users/2170232/items/QKT7ZI6Q"],"itemData":{"id":2103,"type":"article-journal","abstract":"Despite the local and global importance of forests, deforestation is driven by various socio-economic and biophysical factors continues in many countries. In Nepal, in response to massive deforestation, the community forestry program has been implemented to reduce deforestation and support livelihoods. After four decades of its inception, the effectiveness of this program on forest cover change remains mostly unknown. This study analyses the spatial and temporal patterns of tree cover change along with a few socio-economic drivers of tree cover change to examine the effectiveness of the community forestry program for conserving forests or in reducing deforestation. We also investigate the socio-economic factors and policy responses as manifested through the community forestry program responsible for the tree cover change at the district level. The total tree cover area in the year 2000 in Nepal was </w:instrText>
      </w:r>
      <w:r w:rsidR="00B91ACA">
        <w:rPr>
          <w:rFonts w:ascii="Cambria Math" w:hAnsi="Cambria Math" w:cs="Cambria Math"/>
        </w:rPr>
        <w:instrText>∼</w:instrText>
      </w:r>
      <w:r w:rsidR="00B91ACA">
        <w:instrText xml:space="preserve">4,746,000 hectares, and our analysis reveals that between 2001 and 2016, Nepal has lost </w:instrText>
      </w:r>
      <w:r w:rsidR="00B91ACA">
        <w:rPr>
          <w:rFonts w:ascii="Cambria Math" w:hAnsi="Cambria Math" w:cs="Cambria Math"/>
        </w:rPr>
        <w:instrText>∼</w:instrText>
      </w:r>
      <w:r w:rsidR="00B91ACA">
        <w:instrText xml:space="preserve">46,000 ha and gained </w:instrText>
      </w:r>
      <w:r w:rsidR="00B91ACA">
        <w:rPr>
          <w:rFonts w:ascii="Cambria Math" w:hAnsi="Cambria Math" w:cs="Cambria Math"/>
        </w:rPr>
        <w:instrText>∼</w:instrText>
      </w:r>
      <w:r w:rsidR="00B91ACA">
        <w:instrText xml:space="preserve">12,200 ha of areas covered by trees with a substantial spatial and temporal variations. After accounting socio-economic drivers of forest cover change, our analysis showed that districts with the larger number of community forests had a minimum loss in tree cover, while districts with the higher proportion of vegetation covered by community forests had a maximum gain in tree cover. This indicates a positive contribution of the community forestry program to reducing deforestation and increasing tree cover.","container-title":"PeerJ","DOI":"10.7717/peerj.4855","ISSN":"2167-8359","journalAbbreviation":"PeerJ","language":"en","page":"e4855","source":"peerj.com","title":"Socio-economic factors and management regimes as drivers of tree cover change in Nepal","volume":"6","author":[{"family":"Shrestha","given":"Sujata"},{"family":"Shrestha","given":"Uttam B."},{"family":"Bawa","given":"Kamal"}],"issued":{"date-parts":[["2018",5,29]]}}},{"id":2021,"uris":["http://zotero.org/users/2170232/items/ABVWHT2J"],"uri":["http://zotero.org/users/2170232/items/ABVWHT2J"],"itemData":{"id":2021,"type":"article-journal","abstract":"South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4B2379">
        <w:fldChar w:fldCharType="separate"/>
      </w:r>
      <w:r w:rsidR="00B91ACA" w:rsidRPr="00B91ACA">
        <w:rPr>
          <w:rFonts w:ascii="Calibri" w:hAnsi="Calibri" w:cs="Calibri"/>
        </w:rPr>
        <w:t>(Geist &amp; Lambin 2002, 2003; Shrestha et al. 2018; Xu et al. 2019; Mannan et al. 2019)</w:t>
      </w:r>
      <w:r w:rsidR="004B2379">
        <w:fldChar w:fldCharType="end"/>
      </w:r>
      <w:r w:rsidR="00B91ACA">
        <w:t xml:space="preserve">. This complexity means that underlying drivers operating at national, regional, or even global scales manifest themselves in a variety of proximate causes, which themselves are governed and shaped by local conditions </w:t>
      </w:r>
      <w:r w:rsidR="00B91ACA">
        <w:fldChar w:fldCharType="begin"/>
      </w:r>
      <w:r w:rsidR="00C769D9">
        <w:instrText xml:space="preserve"> ADDIN ZOTERO_ITEM CSL_CITATION {"citationID":"d38DZeYY","properties":{"formattedCitation":"(Geist &amp; Lambin 2002; Fox &amp; Vogler 2005; Van Den Hoek et al. 2014)","plainCitation":"(Geist &amp; Lambin 2002; Fox &amp; Vogler 2005; Van Den Hoek et al. 2014)","noteIndex":0},"citationItems":[{"id":1947,"uris":["http://zotero.org/users/2170232/items/HNTSNFG3"],"uri":["http://zotero.org/users/2170232/items/HNTSNFG3"],"itemData":{"id":1947,"type":"article-journal","abstract":"One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Hoek","given":"Jamon"},{"family":"Ozdogan","given":"Mutlu"},{"family":"Burnicki","given":"Amy"},{"family":"Zhu","given":"A-Xing"}],"issued":{"date-parts":[["2014",2,1]]}}}],"schema":"https://github.com/citation-style-language/schema/raw/master/csl-citation.json"} </w:instrText>
      </w:r>
      <w:r w:rsidR="00B91ACA">
        <w:fldChar w:fldCharType="separate"/>
      </w:r>
      <w:r w:rsidR="00C769D9" w:rsidRPr="00C769D9">
        <w:rPr>
          <w:rFonts w:ascii="Calibri" w:hAnsi="Calibri" w:cs="Calibri"/>
        </w:rPr>
        <w:t>(Geist &amp; Lambin 2002; Fox &amp; Vogler 2005; Van Den Hoek et al. 2014)</w:t>
      </w:r>
      <w:r w:rsidR="00B91ACA">
        <w:fldChar w:fldCharType="end"/>
      </w:r>
      <w:r w:rsidR="00C769D9">
        <w:t>. The dynamics between drivers at different scales makes disentangling the causes of deforestation highly contextual</w:t>
      </w:r>
      <w:r w:rsidR="00524C0E">
        <w:t xml:space="preserve">, increasing the value of local studies. Local socioeconomic conditions </w:t>
      </w:r>
      <w:r w:rsidR="007723BD">
        <w:t>are</w:t>
      </w:r>
      <w:r w:rsidR="00524C0E">
        <w:t xml:space="preserve"> important</w:t>
      </w:r>
      <w:r w:rsidR="007723BD">
        <w:t xml:space="preserve"> factors</w:t>
      </w:r>
      <w:r w:rsidR="00524C0E">
        <w:t xml:space="preserve"> in understanding the link between broader drivers </w:t>
      </w:r>
      <w:r w:rsidR="007723BD">
        <w:t>of land use change</w:t>
      </w:r>
      <w:r w:rsidR="00890C61">
        <w:t xml:space="preserve"> (LUC)</w:t>
      </w:r>
      <w:r w:rsidR="007723BD">
        <w:t xml:space="preserve"> and deforestation, and can be effective predictors of forest loss </w:t>
      </w:r>
      <w:r w:rsidR="007723BD">
        <w:fldChar w:fldCharType="begin"/>
      </w:r>
      <w:r w:rsidR="00BA0606">
        <w:instrText xml:space="preserve"> ADDIN ZOTERO_ITEM CSL_CITATION {"citationID":"WpIIj9BZ","properties":{"formattedCitation":"(Redo et al. 2012; Liu et al. 2016; Bonilla-Bedoya et al. 2018)","plainCitation":"(Redo et al. 2012; Liu et al. 2016; Bonilla-Bedoya et al. 2018)","noteIndex":0},"citationItems":[{"id":2946,"uris":["http://zotero.org/users/2170232/items/IVIAVP7Y"],"uri":["http://zotero.org/users/2170232/items/IVIAVP7Y"],"itemData":{"id":2946,"type":"article-journal","abstract":"Forest transitions (FT) have been observed in many developed countries and more recently in the developing world. However, our knowledge of FT from tropical regions is mostly derived from case studies from within a particular country, making it difficult to generalize findings across larger regions. Here we overcome these difficulties by conducting a recent (2001–2010) satellite-based analysis of trends in forest cover across Central America, stratified by biomes, which we related to socioeconomic variables associated with human development. Results show a net decrease of woody vegetation resulting from 12,201 km2 of deforestation of moist forests and 6,825 km2 of regrowth of conifer and dry forests. The Human Development Index was the socioeconomic variable best associated with forest cover change. The least-developed countries, Nicaragua and Guatemala, experienced both rapid deforestation of moist forests and significant recovery of conifer and dry forests. In contrast, the most developed countries, Panama and Costa Rica, had net woody vegetation gain and a more stable forest cover configuration. These results imply a good agreement with FT predictions of forest change in relation to socioeconomic development, but strong asymmetry in rates and directions of change largely dependent upon the biome where change is occurring. The FT model should be refined by incorporating ecological and socioeconomic heterogeneity, particularly in multicountry and regional studies. These asymmetric patterns of forest change should be evaluated when developing strategies for conserving biodiversity and environmental services.","container-title":"Proceedings of the National Academy of Sciences","DOI":"10.1073/pnas.1201664109","ISSN":"0027-8424, 1091-6490","issue":"23","journalAbbreviation":"PNAS","language":"en","note":"publisher: National Academy of Sciences\nsection: Physical Sciences\nPMID: 22615408","page":"8839-8844","source":"www.pnas.org","title":"Asymmetric forest transition driven by the interaction of socioeconomic development and environmental heterogeneity in Central America","volume":"109","author":[{"family":"Redo","given":"Daniel J."},{"family":"Grau","given":"H. Ricardo"},{"family":"Aide","given":"T. Mitchell"},{"family":"Clark","given":"Matthew L."}],"issued":{"date-parts":[["2012",6,5]]}}},{"id":2952,"uris":["http://zotero.org/users/2170232/items/6LIR9TKR"],"uri":["http://zotero.org/users/2170232/items/6LIR9TKR"],"itemData":{"id":2952,"type":"article-journal","abstract":"Forest loss and fragmentation, which generate various negative environmental and ecological consequences, have become widespread phenomena across the globe. Motivation to investigate the underlying drivers is essential for land use planning and policy decision making. This paper characterizes forest loss and fragmentation from 1979 to 2014 in the Ningbo region (China) using multitemporal satellite imageries and a set of landscape metrics (area-weighted mean patch area, edge density, area-weighted shape index, Euclidean nearest neighbor distance, effective mesh size and total area); and then quantifies the responsible socioeconomic drivers (economy, social activities, science and technology, culture and policy, demography) under different land use planning schemes (urban and non-urban) using multivariate linear regression. Results show that the two zones present identical trend of intensifying forest loss and fragmentation but differ in changing magnitude and speed. More specifically, forest loss and fragmentation in the non-urban planning zone occurs at a significantly higher pace and magnitude. For the urban planning zone, population pressure, economic growth and fruit consumption are the primary drivers of forest loss, while forest fragmentation is mainly driven by economic openness, cash crop consumption and environmental protection consciousness. For the non-urban planning zone, income increases, fruit consumption and infrastructure development are the primary drivers of forest loss, while infrastructure and tourism development are the major drivers of forest fragmentation. Besides, forest loss and fragmentation in the two zones are both heavily subjected to land use policy. The variance partitioning analysis highlights that the policy driver is the most influential one and economic driver also has strong effect on forest loss and fragmentation in the urban planning zone. For the non-urban planning zone, the influence of policy driver is the strongest and social activity is also very powerful. These results provide compelling evidence that land use planning fails to play an efficient role in protecting forest resources in the Ningbo region. The failure should be attributed to several issues associated with land use planning and forestry governance that widely exist in China. We finally propose some pertinent implications and suggestions for China’s land use planning and forest policy. This study is believed to advance the understanding of the socioeconomic drivers of forest loss and fragmentation. It therefore provides some new insights in land use policy.","container-title":"Land Use Policy","DOI":"10.1016/j.landusepol.2016.01.016","ISSN":"0264-8377","journalAbbreviation":"Land Use Policy","language":"en","page":"58-68","source":"ScienceDirect","title":"Socioeconomic drivers of forest loss and fragmentation: A comparison between different land use planning schemes and policy implications","title-short":"Socioeconomic drivers of forest loss and fragmentation","volume":"54","author":[{"family":"Liu","given":"Yaolin"},{"family":"Feng","given":"Yuhao"},{"family":"Zhao","given":"Zhe"},{"family":"Zhang","given":"Qianwen"},{"family":"Su","given":"Shiliang"}],"issued":{"date-parts":[["2016",7,1]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7723BD">
        <w:fldChar w:fldCharType="separate"/>
      </w:r>
      <w:r w:rsidR="00BA0606" w:rsidRPr="00BA0606">
        <w:rPr>
          <w:rFonts w:ascii="Calibri" w:hAnsi="Calibri" w:cs="Calibri"/>
        </w:rPr>
        <w:t>(Redo et al. 2012; Liu et al. 2016; Bonilla-Bedoya et al. 2018)</w:t>
      </w:r>
      <w:r w:rsidR="007723BD">
        <w:fldChar w:fldCharType="end"/>
      </w:r>
      <w:r w:rsidR="007723BD">
        <w:t>.</w:t>
      </w:r>
      <w:r w:rsidR="00524C0E">
        <w:t xml:space="preserve"> </w:t>
      </w:r>
      <w:r w:rsidR="0005444F">
        <w:t xml:space="preserve">Proximate causes of deforestation such as agricultural expansion and infrastructure development are often closely linked via feedback loops and dependencies to socioeconomic conditions including poverty, migration, local economies, and land and wealth inequality </w:t>
      </w:r>
      <w:r w:rsidR="0005444F">
        <w:fldChar w:fldCharType="begin"/>
      </w:r>
      <w:r w:rsidR="0005444F">
        <w:instrText xml:space="preserve"> ADDIN ZOTERO_ITEM CSL_CITATION {"citationID":"p7dz9ICJ","properties":{"formattedCitation":"(Geist &amp; Lambin 2002; Khuc et al. 2018)","plainCitation":"(Geist &amp; Lambin 2002; Khuc et al. 2018)","noteIndex":0},"citationItems":[{"id":1947,"uris":["http://zotero.org/users/2170232/items/HNTSNFG3"],"uri":["http://zotero.org/users/2170232/items/HNTSNFG3"],"itemData":{"id":1947,"type":"article-journal","abstract":"One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05444F">
        <w:fldChar w:fldCharType="separate"/>
      </w:r>
      <w:r w:rsidR="0005444F" w:rsidRPr="0005444F">
        <w:rPr>
          <w:rFonts w:ascii="Calibri" w:hAnsi="Calibri" w:cs="Calibri"/>
        </w:rPr>
        <w:t xml:space="preserve">(Geist &amp; </w:t>
      </w:r>
      <w:proofErr w:type="spellStart"/>
      <w:r w:rsidR="0005444F" w:rsidRPr="0005444F">
        <w:rPr>
          <w:rFonts w:ascii="Calibri" w:hAnsi="Calibri" w:cs="Calibri"/>
        </w:rPr>
        <w:t>Lambin</w:t>
      </w:r>
      <w:proofErr w:type="spellEnd"/>
      <w:r w:rsidR="0005444F" w:rsidRPr="0005444F">
        <w:rPr>
          <w:rFonts w:ascii="Calibri" w:hAnsi="Calibri" w:cs="Calibri"/>
        </w:rPr>
        <w:t xml:space="preserve"> 2002; </w:t>
      </w:r>
      <w:proofErr w:type="spellStart"/>
      <w:r w:rsidR="0005444F" w:rsidRPr="0005444F">
        <w:rPr>
          <w:rFonts w:ascii="Calibri" w:hAnsi="Calibri" w:cs="Calibri"/>
        </w:rPr>
        <w:t>Khuc</w:t>
      </w:r>
      <w:proofErr w:type="spellEnd"/>
      <w:r w:rsidR="0005444F" w:rsidRPr="0005444F">
        <w:rPr>
          <w:rFonts w:ascii="Calibri" w:hAnsi="Calibri" w:cs="Calibri"/>
        </w:rPr>
        <w:t xml:space="preserve"> et al. 2018)</w:t>
      </w:r>
      <w:r w:rsidR="0005444F">
        <w:fldChar w:fldCharType="end"/>
      </w:r>
      <w:r w:rsidR="005F24FA">
        <w:t xml:space="preserve">. Therefore, understanding </w:t>
      </w:r>
      <w:r w:rsidR="006F0007">
        <w:t>the link between</w:t>
      </w:r>
      <w:r w:rsidR="005F24FA">
        <w:t xml:space="preserve"> socioeconomics </w:t>
      </w:r>
      <w:r w:rsidR="006F0007">
        <w:t>and</w:t>
      </w:r>
      <w:r w:rsidR="005F24FA">
        <w:t xml:space="preserve"> forest cover at different scales is a crucial step in the development of effective economic and environmental policies that have positive effects on both people and forests. </w:t>
      </w:r>
    </w:p>
    <w:p w14:paraId="7CF7A200" w14:textId="4DFE3C8F" w:rsidR="00E62493" w:rsidRDefault="00890C61">
      <w:r>
        <w:t xml:space="preserve">Socioeconomics can encompass a huge variety of conditions that describe the social, demographic, and economic state of local people, and can affect which drivers of LUC are most influential in causing forest loss </w:t>
      </w:r>
      <w:r>
        <w:fldChar w:fldCharType="begin"/>
      </w:r>
      <w:r>
        <w:instrText xml:space="preserve"> ADDIN ZOTERO_ITEM CSL_CITATION {"citationID":"IbVJMlPr","properties":{"formattedCitation":"(Mena et al. 2006)","plainCitation":"(Mena et al. 2006)","noteIndex":0},"citationItems":[{"id":2260,"uris":["http://zotero.org/users/2170232/items/BTIITC3E"],"uri":["http://zotero.org/users/2170232/items/BTIITC3E"],"itemData":{"id":2260,"type":"article-journal","abstract":"Investigations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E."}],"issued":{"date-parts":[["2006",6,1]]}}}],"schema":"https://github.com/citation-style-language/schema/raw/master/csl-citation.json"} </w:instrText>
      </w:r>
      <w:r>
        <w:fldChar w:fldCharType="separate"/>
      </w:r>
      <w:r w:rsidRPr="00890C61">
        <w:rPr>
          <w:rFonts w:ascii="Calibri" w:hAnsi="Calibri" w:cs="Calibri"/>
        </w:rPr>
        <w:t>(Mena et al. 2006)</w:t>
      </w:r>
      <w:r>
        <w:fldChar w:fldCharType="end"/>
      </w:r>
      <w:r>
        <w:t xml:space="preserve">. </w:t>
      </w:r>
      <w:r w:rsidR="00451A01">
        <w:t>The complexity of social-ecological systems means that it is challenging for researchers to identify and model all the correct and appropriate socioeconomic predictors of forest loss, but there is a wealth of research that has helped to untangle certain relationships in specific locations and</w:t>
      </w:r>
      <w:r w:rsidR="003B4CB2">
        <w:t xml:space="preserve"> at specific</w:t>
      </w:r>
      <w:r w:rsidR="00451A01">
        <w:t xml:space="preserve"> scales.</w:t>
      </w:r>
      <w:r w:rsidR="009107F5">
        <w:t xml:space="preserve"> At the local scale, socioeconomic drivers and economics that affect decision-making processes within households, </w:t>
      </w:r>
      <w:r w:rsidR="00E7333A">
        <w:t>coupled with</w:t>
      </w:r>
      <w:r w:rsidR="009107F5">
        <w:t xml:space="preserve"> institutional factors</w:t>
      </w:r>
      <w:r w:rsidR="00E7333A">
        <w:t>,</w:t>
      </w:r>
      <w:r w:rsidR="009107F5">
        <w:t xml:space="preserve"> are often the most relevant for influencing LUC </w:t>
      </w:r>
      <w:r w:rsidR="00E7333A">
        <w:fldChar w:fldCharType="begin"/>
      </w:r>
      <w:r w:rsidR="00E7333A">
        <w:instrText xml:space="preserve"> ADDIN ZOTERO_ITEM CSL_CITATION {"citationID":"nfREo3kL","properties":{"formattedCitation":"(Van Den Hoek et al. 2014; Gatto et al. 2015)","plainCitation":"(Van Den Hoek et al. 2014; Gatto et al. 2015)","noteIndex":0},"citationItems":[{"id":2944,"uris":["http://zotero.org/users/2170232/items/2KHAFC44"],"uri":["http://zotero.org/users/2170232/items/2KHAFC44"],"itemData":{"id":2944,"type":"article-journal","abstract":"China's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E7333A">
        <w:fldChar w:fldCharType="separate"/>
      </w:r>
      <w:r w:rsidR="00E7333A" w:rsidRPr="00E7333A">
        <w:rPr>
          <w:rFonts w:ascii="Calibri" w:hAnsi="Calibri" w:cs="Calibri"/>
        </w:rPr>
        <w:t xml:space="preserve">(Van Den Hoek et al. 2014; </w:t>
      </w:r>
      <w:proofErr w:type="spellStart"/>
      <w:r w:rsidR="00E7333A" w:rsidRPr="00E7333A">
        <w:rPr>
          <w:rFonts w:ascii="Calibri" w:hAnsi="Calibri" w:cs="Calibri"/>
        </w:rPr>
        <w:t>Gatto</w:t>
      </w:r>
      <w:proofErr w:type="spellEnd"/>
      <w:r w:rsidR="00E7333A" w:rsidRPr="00E7333A">
        <w:rPr>
          <w:rFonts w:ascii="Calibri" w:hAnsi="Calibri" w:cs="Calibri"/>
        </w:rPr>
        <w:t xml:space="preserve"> et al. 2015)</w:t>
      </w:r>
      <w:r w:rsidR="00E7333A">
        <w:fldChar w:fldCharType="end"/>
      </w:r>
      <w:r w:rsidR="00E7333A">
        <w:t>.</w:t>
      </w:r>
      <w:r>
        <w:t xml:space="preserve"> </w:t>
      </w:r>
      <w:r w:rsidR="00E7333A">
        <w:t xml:space="preserve">Poverty was once believed to be the single most important socioeconomic driver of deforestation </w:t>
      </w:r>
      <w:r w:rsidR="00E7333A">
        <w:fldChar w:fldCharType="begin"/>
      </w:r>
      <w:r w:rsidR="00E7333A">
        <w:instrText xml:space="preserve"> ADDIN ZOTERO_ITEM CSL_CITATION {"citationID":"gg1hLWw4","properties":{"formattedCitation":"(Lomborg 2001)","plainCitation":"(Lomborg 2001)","noteIndex":0},"citationItems":[{"id":2955,"uris":["http://zotero.org/users/2170232/items/68NLRKFV"],"uri":["http://zotero.org/users/2170232/items/68NLRKFV"],"itemData":{"id":2955,"type":"book","abstract":"Bjørn Lomborg, a former member of Greenpeace, challenges widely held beliefs that the world environmental situation is getting worse and worse in his new book, The Skeptical Environmentalist. Using statistical information from internationally recognized research institutes, Lomborg systematically examines a range of major environmental issues that feature prominently in headline news around the world, including pollution, biodiversity, fear of chemicals, and the greenhouse effect, and documents that the world has actually improved. He supports his arguments with over 2500 footnotes, allowing readers to check his sources. Lomborg criticizes the way many environmental organizations make selective and misleading use of scientific evidence and argues that we are making decisions about the use of our limited resources based on inaccurate or incomplete information. Concluding that there are more reasons for optimism than pessimism, he stresses the need for clear-headed prioritization of resources to tackle real, not imagined, problems. The Skeptical Environmentalist offers readers a non-partisan evaluation that serves as a useful corrective to the more alarmist accounts favored by campaign groups and the media. Bjørn Lomborg is an associate professor of statistics in the Department of Political Science at the University of Aarhus. When he started to investigate the statistics behind the current gloomy view of the environment, he was genuinely surprised. He published four lengthy articles in the leading Danish newspaper, including statistics documenting an ever-improving world, and unleashed the biggest post-war debate with more than 400 articles in all the major papers. Since then, Lomborg has been a frequent participant in the European debate on environmentalism on television, radio, and in newspapers.","ISBN":"978-0-521-01068-9","language":"en","note":"Google-Books-ID: JuLko8USApwC","number-of-pages":"546","publisher":"Cambridge University Press","source":"Google Books","title":"The Skeptical Environmentalist: Measuring the Real State of the World","title-short":"The Skeptical Environmentalist","author":[{"family":"Lomborg","given":"Bjørn"}],"issued":{"date-parts":[["2001"]]}}}],"schema":"https://github.com/citation-style-language/schema/raw/master/csl-citation.json"} </w:instrText>
      </w:r>
      <w:r w:rsidR="00E7333A">
        <w:fldChar w:fldCharType="separate"/>
      </w:r>
      <w:r w:rsidR="00E7333A" w:rsidRPr="00E7333A">
        <w:rPr>
          <w:rFonts w:ascii="Calibri" w:hAnsi="Calibri" w:cs="Calibri"/>
        </w:rPr>
        <w:t>(</w:t>
      </w:r>
      <w:r w:rsidR="004336C4">
        <w:rPr>
          <w:rFonts w:ascii="Calibri" w:hAnsi="Calibri" w:cs="Calibri"/>
        </w:rPr>
        <w:t xml:space="preserve">e.g., </w:t>
      </w:r>
      <w:r w:rsidR="00E7333A" w:rsidRPr="00E7333A">
        <w:rPr>
          <w:rFonts w:ascii="Calibri" w:hAnsi="Calibri" w:cs="Calibri"/>
        </w:rPr>
        <w:t>Lomborg 2001)</w:t>
      </w:r>
      <w:r w:rsidR="00E7333A">
        <w:fldChar w:fldCharType="end"/>
      </w:r>
      <w:r w:rsidR="00E7333A">
        <w:t xml:space="preserve">, although more recent research has added significant nuance to this argument </w:t>
      </w:r>
      <w:r w:rsidR="00E7333A">
        <w:fldChar w:fldCharType="begin"/>
      </w:r>
      <w:r w:rsidR="00E7333A">
        <w:instrText xml:space="preserve"> ADDIN ZOTERO_ITEM CSL_CITATION {"citationID":"CSfOEerN","properties":{"formattedCitation":"(Geist &amp; Lambin 2003)","plainCitation":"(Geist &amp; Lambin 2003)","noteIndex":0},"citationItems":[{"id":2941,"uris":["http://zotero.org/users/2170232/items/PAZIGWER"],"uri":["http://zotero.org/users/2170232/items/PAZIGWER"],"itemData":{"id":2941,"type":"article-journal","container-title":"The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deforestation?","volume":"5","author":[{"family":"Geist","given":"H."},{"family":"Lambin","given":"E."}],"issued":{"date-parts":[["2003"]]}}}],"schema":"https://github.com/citation-style-language/schema/raw/master/csl-citation.json"} </w:instrText>
      </w:r>
      <w:r w:rsidR="00E7333A">
        <w:fldChar w:fldCharType="separate"/>
      </w:r>
      <w:r w:rsidR="00E7333A" w:rsidRPr="00E7333A">
        <w:rPr>
          <w:rFonts w:ascii="Calibri" w:hAnsi="Calibri" w:cs="Calibri"/>
        </w:rPr>
        <w:t xml:space="preserve">(Geist &amp; </w:t>
      </w:r>
      <w:proofErr w:type="spellStart"/>
      <w:r w:rsidR="00E7333A" w:rsidRPr="00E7333A">
        <w:rPr>
          <w:rFonts w:ascii="Calibri" w:hAnsi="Calibri" w:cs="Calibri"/>
        </w:rPr>
        <w:t>Lambin</w:t>
      </w:r>
      <w:proofErr w:type="spellEnd"/>
      <w:r w:rsidR="00E7333A" w:rsidRPr="00E7333A">
        <w:rPr>
          <w:rFonts w:ascii="Calibri" w:hAnsi="Calibri" w:cs="Calibri"/>
        </w:rPr>
        <w:t xml:space="preserve"> 2003)</w:t>
      </w:r>
      <w:r w:rsidR="00E7333A">
        <w:fldChar w:fldCharType="end"/>
      </w:r>
      <w:r w:rsidR="00BA0606">
        <w:t xml:space="preserve">, while other studies have demonstrated that poverty played very little role at all in deforestation </w:t>
      </w:r>
      <w:r w:rsidR="00BA0606">
        <w:fldChar w:fldCharType="begin"/>
      </w:r>
      <w:r w:rsidR="00BA0606">
        <w:instrText xml:space="preserve"> ADDIN ZOTERO_ITEM CSL_CITATION {"citationID":"Qdphm673","properties":{"formattedCitation":"(Onojeghuo &amp; Blackburn 2011)","plainCitation":"(Onojeghuo &amp; Blackburn 2011)","noteIndex":0},"citationItems":[{"id":2656,"uris":["http://zotero.org/users/2170232/items/N3SKWT73"],"uri":["http://zotero.org/users/2170232/items/N3SKWT73"],"itemData":{"id":2656,"type":"article-journal","abstract":"The influence of human related actives such as oil and gas exploration, intensified logging of trees and over exploitation of forest resources for food, have negatively impacted the once flourishing and ecologically diverse forest system of the Niger Delta region in Nigeria. Relevant information on the transitional changes of forested landscapes in the delta is poor compared to other tropical forests such as the Brazilian and Columbian Amazonian forest where numerous research studies have been conducted. Consequently, this study aimed at investigating the spatial extent and rates of forest transition in the Niger Delta region taking into consideration the patterns, causes and implications of the landscape dynamics. The study determined the spatial extent and rates of forest transition in the study area using remotely sensed data from 1986 and 2007. The results indicated that the spatial extent of deforestation, unchanged forest cover and afforestation were 1.38, 2.39, and 1.15 million hectares, respectively, while the annual deforestation and afforestation rates were 0.95 and 0.75% which are high compared to other areas in the humid tropics. The annual rate of change in forest cover was determined as −0.13% indicating an overall reduction in the spatial extent of forest cover for the entire delta. Changes in the spatial structure of forests were investigated using landscape metrics and the results showed there was a substantial increase in forest fragmentation. The variations in population dynamics and poverty indicators between different states of the Niger Delta were unable to explain the observed patterns of forest change. Instead, the authors observed that the main determinants of forest dynamics were the variations in state forest management policies and the influence of the oil and gas industry on the economies of the states. High rates of afforestation were found in states that have limited oil resources and were more economically dependent on forest products, while states with high deforestation rates were found in the main oil-producing parts of the study site. Using the present trend of forest transition dynamics, a 20-year forward simulation was generated using the Markov algorithm. The results concerning forest transition in the study area point to the urgent need for appropriate environmental policy development and implementation for the Niger Delta region.","container-title":"Ecological Indicators","DOI":"10.1016/j.ecolind.2011.03.017","ISSN":"1470-160X","issue":"5","journalAbbreviation":"Ecological Indicators","language":"en","page":"1437-1446","source":"ScienceDirect","title":"Forest transition in an ecologically important region: Patterns and causes for landscape dynamics in the Niger Delta","title-short":"Forest transition in an ecologically important region","volume":"11","author":[{"family":"Onojeghuo","given":"Alex O."},{"family":"Blackburn","given":"G. Alan"}],"issued":{"date-parts":[["2011",9,1]]}}}],"schema":"https://github.com/citation-style-language/schema/raw/master/csl-citation.json"} </w:instrText>
      </w:r>
      <w:r w:rsidR="00BA0606">
        <w:fldChar w:fldCharType="separate"/>
      </w:r>
      <w:r w:rsidR="00BA0606" w:rsidRPr="00BA0606">
        <w:rPr>
          <w:rFonts w:ascii="Calibri" w:hAnsi="Calibri" w:cs="Calibri"/>
        </w:rPr>
        <w:t>(</w:t>
      </w:r>
      <w:proofErr w:type="spellStart"/>
      <w:r w:rsidR="00BA0606" w:rsidRPr="00BA0606">
        <w:rPr>
          <w:rFonts w:ascii="Calibri" w:hAnsi="Calibri" w:cs="Calibri"/>
        </w:rPr>
        <w:t>Onojeghuo</w:t>
      </w:r>
      <w:proofErr w:type="spellEnd"/>
      <w:r w:rsidR="00BA0606" w:rsidRPr="00BA0606">
        <w:rPr>
          <w:rFonts w:ascii="Calibri" w:hAnsi="Calibri" w:cs="Calibri"/>
        </w:rPr>
        <w:t xml:space="preserve"> &amp; Blackburn 2011)</w:t>
      </w:r>
      <w:r w:rsidR="00BA0606">
        <w:fldChar w:fldCharType="end"/>
      </w:r>
      <w:r w:rsidR="00E7333A">
        <w:t>. Poverty</w:t>
      </w:r>
      <w:r w:rsidR="00902F41">
        <w:t xml:space="preserve"> itself is a complex metric encompassing a multitude of factors such as income, wealth, land, agriculture, migration, education, and healthcare, all of which interact to influence deforestation </w:t>
      </w:r>
      <w:r w:rsidR="00902F41">
        <w:fldChar w:fldCharType="begin"/>
      </w:r>
      <w:r w:rsidR="00902F41">
        <w:instrText xml:space="preserve"> ADDIN ZOTERO_ITEM CSL_CITATION {"citationID":"WoSeO5zL","properties":{"formattedCitation":"(Khuc et al. 2018)","plainCitation":"(Khuc et al. 2018)","noteIndex":0},"citationItems":[{"id":2118,"uris":["http://zotero.org/users/2170232/items/W2T66ULU"],"uri":["http://zotero.org/users/2170232/items/W2T66ULU"],"itemData":{"id":2118,"type":"article-journal","abstract":"Climate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902F41">
        <w:fldChar w:fldCharType="separate"/>
      </w:r>
      <w:r w:rsidR="00902F41" w:rsidRPr="00902F41">
        <w:rPr>
          <w:rFonts w:ascii="Calibri" w:hAnsi="Calibri" w:cs="Calibri"/>
        </w:rPr>
        <w:t>(</w:t>
      </w:r>
      <w:proofErr w:type="spellStart"/>
      <w:r w:rsidR="00902F41" w:rsidRPr="00902F41">
        <w:rPr>
          <w:rFonts w:ascii="Calibri" w:hAnsi="Calibri" w:cs="Calibri"/>
        </w:rPr>
        <w:t>Khuc</w:t>
      </w:r>
      <w:proofErr w:type="spellEnd"/>
      <w:r w:rsidR="00902F41" w:rsidRPr="00902F41">
        <w:rPr>
          <w:rFonts w:ascii="Calibri" w:hAnsi="Calibri" w:cs="Calibri"/>
        </w:rPr>
        <w:t xml:space="preserve"> et al. 2018)</w:t>
      </w:r>
      <w:r w:rsidR="00902F41">
        <w:fldChar w:fldCharType="end"/>
      </w:r>
      <w:r w:rsidR="00902F41">
        <w:t>. Inequalities in land, income, and wealth, and insecure land tenure and forest rights for local people are all common factors in driving deforestation</w:t>
      </w:r>
      <w:r w:rsidR="004022CF">
        <w:t xml:space="preserve"> </w:t>
      </w:r>
      <w:r w:rsidR="004022CF">
        <w:fldChar w:fldCharType="begin"/>
      </w:r>
      <w:r w:rsidR="004022CF">
        <w:instrText xml:space="preserve"> ADDIN ZOTERO_ITEM CSL_CITATION {"citationID":"pvCt8fqO","properties":{"formattedCitation":"(Ceddia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4022CF">
        <w:fldChar w:fldCharType="separate"/>
      </w:r>
      <w:r w:rsidR="004022CF" w:rsidRPr="004022CF">
        <w:rPr>
          <w:rFonts w:ascii="Calibri" w:hAnsi="Calibri" w:cs="Calibri"/>
        </w:rPr>
        <w:t>(</w:t>
      </w:r>
      <w:proofErr w:type="spellStart"/>
      <w:r w:rsidR="004022CF" w:rsidRPr="004022CF">
        <w:rPr>
          <w:rFonts w:ascii="Calibri" w:hAnsi="Calibri" w:cs="Calibri"/>
        </w:rPr>
        <w:t>Ceddia</w:t>
      </w:r>
      <w:proofErr w:type="spellEnd"/>
      <w:r w:rsidR="004022CF" w:rsidRPr="004022CF">
        <w:rPr>
          <w:rFonts w:ascii="Calibri" w:hAnsi="Calibri" w:cs="Calibri"/>
        </w:rPr>
        <w:t xml:space="preserve"> 2019)</w:t>
      </w:r>
      <w:r w:rsidR="004022CF">
        <w:fldChar w:fldCharType="end"/>
      </w:r>
      <w:r w:rsidR="004022CF">
        <w:t>. Such inequalities, in combination with debt and overpopulation, drive the expansion of agriculture and other natural resource-based activities</w:t>
      </w:r>
      <w:r w:rsidR="003B4CB2">
        <w:t>, to the detriment of forests,</w:t>
      </w:r>
      <w:r w:rsidR="004022CF">
        <w:t xml:space="preserve"> as local people strive for subsistence and economic development </w:t>
      </w:r>
      <w:r w:rsidR="004022CF">
        <w:fldChar w:fldCharType="begin"/>
      </w:r>
      <w:r w:rsidR="004022CF">
        <w:instrText xml:space="preserve"> ADDIN ZOTERO_ITEM CSL_CITATION {"citationID":"ogrQFYLK","properties":{"formattedCitation":"(Culas 2012; Ceddia et al. 2015)","plainCitation":"(Culas 2012; Ceddia et al. 2015)","noteIndex":0},"citationItems":[{"id":2143,"uris":["http://zotero.org/users/2170232/items/TPIWN6QK"],"uri":["http://zotero.org/users/2170232/items/TPIWN6QK"],"itemData":{"id":2143,"type":"article-journal","abstract":"International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4022CF">
        <w:fldChar w:fldCharType="separate"/>
      </w:r>
      <w:r w:rsidR="004022CF" w:rsidRPr="004022CF">
        <w:rPr>
          <w:rFonts w:ascii="Calibri" w:hAnsi="Calibri" w:cs="Calibri"/>
        </w:rPr>
        <w:t>(</w:t>
      </w:r>
      <w:proofErr w:type="spellStart"/>
      <w:r w:rsidR="004022CF" w:rsidRPr="004022CF">
        <w:rPr>
          <w:rFonts w:ascii="Calibri" w:hAnsi="Calibri" w:cs="Calibri"/>
        </w:rPr>
        <w:t>Culas</w:t>
      </w:r>
      <w:proofErr w:type="spellEnd"/>
      <w:r w:rsidR="004022CF" w:rsidRPr="004022CF">
        <w:rPr>
          <w:rFonts w:ascii="Calibri" w:hAnsi="Calibri" w:cs="Calibri"/>
        </w:rPr>
        <w:t xml:space="preserve"> 2012; </w:t>
      </w:r>
      <w:proofErr w:type="spellStart"/>
      <w:r w:rsidR="004022CF" w:rsidRPr="004022CF">
        <w:rPr>
          <w:rFonts w:ascii="Calibri" w:hAnsi="Calibri" w:cs="Calibri"/>
        </w:rPr>
        <w:t>Ceddia</w:t>
      </w:r>
      <w:proofErr w:type="spellEnd"/>
      <w:r w:rsidR="004022CF" w:rsidRPr="004022CF">
        <w:rPr>
          <w:rFonts w:ascii="Calibri" w:hAnsi="Calibri" w:cs="Calibri"/>
        </w:rPr>
        <w:t xml:space="preserve"> et al. 2015)</w:t>
      </w:r>
      <w:r w:rsidR="004022CF">
        <w:fldChar w:fldCharType="end"/>
      </w:r>
      <w:r w:rsidR="004022CF">
        <w:t xml:space="preserve">.  </w:t>
      </w:r>
      <w:r w:rsidR="00902F41">
        <w:t xml:space="preserve">  </w:t>
      </w:r>
    </w:p>
    <w:p w14:paraId="62005430" w14:textId="17A09968" w:rsidR="006F0007" w:rsidRDefault="00316B6B">
      <w:r>
        <w:t xml:space="preserve">Studies from Asia have highlighted the importance of socioeconomics in </w:t>
      </w:r>
      <w:r w:rsidR="00D1536D">
        <w:t>influencing</w:t>
      </w:r>
      <w:r>
        <w:t xml:space="preserve"> the effects of economic</w:t>
      </w:r>
      <w:r w:rsidR="00900623">
        <w:t xml:space="preserve"> and other underlying</w:t>
      </w:r>
      <w:r>
        <w:t xml:space="preserve"> drivers on deforestation. </w:t>
      </w:r>
      <w:r w:rsidR="00D1536D">
        <w:t>The differences in population density between</w:t>
      </w:r>
      <w:r>
        <w:t xml:space="preserve"> urban and rural locations</w:t>
      </w:r>
      <w:r w:rsidR="00D1536D">
        <w:t xml:space="preserve"> and the choice of agricultural crop had an interaction effect on deforestation in Indonesia </w:t>
      </w:r>
      <w:r w:rsidR="00D1536D">
        <w:fldChar w:fldCharType="begin"/>
      </w:r>
      <w:r w:rsidR="00D1536D">
        <w:instrText xml:space="preserve"> ADDIN ZOTERO_ITEM CSL_CITATION {"citationID":"nmfLHmNZ","properties":{"formattedCitation":"(Gatto et al. 2015)","plainCitation":"(Gatto et al. 2015)","noteIndex":0},"citationItems":[{"id":1533,"uris":["http://zotero.org/users/2170232/items/FNSEJ3E4"],"uri":["http://zotero.org/users/2170232/items/FNSEJ3E4"],"itemData":{"id":1533,"type":"article-journal","abstract":"We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D1536D">
        <w:fldChar w:fldCharType="separate"/>
      </w:r>
      <w:r w:rsidR="00D1536D" w:rsidRPr="00D1536D">
        <w:rPr>
          <w:rFonts w:ascii="Calibri" w:hAnsi="Calibri" w:cs="Calibri"/>
        </w:rPr>
        <w:t>(</w:t>
      </w:r>
      <w:proofErr w:type="spellStart"/>
      <w:r w:rsidR="00D1536D" w:rsidRPr="00D1536D">
        <w:rPr>
          <w:rFonts w:ascii="Calibri" w:hAnsi="Calibri" w:cs="Calibri"/>
        </w:rPr>
        <w:t>Gatto</w:t>
      </w:r>
      <w:proofErr w:type="spellEnd"/>
      <w:r w:rsidR="00D1536D" w:rsidRPr="00D1536D">
        <w:rPr>
          <w:rFonts w:ascii="Calibri" w:hAnsi="Calibri" w:cs="Calibri"/>
        </w:rPr>
        <w:t xml:space="preserve"> et al. 2015)</w:t>
      </w:r>
      <w:r w:rsidR="00D1536D">
        <w:fldChar w:fldCharType="end"/>
      </w:r>
      <w:r w:rsidR="00D1536D">
        <w:t xml:space="preserve">, and changes in urban structure and local economic development boosted in-migration in Shenzhen, China, which drove urban forest fragmentation </w:t>
      </w:r>
      <w:r w:rsidR="00D1536D">
        <w:fldChar w:fldCharType="begin"/>
      </w:r>
      <w:r w:rsidR="00D1536D">
        <w:instrText xml:space="preserve"> ADDIN ZOTERO_ITEM CSL_CITATION {"citationID":"uc49X24Q","properties":{"formattedCitation":"(Gong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D1536D">
        <w:fldChar w:fldCharType="separate"/>
      </w:r>
      <w:r w:rsidR="00D1536D" w:rsidRPr="00D1536D">
        <w:rPr>
          <w:rFonts w:ascii="Calibri" w:hAnsi="Calibri" w:cs="Calibri"/>
        </w:rPr>
        <w:t>(Gong et al. 2013)</w:t>
      </w:r>
      <w:r w:rsidR="00D1536D">
        <w:fldChar w:fldCharType="end"/>
      </w:r>
      <w:r w:rsidR="00D1536D">
        <w:t xml:space="preserve">. </w:t>
      </w:r>
      <w:r w:rsidR="003B4CB2">
        <w:t xml:space="preserve">Population density has been shown to drive forest loss in India </w:t>
      </w:r>
      <w:r w:rsidR="003B4CB2">
        <w:fldChar w:fldCharType="begin"/>
      </w:r>
      <w:r w:rsidR="003B4CB2">
        <w:instrText xml:space="preserve"> ADDIN ZOTERO_ITEM CSL_CITATION {"citationID":"x4jjDkAJ","properties":{"formattedCitation":"(Krishnadas et al. 2018)","plainCitation":"(Krishnadas et al. 2018)","noteIndex":0},"citationItems":[{"id":1763,"uris":["http://zotero.org/users/2170232/items/HZJ6GEEF"],"uri":["http://zotero.org/users/2170232/items/HZJ6GEEF"],"itemData":{"id":1763,"type":"article-journal","abstract":"Maintaining forest cover is important for Biodiversity Hotspots that support many endangered and endemic species but have lost much of their original forest extent. In developing countries, ongoing economic and demographic growth within Hotspots can alter rates and patterns of deforestation, making it a concern to quantify rates of forest loss and assess landscape-scale correlates of deforestation within Hotspots. Such analyses can help set baselines for future monitoring and provide landscape-scale perspectives to design conservation policy. For the Western Ghats Biodiversity Hotspot in India, we examined correlates of forest loss following rapid economic expansion (post-2000 CE). First, we used open-source remote-sensing data to estimate annual trends in recent forest loss (from 2000 to 2016) for the entire Hotspot. Across the entire Western Ghats, we assessed the relative importance of and interactions among demographic, administrative, and biophysical factors that predicted rates of forest loss—measured as the number of 30 × 30-m pixels of forest lost within randomly selected 1 km2 cells. Protected areas reduced forest loss by 30%, especially when forests were closer to roads (33%) and towns (36%). However, the advantage of protection declined by 32% when local population densities increased, implying that the difference in forest loss between protected and non-protected areas disappears at high local population densities. To check scale-dependency of spatial extent, we repeated the modelling process for two landscape subsets within Western Ghats. In contrast with results for the entire Western Ghats, both focal landscapes showed no difference in deforestation with protection status alone or its interactions with village population density and distance to towns. However, deforestation was 88% lower when forests were protected and farther from roads. Overall, our results indicate that protected areas help retain forest cover within a global Biodiversity Hotspot even with rapid development, but high human population densities and road development can reduce the benefits of protection.","container-title":"Biological Conservation","DOI":"10.1016/j.biocon.2018.04.034","ISSN":"0006-3207","journalAbbreviation":"Biological Conservation","page":"147-155","source":"ScienceDirect","title":"Parks protect forest cover in a tropical biodiversity hotspot, but high human population densities can limit success","volume":"223","author":[{"family":"Krishnadas","given":"Meghna"},{"family":"Agarwala","given":"Meghna"},{"family":"Sridhara","given":"Sachin"},{"family":"Eastwood","given":"Erin"}],"issued":{"date-parts":[["2018",7,1]]}}}],"schema":"https://github.com/citation-style-language/schema/raw/master/csl-citation.json"} </w:instrText>
      </w:r>
      <w:r w:rsidR="003B4CB2">
        <w:fldChar w:fldCharType="separate"/>
      </w:r>
      <w:r w:rsidR="003B4CB2" w:rsidRPr="003B4CB2">
        <w:rPr>
          <w:rFonts w:ascii="Calibri" w:hAnsi="Calibri" w:cs="Calibri"/>
        </w:rPr>
        <w:t>(</w:t>
      </w:r>
      <w:proofErr w:type="spellStart"/>
      <w:r w:rsidR="003B4CB2" w:rsidRPr="003B4CB2">
        <w:rPr>
          <w:rFonts w:ascii="Calibri" w:hAnsi="Calibri" w:cs="Calibri"/>
        </w:rPr>
        <w:t>Krishnadas</w:t>
      </w:r>
      <w:proofErr w:type="spellEnd"/>
      <w:r w:rsidR="003B4CB2" w:rsidRPr="003B4CB2">
        <w:rPr>
          <w:rFonts w:ascii="Calibri" w:hAnsi="Calibri" w:cs="Calibri"/>
        </w:rPr>
        <w:t xml:space="preserve"> et al. 2018)</w:t>
      </w:r>
      <w:r w:rsidR="003B4CB2">
        <w:fldChar w:fldCharType="end"/>
      </w:r>
      <w:r w:rsidR="003B4CB2">
        <w:t>, and</w:t>
      </w:r>
      <w:r w:rsidR="0014759D">
        <w:t xml:space="preserve"> in Pakistan, </w:t>
      </w:r>
      <w:r w:rsidR="0014759D">
        <w:fldChar w:fldCharType="begin"/>
      </w:r>
      <w:r w:rsidR="0014759D">
        <w:instrText xml:space="preserve"> ADDIN ZOTERO_ITEM CSL_CITATION {"citationID":"lI45j5OS","properties":{"formattedCitation":"(Mannan et al. 2019)","plainCitation":"(Mannan et al. 2019)","noteIndex":0},"citationItems":[{"id":2007,"uris":["http://zotero.org/users/2170232/items/SMNGBI44"],"uri":["http://zotero.org/users/2170232/items/SMNGBI44"],"itemData":{"id":2007,"type":"article-journal","abstract":"Located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14759D">
        <w:fldChar w:fldCharType="separate"/>
      </w:r>
      <w:r w:rsidR="0014759D" w:rsidRPr="003B4CB2">
        <w:rPr>
          <w:rFonts w:ascii="Calibri" w:hAnsi="Calibri" w:cs="Calibri"/>
        </w:rPr>
        <w:t xml:space="preserve">Mannan et al </w:t>
      </w:r>
      <w:r w:rsidR="0014759D">
        <w:rPr>
          <w:rFonts w:ascii="Calibri" w:hAnsi="Calibri" w:cs="Calibri"/>
        </w:rPr>
        <w:t>(</w:t>
      </w:r>
      <w:r w:rsidR="0014759D" w:rsidRPr="003B4CB2">
        <w:rPr>
          <w:rFonts w:ascii="Calibri" w:hAnsi="Calibri" w:cs="Calibri"/>
        </w:rPr>
        <w:t>2019)</w:t>
      </w:r>
      <w:r w:rsidR="0014759D">
        <w:fldChar w:fldCharType="end"/>
      </w:r>
      <w:r w:rsidR="0014759D">
        <w:t xml:space="preserve"> found that</w:t>
      </w:r>
      <w:r w:rsidR="003B4CB2">
        <w:t xml:space="preserve"> a combination of geographic, socioeconomic, </w:t>
      </w:r>
      <w:r w:rsidR="003B4CB2">
        <w:lastRenderedPageBreak/>
        <w:t>and environmental factors were effective predictors of LUC</w:t>
      </w:r>
      <w:r w:rsidR="0014759D">
        <w:t xml:space="preserve">, whereas </w:t>
      </w:r>
      <w:r w:rsidR="0014759D">
        <w:fldChar w:fldCharType="begin"/>
      </w:r>
      <w:r w:rsidR="0014759D">
        <w:instrText xml:space="preserve"> ADDIN ZOTERO_ITEM CSL_CITATION {"citationID":"ysWcmXZN","properties":{"formattedCitation":"(Zeb et al. 2019)","plainCitation":"(Zeb et al. 2019)","noteIndex":0},"citationItems":[{"id":2219,"uris":["http://zotero.org/users/2170232/items/MIV6WX7N"],"uri":["http://zotero.org/users/2170232/items/MIV6WX7N"],"itemData":{"id":2219,"type":"article-journal","abstract":"Indigenous groups in many parts of the world are often forest dependent societies, and thereby may also play a disproportionate role in protecting and managing threatened forest resources. Taking the Kalasha indigenous group of Pakistan as a test case, this study contributes a socio-economic analysis at the household level aimed at understanding factors that influence forest clearing decisions. The findings of the study may help to develop general policies that facilitate sustainable resource for indigenous and other marginalized forest-dependent communities. The analysis was based on a contrast of 74 households at the forest margin that cleared nearby forested land versus 49 households that did not clear. Survey results indicated that the prime motivation for conversion of forests was expansion for cropland (77%), livestock grazing (18%), and orchards (5%). We found that families with more members and fewer physical assets were more likely to clear forested land for agricultural expansion. Families with more members employed off-farm, and members of Joint Forest Management Committees were less likely to be involved in forest clearing. For poor households, fuel wood constituted the largest part of their total income and for households with off-farm income the smallest. Social factors, such as education, ethnicity, and forest ownership were not significantly associated with clearing of forests. We conclude that programs focusing on off-farm income generation opportunities targeted towards the poorest households would be the most effective policy intervention for lowering deforestation and forest conversion.","container-title":"Global Environmental Change","DOI":"10.1016/j.gloenvcha.2019.102004","ISSN":"0959-3780","journalAbbreviation":"Global Environmental Change","language":"en","page":"102004","source":"ScienceDirect","title":"Forest conversion by the indigenous Kalasha of Pakistan: A household level analysis of socioeconomic drivers","title-short":"Forest conversion by the indigenous Kalasha of Pakistan","volume":"59","author":[{"family":"Zeb","given":"Alam"},{"family":"Armstrong","given":"Glen W."},{"family":"Hamann","given":"Andreas"}],"issued":{"date-parts":[["2019",11,1]]}}}],"schema":"https://github.com/citation-style-language/schema/raw/master/csl-citation.json"} </w:instrText>
      </w:r>
      <w:r w:rsidR="0014759D">
        <w:fldChar w:fldCharType="separate"/>
      </w:r>
      <w:r w:rsidR="0014759D" w:rsidRPr="0014759D">
        <w:rPr>
          <w:rFonts w:ascii="Calibri" w:hAnsi="Calibri" w:cs="Calibri"/>
        </w:rPr>
        <w:t xml:space="preserve">Zeb et al </w:t>
      </w:r>
      <w:r w:rsidR="0014759D">
        <w:rPr>
          <w:rFonts w:ascii="Calibri" w:hAnsi="Calibri" w:cs="Calibri"/>
        </w:rPr>
        <w:t>(</w:t>
      </w:r>
      <w:r w:rsidR="0014759D" w:rsidRPr="0014759D">
        <w:rPr>
          <w:rFonts w:ascii="Calibri" w:hAnsi="Calibri" w:cs="Calibri"/>
        </w:rPr>
        <w:t>2019)</w:t>
      </w:r>
      <w:r w:rsidR="0014759D">
        <w:fldChar w:fldCharType="end"/>
      </w:r>
      <w:r w:rsidR="0014759D">
        <w:t xml:space="preserve"> found that household demographics and poverty were underlying factors of forest clearance for livestock and agricultural expansion.</w:t>
      </w:r>
      <w:r w:rsidR="00BA0606">
        <w:t xml:space="preserve"> In Thailand and Vietnam livelihoods and local economics were highly influential in farmer’s decision-making related to LUC </w:t>
      </w:r>
      <w:r w:rsidR="00BA0606">
        <w:fldChar w:fldCharType="begin"/>
      </w:r>
      <w:r w:rsidR="00BA0606">
        <w:instrText xml:space="preserve"> ADDIN ZOTERO_ITEM CSL_CITATION {"citationID":"MZwRZaZR","properties":{"formattedCitation":"(Nguyen et al. 2017)","plainCitation":"(Nguyen et al. 2017)","noteIndex":0},"citationItems":[{"id":1657,"uris":["http://zotero.org/users/2170232/items/823SBA2X"],"uri":["http://zotero.org/users/2170232/items/823SBA2X"],"itemData":{"id":1657,"type":"article-journal","abstract":"Summary\nUnderstanding farmers’ land use decision-making is of interest to policy makers and scientific communities. Furthermore, comparing farmers’ land use decision-making between countries offers a functioning instrument to enhance this understanding, since one country can benefit from the experiences of another. This study extends the sustainable livelihoods framework to examine and compare the factors affecting farmers’ land use decision-making regarding land use choices and crop diversification. A panel dataset of 514 farm households in Ha Tinh (Vietnam) and 422 farm households in Ubon Ratchathani (Thailand) collected in 2007 and 2013 is used for the analyses. The results reveal that (i) farmers’ land use decision-making is determined by various factors representing the livelihood platforms, weather shock experience and expectation, and physical-economic conditions of the living localities, and (ii) crop diversification is a weather shock-coping strategy of rural households. We suggest that (i) promoting farm land reconsolidation and privatization, (ii) enhancing access to credit sources and national electricity networks, and (iii) improving rural road conditions and attracting investments in rural non-agricultural sectors contribute to reducing farmers’ vulnerability to climate variability.","container-title":"World Development","DOI":"10.1016/j.worlddev.2016.08.010","ISSN":"0305-750X","journalAbbreviation":"World Development","page":"199-213","source":"ScienceDirect","title":"Determinants of Farmers’ Land Use Decision-Making: Comparative Evidence From Thailand and Vietnam","title-short":"Determinants of Farmers’ Land Use Decision-Making","volume":"89","author":[{"family":"Nguyen","given":"Trung Thanh"},{"family":"Nguyen","given":"Loc Duc"},{"family":"Lippe","given":"Rattiya Suddeephong"},{"family":"Grote","given":"Ulrike"}],"issued":{"date-parts":[["2017",1,1]]}}}],"schema":"https://github.com/citation-style-language/schema/raw/master/csl-citation.json"} </w:instrText>
      </w:r>
      <w:r w:rsidR="00BA0606">
        <w:fldChar w:fldCharType="separate"/>
      </w:r>
      <w:r w:rsidR="00BA0606" w:rsidRPr="00BA0606">
        <w:rPr>
          <w:rFonts w:ascii="Calibri" w:hAnsi="Calibri" w:cs="Calibri"/>
        </w:rPr>
        <w:t>(Nguyen et al. 2017)</w:t>
      </w:r>
      <w:r w:rsidR="00BA0606">
        <w:fldChar w:fldCharType="end"/>
      </w:r>
      <w:r w:rsidR="00BA0606">
        <w:t xml:space="preserve">, and in the mountainous regions of Southeast Asia it </w:t>
      </w:r>
      <w:r w:rsidR="004336C4">
        <w:t>has been</w:t>
      </w:r>
      <w:r w:rsidR="00BA0606">
        <w:t xml:space="preserve"> national policies in combination with local economics that governed LUC </w:t>
      </w:r>
      <w:r w:rsidR="00BA0606">
        <w:fldChar w:fldCharType="begin"/>
      </w:r>
      <w:r w:rsidR="00BA0606">
        <w:instrText xml:space="preserve"> ADDIN ZOTERO_ITEM CSL_CITATION {"citationID":"IJXGxPJf","properties":{"formattedCitation":"(Fox &amp; Vogler 2005)","plainCitation":"(Fox &amp; Vogler 2005)","noteIndex":0},"citationItems":[{"id":1674,"uris":["http://zotero.org/users/2170232/items/J5LKSCXA"],"uri":["http://zotero.org/users/2170232/items/J5LKSCXA"],"itemData":{"id":1674,"type":"article-journal","abstract":"This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B."}],"issued":{"date-parts":[["2005",9,1]]}}}],"schema":"https://github.com/citation-style-language/schema/raw/master/csl-citation.json"} </w:instrText>
      </w:r>
      <w:r w:rsidR="00BA0606">
        <w:fldChar w:fldCharType="separate"/>
      </w:r>
      <w:r w:rsidR="00BA0606" w:rsidRPr="00BA0606">
        <w:rPr>
          <w:rFonts w:ascii="Calibri" w:hAnsi="Calibri" w:cs="Calibri"/>
        </w:rPr>
        <w:t>(Fox &amp; Vogler 2005)</w:t>
      </w:r>
      <w:r w:rsidR="00BA0606">
        <w:fldChar w:fldCharType="end"/>
      </w:r>
      <w:r w:rsidR="00BA0606">
        <w:t>.</w:t>
      </w:r>
      <w:r w:rsidR="0014759D">
        <w:t xml:space="preserve"> The extensive literature on</w:t>
      </w:r>
      <w:r w:rsidR="002C711B">
        <w:t xml:space="preserve"> the</w:t>
      </w:r>
      <w:r w:rsidR="0014759D">
        <w:t xml:space="preserve"> socioeconomic </w:t>
      </w:r>
      <w:r w:rsidR="002C711B">
        <w:t>predictors</w:t>
      </w:r>
      <w:r w:rsidR="0014759D">
        <w:t xml:space="preserve"> of </w:t>
      </w:r>
      <w:r w:rsidR="00AF717F">
        <w:t>deforestation emphasise</w:t>
      </w:r>
      <w:r w:rsidR="002C711B">
        <w:t>s</w:t>
      </w:r>
      <w:r w:rsidR="00AF717F">
        <w:t xml:space="preserve"> the </w:t>
      </w:r>
      <w:r w:rsidR="002C711B">
        <w:t xml:space="preserve">breadth and complexity of relationships between local socioeconomic conditions, broader economic factors, the environmental context, and government policy. </w:t>
      </w:r>
      <w:r w:rsidR="008B17DA">
        <w:t>T</w:t>
      </w:r>
      <w:r w:rsidR="002C711B">
        <w:t xml:space="preserve">he </w:t>
      </w:r>
      <w:r w:rsidR="008B17DA">
        <w:t xml:space="preserve">scale at which studies are undertaken is revealed to be important, as is local context. The two examples from Pakistan </w:t>
      </w:r>
      <w:r w:rsidR="008B17DA">
        <w:fldChar w:fldCharType="begin"/>
      </w:r>
      <w:r w:rsidR="008B17DA">
        <w:instrText xml:space="preserve"> ADDIN ZOTERO_ITEM CSL_CITATION {"citationID":"XsfX7s4n","properties":{"formattedCitation":"(Mannan et al. 2019; Zeb et al. 2019)","plainCitation":"(Mannan et al. 2019; Zeb et al. 2019)","noteIndex":0},"citationItems":[{"id":2007,"uris":["http://zotero.org/users/2170232/items/SMNGBI44"],"uri":["http://zotero.org/users/2170232/items/SMNGBI44"],"itemData":{"id":2007,"type":"article-journal","abstract":"Located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id":2219,"uris":["http://zotero.org/users/2170232/items/MIV6WX7N"],"uri":["http://zotero.org/users/2170232/items/MIV6WX7N"],"itemData":{"id":2219,"type":"article-journal","abstract":"Indigenous groups in many parts of the world are often forest dependent societies, and thereby may also play a disproportionate role in protecting and managing threatened forest resources. Taking the Kalasha indigenous group of Pakistan as a test case, this study contributes a socio-economic analysis at the household level aimed at understanding factors that influence forest clearing decisions. The findings of the study may help to develop general policies that facilitate sustainable resource for indigenous and other marginalized forest-dependent communities. The analysis was based on a contrast of 74 households at the forest margin that cleared nearby forested land versus 49 households that did not clear. Survey results indicated that the prime motivation for conversion of forests was expansion for cropland (77%), livestock grazing (18%), and orchards (5%). We found that families with more members and fewer physical assets were more likely to clear forested land for agricultural expansion. Families with more members employed off-farm, and members of Joint Forest Management Committees were less likely to be involved in forest clearing. For poor households, fuel wood constituted the largest part of their total income and for households with off-farm income the smallest. Social factors, such as education, ethnicity, and forest ownership were not significantly associated with clearing of forests. We conclude that programs focusing on off-farm income generation opportunities targeted towards the poorest households would be the most effective policy intervention for lowering deforestation and forest conversion.","container-title":"Global Environmental Change","DOI":"10.1016/j.gloenvcha.2019.102004","ISSN":"0959-3780","journalAbbreviation":"Global Environmental Change","language":"en","page":"102004","source":"ScienceDirect","title":"Forest conversion by the indigenous Kalasha of Pakistan: A household level analysis of socioeconomic drivers","title-short":"Forest conversion by the indigenous Kalasha of Pakistan","volume":"59","author":[{"family":"Zeb","given":"Alam"},{"family":"Armstrong","given":"Glen W."},{"family":"Hamann","given":"Andreas"}],"issued":{"date-parts":[["2019",11,1]]}}}],"schema":"https://github.com/citation-style-language/schema/raw/master/csl-citation.json"} </w:instrText>
      </w:r>
      <w:r w:rsidR="008B17DA">
        <w:fldChar w:fldCharType="separate"/>
      </w:r>
      <w:r w:rsidR="008B17DA" w:rsidRPr="008B17DA">
        <w:rPr>
          <w:rFonts w:ascii="Calibri" w:hAnsi="Calibri" w:cs="Calibri"/>
        </w:rPr>
        <w:t>(Mannan et al. 2019; Zeb et al. 2019)</w:t>
      </w:r>
      <w:r w:rsidR="008B17DA">
        <w:fldChar w:fldCharType="end"/>
      </w:r>
      <w:r w:rsidR="008B17DA">
        <w:t xml:space="preserve"> </w:t>
      </w:r>
      <w:r w:rsidR="008B17DA" w:rsidRPr="004336C4">
        <w:rPr>
          <w:highlight w:val="lightGray"/>
        </w:rPr>
        <w:t>are from very similar</w:t>
      </w:r>
      <w:r w:rsidR="008B17DA">
        <w:t xml:space="preserve"> areas, yet identify different socioeconomic predictors of forest loss.</w:t>
      </w:r>
      <w:r w:rsidR="00D25F20">
        <w:t xml:space="preserve"> Therefore, environmental and economic policies that improve socioeconomic conditions for local people without forest loss and environmental degradation will require an understanding of the relationships between socioeconomics and forest cover at different scales. </w:t>
      </w:r>
      <w:r w:rsidR="00592712" w:rsidRPr="004E5487">
        <w:t>Successfully isolating the signals of these relationships is however, challenging, due to the complexity of social-ecological systems, the non-linear feedback loops, and the heterogeneity in system dynamics at different scales.</w:t>
      </w:r>
    </w:p>
    <w:p w14:paraId="61F61256" w14:textId="256258AB" w:rsidR="00086943" w:rsidRDefault="00592712">
      <w:r>
        <w:t xml:space="preserve">Since the early 1990s, after more than a decade of civil war and unrest, Cambodia has experienced extraordinary economic development and social change </w:t>
      </w:r>
      <w:r>
        <w:fldChar w:fldCharType="begin"/>
      </w:r>
      <w:r>
        <w:instrText xml:space="preserve"> ADDIN ZOTERO_ITEM CSL_CITATION {"citationID":"cuGJKBuh","properties":{"formattedCitation":"(Solcomb 2010; Milne &amp; Mahanty 2015)","plainCitation":"(Solcomb 2010; Milne &amp; Mahanty 2015)","noteIndex":0},"citationItems":[{"id":2762,"uris":["http://zotero.org/users/2170232/items/JRA2X9H8"],"uri":["http://zotero.org/users/2170232/items/JRA2X9H8"],"itemData":{"id":2762,"type":"book","event-place":"National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fldChar w:fldCharType="separate"/>
      </w:r>
      <w:r w:rsidRPr="00592712">
        <w:rPr>
          <w:rFonts w:ascii="Calibri" w:hAnsi="Calibri" w:cs="Calibri"/>
        </w:rPr>
        <w:t>(</w:t>
      </w:r>
      <w:proofErr w:type="spellStart"/>
      <w:r w:rsidRPr="00592712">
        <w:rPr>
          <w:rFonts w:ascii="Calibri" w:hAnsi="Calibri" w:cs="Calibri"/>
        </w:rPr>
        <w:t>Solcomb</w:t>
      </w:r>
      <w:proofErr w:type="spellEnd"/>
      <w:r w:rsidRPr="00592712">
        <w:rPr>
          <w:rFonts w:ascii="Calibri" w:hAnsi="Calibri" w:cs="Calibri"/>
        </w:rPr>
        <w:t xml:space="preserve"> 2010; Milne &amp; </w:t>
      </w:r>
      <w:proofErr w:type="spellStart"/>
      <w:r w:rsidRPr="00592712">
        <w:rPr>
          <w:rFonts w:ascii="Calibri" w:hAnsi="Calibri" w:cs="Calibri"/>
        </w:rPr>
        <w:t>Mahanty</w:t>
      </w:r>
      <w:proofErr w:type="spellEnd"/>
      <w:r w:rsidRPr="00592712">
        <w:rPr>
          <w:rFonts w:ascii="Calibri" w:hAnsi="Calibri" w:cs="Calibri"/>
        </w:rPr>
        <w:t xml:space="preserve"> 2015)</w:t>
      </w:r>
      <w:r>
        <w:fldChar w:fldCharType="end"/>
      </w:r>
      <w:r>
        <w:t xml:space="preserve">. </w:t>
      </w:r>
      <w:r w:rsidR="00A63D6A">
        <w:t xml:space="preserve">There have been significant improvements in rates of poverty, access to services, and education, yet inequality between the rich and the poor has increased </w:t>
      </w:r>
      <w:r w:rsidR="00A63D6A">
        <w:fldChar w:fldCharType="begin"/>
      </w:r>
      <w:r w:rsidR="00A63D6A">
        <w:instrText xml:space="preserve"> ADDIN ZOTERO_ITEM CSL_CITATION {"citationID":"azl80eLx","properties":{"formattedCitation":"(World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A63D6A">
        <w:fldChar w:fldCharType="separate"/>
      </w:r>
      <w:r w:rsidR="00A63D6A" w:rsidRPr="00A63D6A">
        <w:rPr>
          <w:rFonts w:ascii="Calibri" w:hAnsi="Calibri" w:cs="Calibri"/>
        </w:rPr>
        <w:t>(World Bank 2014)</w:t>
      </w:r>
      <w:r w:rsidR="00A63D6A">
        <w:fldChar w:fldCharType="end"/>
      </w:r>
      <w:r w:rsidR="00A63D6A">
        <w:t xml:space="preserve">. </w:t>
      </w:r>
      <w:r w:rsidR="00900623">
        <w:t xml:space="preserve">There has been dramatic socioeconomic development within Cambodia’s major urban centres, yet rural, marginalised groups and ethnic minorities, particularly in the remote provinces, </w:t>
      </w:r>
      <w:r w:rsidR="00B30997">
        <w:t>largely remain poor with minimal access to services</w:t>
      </w:r>
      <w:r w:rsidR="004336C4">
        <w:t>, and</w:t>
      </w:r>
      <w:r w:rsidR="00B30997">
        <w:t xml:space="preserve"> where insecure land tenure leaves them exposed to land grabbing and conflict </w:t>
      </w:r>
      <w:r w:rsidR="00B30997">
        <w:fldChar w:fldCharType="begin"/>
      </w:r>
      <w:r w:rsidR="00B30997">
        <w:instrText xml:space="preserve"> ADDIN ZOTERO_ITEM CSL_CITATION {"citationID":"cTih9Rtk","properties":{"formattedCitation":"(Hammer 2008; Ironside 2008; Neef &amp; Touch 2012; Phillips &amp; Davy 2021)","plainCitation":"(Hammer 2008; Ironside 2008; Neef &amp; Touch 2012; Phillips &amp; Davy 2021)","noteIndex":0},"citationItems":[{"id":2469,"uris":["http://zotero.org/users/2170232/items/FPTJAHVA"],"uri":["http://zotero.org/users/2170232/items/FPTJAHVA"],"itemData":{"id":2469,"type":"book","collection-title":"Mainland Southeast Asia at its Margins: MinorityGroups and Borders","event-place":"Siem Reap, Cambodia","ISBN":"978-99950-51-05-1","publisher":"Centre for Khmer Studies","publisher-place":"Siem Reap, Cambodia","title":"Living on the Margins: Minorities and Borderlines in Cambodia and Southeast Asia","URL":"www.khmerstudies.org.","author":[{"family":"Hammer","given":"Peter"}],"issued":{"date-parts":[["2008"]]}}},{"id":2470,"uris":["http://zotero.org/users/2170232/items/VN7LPSTW"],"uri":["http://zotero.org/users/2170232/items/VN7LPSTW"],"itemData":{"id":2470,"type":"chapter","container-title":"Living in margins: Minorities and boderlines in Cambodia and Southeast Asia","event-place":"Siem Reap, Cambodia","ISBN":"978-99950-51-05-1","page":"91-128","publisher":"Centre for Khmer Studies","publisher-place":"Siem Reap, Cambodia","title":"Development - In Whose Name? Cambodia's Economic Development and its Indigneous Communities - From Self-Reliance to Uncertainty","URL":"www.khmerstudies.org.","author":[{"family":"Ironside","given":"Jeremy"}],"issued":{"date-parts":[["2008"]]}}},{"id":2484,"uris":["http://zotero.org/users/2170232/items/Q3XBE22N"],"uri":["http://zotero.org/users/2170232/items/Q3XBE22N"],"itemData":{"id":2484,"type":"article-journal","abstract":"Rural areas in Cambodia have been the target of large-scale land acquisitions since the late 1990s. As of March 2012, economic land concessions in Cambodia covered more than 2 million hectares, equivalent to over half of the country’s arable land. In this paper, we discuss the policy narratives and discursive strategies that are employed by various actors to justify and legitimize large-scale land acquisitions. We then analyze the underlying mechanisms of such acquisitions and investments and examine how they are entangled with donor-assisted land use planning efforts. Finally, we explore local people’s strategies of resistance. Our findings suggest that the Cambodian ruling elite has enabled land grabbing through three major mechanisms: first, by establishing a form of ‘shadow governance’ and corrupting the legal culture; second, by discursively justifying expropriation and resettlement through emphasizing rural development, ecological restoration and poverty alleviation; third, by instrumentalizing donor-supported, pro-poor land allocation in the form of social land concessions towards legitimizing land grabbing and distributional injustices and minimizing opposition to land grabs among local communities. Local strategies of resistance have been desperate, sporadic and atomistic vis-à-vis the powerful coalition of government authorities, concessionaires and the military.","language":"en","page":"23","source":"Zotero","title":"Land Grabbing in Cambodia: Narratives, Mechanisms, Resistance","author":[{"family":"Neef","given":"Andreas"},{"family":"Touch","given":"Siphat"}],"issued":{"date-parts":[["2012"]]}}},{"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rsidR="00B30997">
        <w:fldChar w:fldCharType="separate"/>
      </w:r>
      <w:r w:rsidR="00B30997" w:rsidRPr="00B30997">
        <w:rPr>
          <w:rFonts w:ascii="Calibri" w:hAnsi="Calibri" w:cs="Calibri"/>
        </w:rPr>
        <w:t xml:space="preserve">(Hammer 2008; Ironside 2008; </w:t>
      </w:r>
      <w:proofErr w:type="spellStart"/>
      <w:r w:rsidR="00B30997" w:rsidRPr="00B30997">
        <w:rPr>
          <w:rFonts w:ascii="Calibri" w:hAnsi="Calibri" w:cs="Calibri"/>
        </w:rPr>
        <w:t>Neef</w:t>
      </w:r>
      <w:proofErr w:type="spellEnd"/>
      <w:r w:rsidR="00B30997" w:rsidRPr="00B30997">
        <w:rPr>
          <w:rFonts w:ascii="Calibri" w:hAnsi="Calibri" w:cs="Calibri"/>
        </w:rPr>
        <w:t xml:space="preserve"> &amp; Touch 2012; Phillips &amp; Davy 2021)</w:t>
      </w:r>
      <w:r w:rsidR="00B30997">
        <w:fldChar w:fldCharType="end"/>
      </w:r>
      <w:r w:rsidR="00B30997">
        <w:t xml:space="preserve">. Such rapid social and economic changes make identifying the drivers of deforestation </w:t>
      </w:r>
      <w:r w:rsidR="001E29BB">
        <w:t xml:space="preserve">particularly </w:t>
      </w:r>
      <w:r w:rsidR="00B30997">
        <w:t>challenging, as</w:t>
      </w:r>
      <w:r w:rsidR="001E29BB">
        <w:t xml:space="preserve"> broad-scale drivers</w:t>
      </w:r>
      <w:r w:rsidR="004336C4">
        <w:t xml:space="preserve"> and</w:t>
      </w:r>
      <w:r w:rsidR="001E29BB">
        <w:t xml:space="preserve"> their effect on local landscape actors, and the subsequent proximate causes</w:t>
      </w:r>
      <w:r w:rsidR="0011317E">
        <w:t xml:space="preserve"> of deforestation</w:t>
      </w:r>
      <w:r w:rsidR="004336C4">
        <w:t>,</w:t>
      </w:r>
      <w:r w:rsidR="001E29BB">
        <w:t xml:space="preserve"> are likely to fluctuate rapidly over time and space. </w:t>
      </w:r>
      <w:r w:rsidR="008F5576">
        <w:t>There are several studies from Cambodia that have focussed on socioeconomic predictors of deforestation, which provide some important context.</w:t>
      </w:r>
      <w:r w:rsidR="001E29BB">
        <w:t xml:space="preserve"> </w:t>
      </w:r>
      <w:r w:rsidR="008F5576">
        <w:t xml:space="preserve">At the national scale, human population pressure has been identified as an important driver of deforestation </w:t>
      </w:r>
      <w:r w:rsidR="008F5576">
        <w:fldChar w:fldCharType="begin"/>
      </w:r>
      <w:r w:rsidR="008F5576">
        <w:instrText xml:space="preserve"> ADDIN ZOTERO_ITEM CSL_CITATION {"citationID":"SN7N5ug6","properties":{"formattedCitation":"(Dasgupta et al. 2005)","plainCitation":"(Dasgupta et al. 2005)","noteIndex":0},"citationItems":[{"id":2258,"uris":["http://zotero.org/users/2170232/items/GW5M54UX"],"uri":["http://zotero.org/users/2170232/items/GW5M54UX"],"itemData":{"id":2258,"type":"article-journal","abstract":"Summary\nThis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schema":"https://github.com/citation-style-language/schema/raw/master/csl-citation.json"} </w:instrText>
      </w:r>
      <w:r w:rsidR="008F5576">
        <w:fldChar w:fldCharType="separate"/>
      </w:r>
      <w:r w:rsidR="008F5576" w:rsidRPr="008F5576">
        <w:rPr>
          <w:rFonts w:ascii="Calibri" w:hAnsi="Calibri" w:cs="Calibri"/>
        </w:rPr>
        <w:t>(Dasgupta et al. 2005)</w:t>
      </w:r>
      <w:r w:rsidR="008F5576">
        <w:fldChar w:fldCharType="end"/>
      </w:r>
      <w:r w:rsidR="008F5576">
        <w:t xml:space="preserve">, and </w:t>
      </w:r>
      <w:r w:rsidR="001E29BB">
        <w:t xml:space="preserve">in Northwest Cambodia there have been many direct and indirect drivers of deforestation since 1975, including repatriation of Khmer Rouge soldiers and </w:t>
      </w:r>
      <w:r w:rsidR="001E29BB">
        <w:t>in-migration</w:t>
      </w:r>
      <w:r w:rsidR="001E29BB">
        <w:t xml:space="preserve"> following the end of the civil conflict, refugee repatriation, </w:t>
      </w:r>
      <w:r w:rsidR="00CD0112">
        <w:t>the</w:t>
      </w:r>
      <w:r w:rsidR="001E29BB">
        <w:t xml:space="preserve"> subsequent clearance for subsistence agriculture</w:t>
      </w:r>
      <w:r w:rsidR="00CD0112">
        <w:t>, and the expansion of cash crops such as cassava</w:t>
      </w:r>
      <w:r w:rsidR="001E29BB">
        <w:t xml:space="preserve"> </w:t>
      </w:r>
      <w:r w:rsidR="001E29BB">
        <w:fldChar w:fldCharType="begin"/>
      </w:r>
      <w:r w:rsidR="00CD0112">
        <w:instrText xml:space="preserve"> ADDIN ZOTERO_ITEM CSL_CITATION {"citationID":"f0II8DcC","properties":{"formattedCitation":"(Hought et al. 2012; Kong et al. 2019)","plainCitation":"(Hought et al. 2012; Kong et al. 2019)","noteIndex":0},"citationItems":[{"id":1671,"uris":["http://zotero.org/users/2170232/items/F5WLBRBI"],"uri":["http://zotero.org/users/2170232/items/F5WLBRBI"],"itemData":{"id":1671,"type":"article-journal","abstract":"Crop-based biofuels represent an environmental and political alternative to fossil fuels, as well as an important source of rural development income; as global biofuel markets continue to mature, however, their impact on food security remains controversial. This study investigates the effects of biofuel feedstock adoption by smallholders in the northwestern Cambodian province of Banteay Meanchey, a region undergoing rapid land use change following the formal end of the Khmer Rouge era in 1989 and subsequent rural resettlement. Remote sensing data combined with field interviews pointed to three discrete phases of land use change in this period: first, as a result of the establishment of new settlements (mainly subsistence rice production); second, via the expansion of cash crop cultivation into forested areas (mainly grown on upland fields); and third, due to the response of smallholders to a sharp increase in regional demand for cassava starch (grown exclusively on upland fields). The study found that agricultural expansion due to cassava growing was severe, but it was not the sole contributor to deforestation in the region. The exposure of smallholder economies to the volatile cassava market had severe consequences for livelihoods and food security. The paper concludes with a discussion of the probable impacts of the emerging cassava market on trajectories in land use, land ownership, and land access in rural Cambodia. The case looks at biofuel adoption in the context of other land use changes, but also provides evidence at the local scale of how a strongly market driven crop, in this case biofuel feedstock, can have striking environmental and socioeconomic consequences.","container-title":"Applied Geography","DOI":"10.1016/j.apgeog.2012.02.007","ISSN":"0143-6228","journalAbbreviation":"Applied Geography","page":"525-532","source":"ScienceDirect","title":"Biofuels, land use change and smallholder livelihoods: A case study from Banteay Chhmar, Cambodia","title-short":"Biofuels, land use change and smallholder livelihoods","volume":"34","author":[{"family":"Hought","given":"Joy"},{"family":"Birch-Thomsen","given":"Torben"},{"family":"Petersen","given":"Jacob"},{"family":"Neergaard","given":"Andreas","non-dropping-particle":"de"},{"family":"Oelofse","given":"Myles"}],"issued":{"date-parts":[["2012",5,1]]}}},{"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1E29BB">
        <w:fldChar w:fldCharType="separate"/>
      </w:r>
      <w:r w:rsidR="00CD0112" w:rsidRPr="00CD0112">
        <w:rPr>
          <w:rFonts w:ascii="Calibri" w:hAnsi="Calibri" w:cs="Calibri"/>
        </w:rPr>
        <w:t>(</w:t>
      </w:r>
      <w:proofErr w:type="spellStart"/>
      <w:r w:rsidR="00CD0112" w:rsidRPr="00CD0112">
        <w:rPr>
          <w:rFonts w:ascii="Calibri" w:hAnsi="Calibri" w:cs="Calibri"/>
        </w:rPr>
        <w:t>Hought</w:t>
      </w:r>
      <w:proofErr w:type="spellEnd"/>
      <w:r w:rsidR="00CD0112" w:rsidRPr="00CD0112">
        <w:rPr>
          <w:rFonts w:ascii="Calibri" w:hAnsi="Calibri" w:cs="Calibri"/>
        </w:rPr>
        <w:t xml:space="preserve"> et al. 2012; Kong et al. 2019)</w:t>
      </w:r>
      <w:r w:rsidR="001E29BB">
        <w:fldChar w:fldCharType="end"/>
      </w:r>
      <w:r w:rsidR="001E29BB">
        <w:t>. In the Angkor Basin, home to the Angkor temple</w:t>
      </w:r>
      <w:r w:rsidR="008542C1">
        <w:t>s</w:t>
      </w:r>
      <w:r w:rsidR="001E29BB">
        <w:t>,</w:t>
      </w:r>
      <w:r w:rsidR="008542C1">
        <w:t xml:space="preserve"> </w:t>
      </w:r>
      <w:r w:rsidR="008542C1">
        <w:t>a complex mix of global, regional, and local</w:t>
      </w:r>
      <w:r w:rsidR="008542C1">
        <w:t xml:space="preserve"> drivers including tourism, climate change, government policies, economic development, and environmental management </w:t>
      </w:r>
      <w:r w:rsidR="001E29BB">
        <w:t>between 1989 and 2005</w:t>
      </w:r>
      <w:r w:rsidR="008542C1">
        <w:t xml:space="preserve"> caused</w:t>
      </w:r>
      <w:r w:rsidR="001E29BB">
        <w:t xml:space="preserve"> over 23% of the existing forest cover </w:t>
      </w:r>
      <w:r w:rsidR="008542C1">
        <w:t>to be</w:t>
      </w:r>
      <w:r w:rsidR="001E29BB">
        <w:t xml:space="preserve"> lost to </w:t>
      </w:r>
      <w:r w:rsidR="008542C1">
        <w:t xml:space="preserve">agricultural expansion and charcoal production </w:t>
      </w:r>
      <w:r w:rsidR="008542C1">
        <w:fldChar w:fldCharType="begin"/>
      </w:r>
      <w:r w:rsidR="008542C1">
        <w:instrText xml:space="preserve"> ADDIN ZOTERO_ITEM CSL_CITATION {"citationID":"Tk4Yl3LS","properties":{"formattedCitation":"(Gaughan et al. 2009)","plainCitation":"(Gaughan et al. 2009)","noteIndex":0},"citationItems":[{"id":1664,"uris":["http://zotero.org/users/2170232/items/8DCNZD8D"],"uri":["http://zotero.org/users/2170232/items/8DCNZD8D"],"itemData":{"id":1664,"type":"article-journal","abstract":"The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W."},{"family":"Southworth","given":"Jane"}],"issued":{"date-parts":[["2009",4,1]]}}}],"schema":"https://github.com/citation-style-language/schema/raw/master/csl-citation.json"} </w:instrText>
      </w:r>
      <w:r w:rsidR="008542C1">
        <w:fldChar w:fldCharType="separate"/>
      </w:r>
      <w:r w:rsidR="008542C1" w:rsidRPr="008542C1">
        <w:rPr>
          <w:rFonts w:ascii="Calibri" w:hAnsi="Calibri" w:cs="Calibri"/>
        </w:rPr>
        <w:t>(</w:t>
      </w:r>
      <w:proofErr w:type="spellStart"/>
      <w:r w:rsidR="008542C1" w:rsidRPr="008542C1">
        <w:rPr>
          <w:rFonts w:ascii="Calibri" w:hAnsi="Calibri" w:cs="Calibri"/>
        </w:rPr>
        <w:t>Gaughan</w:t>
      </w:r>
      <w:proofErr w:type="spellEnd"/>
      <w:r w:rsidR="008542C1" w:rsidRPr="008542C1">
        <w:rPr>
          <w:rFonts w:ascii="Calibri" w:hAnsi="Calibri" w:cs="Calibri"/>
        </w:rPr>
        <w:t xml:space="preserve"> et al. 2009)</w:t>
      </w:r>
      <w:r w:rsidR="008542C1">
        <w:fldChar w:fldCharType="end"/>
      </w:r>
      <w:r w:rsidR="008542C1">
        <w:t xml:space="preserve">. </w:t>
      </w:r>
    </w:p>
    <w:p w14:paraId="5B3FE714" w14:textId="6F5AB86D" w:rsidR="00BB17C1" w:rsidRDefault="00086943">
      <w:r>
        <w:t>Integrated conservation and development projects</w:t>
      </w:r>
      <w:r w:rsidR="00E821FF">
        <w:t xml:space="preserve"> (ICDPs)</w:t>
      </w:r>
      <w:r>
        <w:t xml:space="preserve"> that</w:t>
      </w:r>
      <w:r w:rsidR="004336C4">
        <w:t xml:space="preserve"> aim to tackle both forest loss and socioeconomic development at the same time have </w:t>
      </w:r>
      <w:r>
        <w:t xml:space="preserve">had mixed results (e.g., </w:t>
      </w:r>
      <w:r>
        <w:fldChar w:fldCharType="begin"/>
      </w:r>
      <w:r>
        <w:instrText xml:space="preserve"> ADDIN ZOTERO_ITEM CSL_CITATION {"citationID":"eL10p2mg","properties":{"formattedCitation":"(Geist &amp; Lambin 2003; Chambers et al. 2020; Bernhard et al. 2021)","plainCitation":"(Geist &amp; Lambin 2003; Chambers et al. 2020; Bernhard et al. 2021)","noteIndex":0},"citationItems":[{"id":2941,"uris":["http://zotero.org/users/2170232/items/PAZIGWER"],"uri":["http://zotero.org/users/2170232/items/PAZIGWER"],"itemData":{"id":2941,"type":"article-journal","container-title":"The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2960,"uris":["http://zotero.org/users/2170232/items/TIGFEJD3"],"uri":["http://zotero.org/users/2170232/items/TIGFEJD3"],"itemData":{"id":2960,"type":"article-journal","abstract":"Conservation projects commonly claim to convert local people into long-term environmental stewards and improve their well-being. Yet, evidence frequently contradicts these win-win claims. The “multiple environmentalities” framework outlines distinct approaches that projects often use to foster environmental motivation and behavior: (1) neoliberal: constructing material incentives, (2) sovereign: imposing protective laws, and (3) disciplinary: fostering norms and values. We use a mixed method approach to examine how combinations of these environmentalities shape the land use motivations and behavior of 270 families living in 15 project settings in the Peruvian Amazon. We identify four direct reasons why these projects often fail to achieve their intended outcomes, regardless of the environmentalities employed: (1) self-selection of like-minded individuals, (2) limited ability of extrinsic motivators (i.e. material incentives and protective laws) to reduce reported deforestation behaviors, (3) limited internalization of motivations for conservation, and (4) ignored broader economic drivers of deforestation. We argue that these challenges stem from the typical external design of conservation projects based on fixed and limited interpretations of human motivation. Our findings point to the importance of deliberative processes that can support local and external actors to navigate and reframe competing motivations to co-design approaches to conservation governance at local and broader scales.","container-title":"Environment and Planning E: Nature and Space","DOI":"10.1177/2514848619873910","ISSN":"2514-8486","issue":"2","journalAbbreviation":"Environment and Planning E: Nature and Space","language":"en","note":"publisher: SAGE Publications Ltd STM","page":"365-398","source":"SAGE Journals","title":"Why joint conservation and development projects often fail: An in-depth examination in the Peruvian Amazon","title-short":"Why joint conservation and development projects often fail","volume":"3","author":[{"family":"Chambers","given":"Josephine"},{"family":"Aguila Mejía","given":"Margarita Del"},{"family":"Ramírez Reátegui","given":"Raydith"},{"family":"Sandbrook","given":"Chris"}],"issued":{"date-parts":[["2020",6,1]]}}},{"id":2958,"uris":["http://zotero.org/users/2170232/items/ED8PEK8T"],"uri":["http://zotero.org/users/2170232/items/ED8PEK8T"],"itemData":{"id":2958,"type":"article-journal","abstract":"This study supplements spatial panel econometrics techniques with qualitative GIS to analyse spatio-temporal changes in the distribution of integrated conservation–development projects relative to poaching activity and unauthorized resource use in Volcanoes National Park, Rwanda. Cluster and spatial regression analyses were performed on data from ranger monitoring containing &gt; 35,000 combined observations of illegal activities in Volcanoes National Park, against tourism revenue sharing and conservation NGO funding data for 2006–2015. Results were enriched with qualitative GIS analysis from key informant interviews. We found a statistically significant negative linear effect of overall integrated conservation–development investments on unauthorized resource use in Volcanoes National Park. However, individually, funding from Rwanda's tourism revenue sharing policy did not have an effect in contrast to the significant negative effect of conservation NGO funding. In another contrast between NGO funding and tourism revenue sharing funding, spatial analysis revealed significant gaps in revenue sharing funding relative to the hotspots of illegal activities, but these gaps were not present for NGO funding. Insight from qualitative GIS analysis suggests that incongruity in prioritization by decision makers at least partly explains the differences between the effects of revenue sharing and conservation NGO investment. Although the overall results are encouraging for integrated conservation–development projects, we recommend increased spatial alignment of project funding with clusters of illegal activities, which can make investment decision-making more data-driven and projects more effective for conservation.","container-title":"Oryx","DOI":"10.1017/S0030605319000735","ISSN":"0030-6053, 1365-3008","issue":"4","language":"en","note":"publisher: Cambridge University Press","page":"613-624","source":"Cambridge University Press","title":"Effects of integrated conservation–development projects on unauthorized resource use in Volcanoes National Park, Rwanda: a mixed-methods spatio-temporal approach","title-short":"Effects of integrated conservation–development projects on unauthorized resource use in Volcanoes National Park, Rwanda","volume":"55","author":[{"family":"Bernhard","given":"Katie P."},{"family":"Smith","given":"Thomas E. L."},{"family":"Sabuhoro","given":"Edwin"},{"family":"Nyandwi","given":"Elias"},{"family":"Munanura","given":"Ian E."}],"issued":{"date-parts":[["2021",7]]}}}],"schema":"https://github.com/citation-style-language/schema/raw/master/csl-citation.json"} </w:instrText>
      </w:r>
      <w:r>
        <w:fldChar w:fldCharType="separate"/>
      </w:r>
      <w:r w:rsidRPr="00086943">
        <w:rPr>
          <w:rFonts w:ascii="Calibri" w:hAnsi="Calibri" w:cs="Calibri"/>
        </w:rPr>
        <w:t xml:space="preserve">Geist &amp; </w:t>
      </w:r>
      <w:proofErr w:type="spellStart"/>
      <w:r w:rsidRPr="00086943">
        <w:rPr>
          <w:rFonts w:ascii="Calibri" w:hAnsi="Calibri" w:cs="Calibri"/>
        </w:rPr>
        <w:t>Lambin</w:t>
      </w:r>
      <w:proofErr w:type="spellEnd"/>
      <w:r w:rsidRPr="00086943">
        <w:rPr>
          <w:rFonts w:ascii="Calibri" w:hAnsi="Calibri" w:cs="Calibri"/>
        </w:rPr>
        <w:t xml:space="preserve"> 2003; Chambers et al. 2020; Bernhard et al. 2021)</w:t>
      </w:r>
      <w:r>
        <w:fldChar w:fldCharType="end"/>
      </w:r>
      <w:r w:rsidR="00212B19">
        <w:t xml:space="preserve">. These projects can have unintended consequences for a number of reasons, including poor management of incentives or weak enforcement of protective laws, misinterpretation of stakeholder motivations, or failure to account for </w:t>
      </w:r>
      <w:r w:rsidR="000A7573">
        <w:t xml:space="preserve">underlying </w:t>
      </w:r>
      <w:r w:rsidR="00212B19">
        <w:t xml:space="preserve">economic drivers </w:t>
      </w:r>
      <w:r w:rsidR="000A7573">
        <w:t xml:space="preserve">operating at a broader scale </w:t>
      </w:r>
      <w:r w:rsidR="000A7573">
        <w:fldChar w:fldCharType="begin"/>
      </w:r>
      <w:r w:rsidR="000A7573">
        <w:instrText xml:space="preserve"> ADDIN ZOTERO_ITEM CSL_CITATION {"citationID":"9oPGvtHe","properties":{"formattedCitation":"(Chambers et al. 2020)","plainCitation":"(Chambers et al. 2020)","noteIndex":0},"citationItems":[{"id":2960,"uris":["http://zotero.org/users/2170232/items/TIGFEJD3"],"uri":["http://zotero.org/users/2170232/items/TIGFEJD3"],"itemData":{"id":2960,"type":"article-journal","abstract":"Conservation projects commonly claim to convert local people into long-term environmental stewards and improve their well-being. Yet, evidence frequently contradicts these win-win claims. The “multiple environmentalities” framework outlines distinct approaches that projects often use to foster environmental motivation and behavior: (1) neoliberal: constructing material incentives, (2) sovereign: imposing protective laws, and (3) disciplinary: fostering norms and values. We use a mixed method approach to examine how combinations of these environmentalities shape the land use motivations and behavior of 270 families living in 15 project settings in the Peruvian Amazon. We identify four direct reasons why these projects often fail to achieve their intended outcomes, regardless of the environmentalities employed: (1) self-selection of like-minded individuals, (2) limited ability of extrinsic motivators (i.e. material incentives and protective laws) to reduce reported deforestation behaviors, (3) limited internalization of motivations for conservation, and (4) ignored broader economic drivers of deforestation. We argue that these challenges stem from the typical external design of conservation projects based on fixed and limited interpretations of human motivation. Our findings point to the importance of deliberative processes that can support local and external actors to navigate and reframe competing motivations to co-design approaches to conservation governance at local and broader scales.","container-title":"Environment and Planning E: Nature and Space","DOI":"10.1177/2514848619873910","ISSN":"2514-8486","issue":"2","journalAbbreviation":"Environment and Planning E: Nature and Space","language":"en","note":"publisher: SAGE Publications Ltd STM","page":"365-398","source":"SAGE Journals","title":"Why joint conservation and development projects often fail: An in-depth examination in the Peruvian Amazon","title-short":"Why joint conservation and development projects often fail","volume":"3","author":[{"family":"Chambers","given":"Josephine"},{"family":"Aguila Mejía","given":"Margarita Del"},{"family":"Ramírez Reátegui","given":"Raydith"},{"family":"Sandbrook","given":"Chris"}],"issued":{"date-parts":[["2020",6,1]]}}}],"schema":"https://github.com/citation-style-language/schema/raw/master/csl-citation.json"} </w:instrText>
      </w:r>
      <w:r w:rsidR="000A7573">
        <w:fldChar w:fldCharType="separate"/>
      </w:r>
      <w:r w:rsidR="000A7573" w:rsidRPr="000A7573">
        <w:rPr>
          <w:rFonts w:ascii="Calibri" w:hAnsi="Calibri" w:cs="Calibri"/>
        </w:rPr>
        <w:t>(Chambers et al. 2020)</w:t>
      </w:r>
      <w:r w:rsidR="000A7573">
        <w:fldChar w:fldCharType="end"/>
      </w:r>
      <w:r w:rsidR="000A7573">
        <w:t xml:space="preserve">. </w:t>
      </w:r>
      <w:r w:rsidR="00E821FF">
        <w:t xml:space="preserve">National </w:t>
      </w:r>
      <w:r w:rsidR="007F53DC">
        <w:t>economic and environmental policies, and i</w:t>
      </w:r>
      <w:r w:rsidR="00E821FF">
        <w:t>nterventions such as ICDPs</w:t>
      </w:r>
      <w:r w:rsidR="007F53DC">
        <w:t>,</w:t>
      </w:r>
      <w:r w:rsidR="00E821FF">
        <w:t xml:space="preserve"> will be vulnerable to failure if the relationships between forest cover and loss and 1) broad economic drivers and 2) </w:t>
      </w:r>
      <w:r w:rsidR="00E821FF">
        <w:t xml:space="preserve">local socioeconomic conditions </w:t>
      </w:r>
      <w:r w:rsidR="00E821FF">
        <w:t xml:space="preserve">are not understood and accounted for. </w:t>
      </w:r>
      <w:r w:rsidR="007F53DC">
        <w:t xml:space="preserve">In chapter 1 I addressed the relationships between macroeconomic </w:t>
      </w:r>
      <w:r w:rsidR="007F53DC">
        <w:lastRenderedPageBreak/>
        <w:t xml:space="preserve">drivers and forest loss at the national scale. Previous studies have evaluated the relationships between forest cover and socioeconomics in small, discrete locations within Cambodia </w:t>
      </w:r>
      <w:r w:rsidR="007F53DC">
        <w:fldChar w:fldCharType="begin"/>
      </w:r>
      <w:r w:rsidR="007F53DC">
        <w:instrText xml:space="preserve"> ADDIN ZOTERO_ITEM CSL_CITATION {"citationID":"stNxImhB","properties":{"formattedCitation":"(Dasgupta et al. 2005; Gaughan et al. 2009; Hought et al. 2012; Kong et al. 2019)","plainCitation":"(Dasgupta et al. 2005; Gaughan et al. 2009; Hought et al. 2012; Kong et al. 2019)","noteIndex":0},"citationItems":[{"id":2258,"uris":["http://zotero.org/users/2170232/items/GW5M54UX"],"uri":["http://zotero.org/users/2170232/items/GW5M54UX"],"itemData":{"id":2258,"type":"article-journal","abstract":"Summary\nThis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1671,"uris":["http://zotero.org/users/2170232/items/F5WLBRBI"],"uri":["http://zotero.org/users/2170232/items/F5WLBRBI"],"itemData":{"id":1671,"type":"article-journal","abstract":"Crop-based biofuels represent an environmental and political alternative to fossil fuels, as well as an important source of rural development income; as global biofuel markets continue to mature, however, their impact on food security remains controversial. This study investigates the effects of biofuel feedstock adoption by smallholders in the northwestern Cambodian province of Banteay Meanchey, a region undergoing rapid land use change following the formal end of the Khmer Rouge era in 1989 and subsequent rural resettlement. Remote sensing data combined with field interviews pointed to three discrete phases of land use change in this period: first, as a result of the establishment of new settlements (mainly subsistence rice production); second, via the expansion of cash crop cultivation into forested areas (mainly grown on upland fields); and third, due to the response of smallholders to a sharp increase in regional demand for cassava starch (grown exclusively on upland fields). The study found that agricultural expansion due to cassava growing was severe, but it was not the sole contributor to deforestation in the region. The exposure of smallholder economies to the volatile cassava market had severe consequences for livelihoods and food security. The paper concludes with a discussion of the probable impacts of the emerging cassava market on trajectories in land use, land ownership, and land access in rural Cambodia. The case looks at biofuel adoption in the context of other land use changes, but also provides evidence at the local scale of how a strongly market driven crop, in this case biofuel feedstock, can have striking environmental and socioeconomic consequences.","container-title":"Applied Geography","DOI":"10.1016/j.apgeog.2012.02.007","ISSN":"0143-6228","journalAbbreviation":"Applied Geography","page":"525-532","source":"ScienceDirect","title":"Biofuels, land use change and smallholder livelihoods: A case study from Banteay Chhmar, Cambodia","title-short":"Biofuels, land use change and smallholder livelihoods","volume":"34","author":[{"family":"Hought","given":"Joy"},{"family":"Birch-Thomsen","given":"Torben"},{"family":"Petersen","given":"Jacob"},{"family":"Neergaard","given":"Andreas","non-dropping-particle":"de"},{"family":"Oelofse","given":"Myles"}],"issued":{"date-parts":[["2012",5,1]]}}},{"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7F53DC">
        <w:fldChar w:fldCharType="separate"/>
      </w:r>
      <w:r w:rsidR="007F53DC" w:rsidRPr="007F53DC">
        <w:rPr>
          <w:rFonts w:ascii="Calibri" w:hAnsi="Calibri" w:cs="Calibri"/>
        </w:rPr>
        <w:t xml:space="preserve">(Dasgupta et al. 2005; </w:t>
      </w:r>
      <w:proofErr w:type="spellStart"/>
      <w:r w:rsidR="007F53DC" w:rsidRPr="007F53DC">
        <w:rPr>
          <w:rFonts w:ascii="Calibri" w:hAnsi="Calibri" w:cs="Calibri"/>
        </w:rPr>
        <w:t>Gaughan</w:t>
      </w:r>
      <w:proofErr w:type="spellEnd"/>
      <w:r w:rsidR="007F53DC" w:rsidRPr="007F53DC">
        <w:rPr>
          <w:rFonts w:ascii="Calibri" w:hAnsi="Calibri" w:cs="Calibri"/>
        </w:rPr>
        <w:t xml:space="preserve"> et al. 2009; </w:t>
      </w:r>
      <w:proofErr w:type="spellStart"/>
      <w:r w:rsidR="007F53DC" w:rsidRPr="007F53DC">
        <w:rPr>
          <w:rFonts w:ascii="Calibri" w:hAnsi="Calibri" w:cs="Calibri"/>
        </w:rPr>
        <w:t>Hought</w:t>
      </w:r>
      <w:proofErr w:type="spellEnd"/>
      <w:r w:rsidR="007F53DC" w:rsidRPr="007F53DC">
        <w:rPr>
          <w:rFonts w:ascii="Calibri" w:hAnsi="Calibri" w:cs="Calibri"/>
        </w:rPr>
        <w:t xml:space="preserve"> et al. 2012; Kong et al. 2019)</w:t>
      </w:r>
      <w:r w:rsidR="007F53DC">
        <w:fldChar w:fldCharType="end"/>
      </w:r>
      <w:r w:rsidR="007F53DC">
        <w:t>, but to my knowledge, no study has attempted this at a national scale.  Therefore, in this chapter I aim to fill this research gap by 1) modelling the relationship between socioeconomic variables and forest cover for the whole country a</w:t>
      </w:r>
      <w:r w:rsidR="0011317E">
        <w:t>t</w:t>
      </w:r>
      <w:r w:rsidR="007F53DC">
        <w:t xml:space="preserve"> two spatial resolutions (Province, Commune), and 2) use a cluster analysis to create a provincial-level socioeconomic typology which further describes the relationships between socioeconomic development and forest cover. </w:t>
      </w:r>
    </w:p>
    <w:p w14:paraId="0D0B548E" w14:textId="5CA370EE" w:rsidR="00D6664E" w:rsidRDefault="00D6664E">
      <w:pPr>
        <w:rPr>
          <w:b/>
          <w:bCs/>
        </w:rPr>
      </w:pPr>
      <w:r>
        <w:rPr>
          <w:b/>
          <w:bCs/>
        </w:rPr>
        <w:t xml:space="preserve">Methods </w:t>
      </w:r>
    </w:p>
    <w:p w14:paraId="05304B88" w14:textId="0317184E" w:rsidR="00D6664E" w:rsidRDefault="00D6664E">
      <w:r>
        <w:t>Study area?</w:t>
      </w:r>
    </w:p>
    <w:p w14:paraId="68093268" w14:textId="77777777" w:rsidR="00D6664E" w:rsidRDefault="00D6664E">
      <w:pPr>
        <w:rPr>
          <w:b/>
          <w:bCs/>
        </w:rPr>
      </w:pPr>
    </w:p>
    <w:p w14:paraId="0248F79B" w14:textId="77777777" w:rsidR="000920A2" w:rsidRPr="00D6664E" w:rsidRDefault="000920A2" w:rsidP="000920A2">
      <w:pPr>
        <w:rPr>
          <w:i/>
          <w:iCs/>
        </w:rPr>
      </w:pPr>
      <w:r w:rsidRPr="00D6664E">
        <w:rPr>
          <w:i/>
          <w:iCs/>
        </w:rPr>
        <w:t>Data sources</w:t>
      </w:r>
    </w:p>
    <w:p w14:paraId="78A445ED" w14:textId="1AEB1664" w:rsidR="00D6664E" w:rsidRPr="000920A2" w:rsidRDefault="000920A2">
      <w:r>
        <w:t>S</w:t>
      </w:r>
      <w:r w:rsidRPr="00D6664E">
        <w:t xml:space="preserve">ocioeconomic variables were extracted from the Cambodian Commune Database for the years 2007 – 2012 (Table </w:t>
      </w:r>
      <w:r>
        <w:t>1</w:t>
      </w:r>
      <w:r w:rsidRPr="00D6664E">
        <w:t>) which are available from Open Development Cambodia (</w:t>
      </w:r>
      <w:hyperlink r:id="rId5" w:history="1">
        <w:r w:rsidRPr="00D6664E">
          <w:rPr>
            <w:rStyle w:val="Hyperlink"/>
          </w:rPr>
          <w:t>www.opendevelopmentcambodia.net</w:t>
        </w:r>
      </w:hyperlink>
      <w:r w:rsidRPr="00D6664E">
        <w:t>). Data on economic land concessions, protected areas, and elevation (digital elevation model), and shapefiles for the country, provinces, and communes were provided by the</w:t>
      </w:r>
      <w:r>
        <w:t xml:space="preserve"> Royal Government of Cambodia (via the</w:t>
      </w:r>
      <w:r w:rsidRPr="00D6664E">
        <w:t xml:space="preserve"> Wildlife Conservation Society</w:t>
      </w:r>
      <w:r>
        <w:t>)</w:t>
      </w:r>
      <w:r w:rsidRPr="00D6664E">
        <w:t>. Forest cover layers were taken from the publicly available European Space Agency Climate Change Initiative (ESACCI) satellite data.</w:t>
      </w:r>
    </w:p>
    <w:p w14:paraId="280C0928" w14:textId="43DFB80B" w:rsidR="00D6664E" w:rsidRPr="000920A2" w:rsidRDefault="00D6664E">
      <w:pPr>
        <w:rPr>
          <w:i/>
          <w:iCs/>
        </w:rPr>
      </w:pPr>
      <w:r w:rsidRPr="000920A2">
        <w:rPr>
          <w:i/>
          <w:iCs/>
        </w:rPr>
        <w:t>Variable selection</w:t>
      </w:r>
    </w:p>
    <w:p w14:paraId="1E4EC5AA" w14:textId="019B5A55" w:rsidR="00D6664E" w:rsidRPr="00D6664E" w:rsidRDefault="00D6664E" w:rsidP="00D6664E">
      <w:r w:rsidRPr="00D6664E">
        <w:t>The response variable was forest cover area</w:t>
      </w:r>
      <w:r w:rsidR="000920A2">
        <w:t xml:space="preserve"> and was calculated using the ESACCI data product (see ‘data processing’ below)</w:t>
      </w:r>
      <w:r w:rsidRPr="00D6664E">
        <w:t xml:space="preserve">. </w:t>
      </w:r>
      <w:r w:rsidR="000920A2">
        <w:t>S</w:t>
      </w:r>
      <w:r w:rsidRPr="00D6664E">
        <w:t>ocioeconomic and control variables were selected based on a combination of previous studies, data availability, and the authors’ knowledge of Cambodia.</w:t>
      </w:r>
      <w:r w:rsidR="000920A2">
        <w:t xml:space="preserve"> </w:t>
      </w:r>
      <w:r w:rsidRPr="00D6664E">
        <w:t xml:space="preserve">Socioeconomic variables were selected to create 8 variable sets reflecting different aspects of socioeconomic status and development, each of which was hypothesised to be either a driver or predictor of forest cover </w:t>
      </w:r>
      <w:r w:rsidRPr="00D6664E">
        <w:fldChar w:fldCharType="begin"/>
      </w:r>
      <w:r w:rsidR="007723BD">
        <w:instrText xml:space="preserve"> ADDIN ZOTERO_ITEM CSL_CITATION {"citationID":"YrLq4LLp","properties":{"formattedCitation":"(Dasgupta et al. 2005; Mena et al. 2006; Rowcroft 2008; Luck et al. 2009; Ty et al. 2012; Kristensen et al. 2016; Bonilla-Bedoya et al. 2018)","plainCitation":"(Dasgupta et al. 2005; Mena et al. 2006; Rowcroft 2008; Luck et al. 2009; Ty et al. 2012; Kristensen et al. 2016; Bonilla-Bedoya et al. 2018)","dontUpdate":true,"noteIndex":0},"citationItems":[{"id":2258,"uris":["http://zotero.org/users/2170232/items/GW5M54UX"],"uri":["http://zotero.org/users/2170232/items/GW5M54UX"],"itemData":{"id":2258,"type":"article-journal","abstract":"Summary\nThis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B0710D" w:rsidRPr="00B0710D">
        <w:rPr>
          <w:rFonts w:ascii="Calibri" w:hAnsi="Calibri" w:cs="Calibri"/>
          <w:highlight w:val="yellow"/>
        </w:rPr>
        <w:t>(Table x</w:t>
      </w:r>
      <w:r w:rsidR="00B0710D">
        <w:rPr>
          <w:rFonts w:ascii="Calibri" w:hAnsi="Calibri" w:cs="Calibri"/>
        </w:rPr>
        <w:t xml:space="preserve">, </w:t>
      </w:r>
      <w:r w:rsidR="00B0710D" w:rsidRPr="00B0710D">
        <w:rPr>
          <w:rFonts w:ascii="Calibri" w:hAnsi="Calibri" w:cs="Calibri"/>
        </w:rPr>
        <w:t>Dasgupta et al. 2005; Mena et al. 2006; Rowcroft 2008; Luck et al. 2009; Ty et al. 2012; Kristensen et al. 2016; Bonilla-Bedoya et al. 2018)</w:t>
      </w:r>
      <w:r w:rsidRPr="00D6664E">
        <w:fldChar w:fldCharType="end"/>
      </w:r>
      <w:r w:rsidRPr="00D6664E">
        <w:t xml:space="preserve">. The variable sets were population demographics (n=8), education (n=4), employment (n=5), economic security (n=2), access to services (n=4), social justice (n=2), migration (n=2), and control variables (n=6). Control variables were included to account for the effects of environmental and other human factors including economic land concessions </w:t>
      </w:r>
      <w:r w:rsidRPr="00D6664E">
        <w:fldChar w:fldCharType="begin"/>
      </w:r>
      <w:r w:rsidR="00F34C45">
        <w:instrText xml:space="preserve"> ADDIN ZOTERO_ITEM CSL_CITATION {"citationID":"EOmyQ158","properties":{"formattedCitation":"(Abdullah &amp; Nakagoshi 2007; Davis et al. 2015; Xu et al. 2019)","plainCitation":"(Abdullah &amp; Nakagoshi 2007; Davis et al. 2015; Xu et al. 2019)","noteIndex":0},"citationItems":[{"id":2636,"uris":["http://zotero.org/users/2170232/items/BW7PN9QB"],"uri":["http://zotero.org/users/2170232/items/BW7PN9QB"],"itemData":{"id":2636,"type":"article-journal","abstract":"In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V."}],"issued":{"date-parts":[["2019"]]}}}],"schema":"https://github.com/citation-style-language/schema/raw/master/csl-citation.json"} </w:instrText>
      </w:r>
      <w:r w:rsidRPr="00D6664E">
        <w:fldChar w:fldCharType="separate"/>
      </w:r>
      <w:r w:rsidR="00F34C45" w:rsidRPr="00F34C45">
        <w:rPr>
          <w:rFonts w:ascii="Calibri" w:hAnsi="Calibri" w:cs="Calibri"/>
        </w:rPr>
        <w:t>(Abdullah &amp; Nakagoshi 2007; Davis et al. 2015; Xu et al. 2019)</w:t>
      </w:r>
      <w:r w:rsidRPr="00D6664E">
        <w:fldChar w:fldCharType="end"/>
      </w:r>
      <w:r w:rsidRPr="00D6664E">
        <w:t xml:space="preserve">, protected areas </w:t>
      </w:r>
      <w:r w:rsidRPr="00D6664E">
        <w:fldChar w:fldCharType="begin"/>
      </w:r>
      <w:r w:rsidR="000359C7">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0359C7" w:rsidRPr="000359C7">
        <w:rPr>
          <w:rFonts w:ascii="Calibri" w:hAnsi="Calibri" w:cs="Calibri"/>
        </w:rPr>
        <w:t>(Bonilla-Bedoya et al. 2018)</w:t>
      </w:r>
      <w:r w:rsidRPr="00D6664E">
        <w:fldChar w:fldCharType="end"/>
      </w:r>
      <w:r w:rsidRPr="00D6664E">
        <w:t xml:space="preserve">, elevation </w:t>
      </w:r>
      <w:r w:rsidRPr="00D6664E">
        <w:fldChar w:fldCharType="begin"/>
      </w:r>
      <w:r w:rsidR="000359C7">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and distance to human infrastructure </w:t>
      </w:r>
      <w:r w:rsidRPr="00D6664E">
        <w:fldChar w:fldCharType="begin"/>
      </w:r>
      <w:r w:rsidR="000359C7">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 habitat control variable was excluded because the response variable (forest cover) was extracted from a land cover layer and represented a specific type of habitat, resulting in non-independence between the response and habitat. </w:t>
      </w:r>
    </w:p>
    <w:p w14:paraId="47BC75BD" w14:textId="77777777" w:rsidR="00D6664E" w:rsidRPr="000920A2" w:rsidRDefault="00D6664E" w:rsidP="00D6664E">
      <w:pPr>
        <w:rPr>
          <w:i/>
          <w:iCs/>
        </w:rPr>
      </w:pPr>
      <w:r w:rsidRPr="000920A2">
        <w:rPr>
          <w:i/>
          <w:iCs/>
        </w:rPr>
        <w:t>Data processing</w:t>
      </w:r>
    </w:p>
    <w:p w14:paraId="05110FED" w14:textId="579C4094" w:rsidR="00D6664E" w:rsidRDefault="00D6664E">
      <w:r w:rsidRPr="00D6664E">
        <w:t>The forest cover response</w:t>
      </w:r>
      <w:r w:rsidR="00535B36">
        <w:t xml:space="preserve"> variable</w:t>
      </w:r>
      <w:r w:rsidRPr="00D6664E">
        <w:t xml:space="preserve"> was extracted from the ESACCI product by totalling the number of pixels (1 Pixel = 0.09km</w:t>
      </w:r>
      <w:r w:rsidRPr="00D6664E">
        <w:rPr>
          <w:vertAlign w:val="superscript"/>
        </w:rPr>
        <w:t>2</w:t>
      </w:r>
      <w:r w:rsidRPr="00D6664E">
        <w:t>) in each year classified as bands 50, 60, 61, 62, 70, 71, 72, 80, 81, 82, 90, and 100 (</w:t>
      </w:r>
      <w:r w:rsidRPr="00535B36">
        <w:rPr>
          <w:highlight w:val="yellow"/>
        </w:rPr>
        <w:t>Table S4</w:t>
      </w:r>
      <w:r w:rsidRPr="00D6664E">
        <w:t xml:space="preserve">). </w:t>
      </w:r>
      <w:r w:rsidR="00535B36">
        <w:t>T</w:t>
      </w:r>
      <w:r w:rsidRPr="00D6664E">
        <w:t xml:space="preserve">he forest cover layer was stratified into forest cover per commune and forest cover per province. Forest cover data processing was done in QGIS </w:t>
      </w:r>
      <w:r w:rsidRPr="00D6664E">
        <w:fldChar w:fldCharType="begin"/>
      </w:r>
      <w:r w:rsidRPr="00D6664E">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D6664E">
        <w:fldChar w:fldCharType="separate"/>
      </w:r>
      <w:r w:rsidRPr="00D6664E">
        <w:t>(QGIS Geographic Information System v3.16)</w:t>
      </w:r>
      <w:r w:rsidRPr="00D6664E">
        <w:fldChar w:fldCharType="end"/>
      </w:r>
      <w:r w:rsidRPr="00D6664E">
        <w:t xml:space="preserve">. </w:t>
      </w:r>
      <w:r w:rsidR="00535B36">
        <w:t>P</w:t>
      </w:r>
      <w:r w:rsidRPr="00D6664E">
        <w:t xml:space="preserve">redictor variables were checked for collinearity, and if two variables in the same set had a correlation coefficient of &gt;0.6 then generally one was removed (Supporting Information).  </w:t>
      </w:r>
    </w:p>
    <w:p w14:paraId="2ABF225F" w14:textId="6C8A6CBE" w:rsidR="00D6664E" w:rsidRPr="001E05DC" w:rsidRDefault="00D6664E" w:rsidP="00D6664E">
      <w:r w:rsidRPr="001E05DC">
        <w:lastRenderedPageBreak/>
        <w:t xml:space="preserve">Data from the Commune Database were at the resolution of individual village, and so the selected variables (Table </w:t>
      </w:r>
      <w:r w:rsidR="00535B36">
        <w:t>1</w:t>
      </w:r>
      <w:r w:rsidRPr="001E05DC">
        <w:t xml:space="preserve">) were aggregated to the commune and province level after error checking and cleaning (Supporting Information). This resulted in between 1,317 and 1,512 communes, and 23 Provinces (excluding Phnom Penh). The number of communes changed between years due to administrative changes. Some variables were converted from raw values to proportional data to account for large differences in commune and province size and human population (Table </w:t>
      </w:r>
      <w:r w:rsidR="00535B36">
        <w:t>1</w:t>
      </w:r>
      <w:r w:rsidRPr="001E05DC">
        <w:t xml:space="preserve">). Data were checked for errors in R (Supporting Information, R Core Team, version 4.0). </w:t>
      </w:r>
    </w:p>
    <w:p w14:paraId="7FEBA632" w14:textId="77777777" w:rsidR="00D6664E" w:rsidRPr="000920A2" w:rsidRDefault="00D6664E" w:rsidP="00D6664E">
      <w:pPr>
        <w:rPr>
          <w:i/>
          <w:iCs/>
        </w:rPr>
      </w:pPr>
      <w:r w:rsidRPr="000920A2">
        <w:rPr>
          <w:i/>
          <w:iCs/>
        </w:rPr>
        <w:t xml:space="preserve">Modelling </w:t>
      </w:r>
    </w:p>
    <w:p w14:paraId="7DCA6B4D" w14:textId="77777777" w:rsidR="00D6664E" w:rsidRPr="001E05DC" w:rsidRDefault="00D6664E" w:rsidP="00D6664E">
      <w:r w:rsidRPr="001E05DC">
        <w:t xml:space="preserve">This analysis aimed to model the relationships between forest cover and socioeconomic variables within communes between 2007 – 2012. The results of initial commune-level modelling prompted further aggregation of the data to the province-level and models were built to investigate the relationships between forest cover and socioeconomic variables within provinces for the same time period. </w:t>
      </w:r>
    </w:p>
    <w:p w14:paraId="59835B50" w14:textId="77777777" w:rsidR="00D6664E" w:rsidRPr="000920A2" w:rsidRDefault="00D6664E" w:rsidP="000920A2">
      <w:pPr>
        <w:rPr>
          <w:u w:val="single"/>
        </w:rPr>
      </w:pPr>
      <w:r w:rsidRPr="000920A2">
        <w:rPr>
          <w:u w:val="single"/>
        </w:rPr>
        <w:t>Commune-level models</w:t>
      </w:r>
    </w:p>
    <w:p w14:paraId="1F52ED19" w14:textId="3767CE48" w:rsidR="00D6664E" w:rsidRPr="001E05DC" w:rsidRDefault="00D6664E" w:rsidP="00D6664E">
      <w:r w:rsidRPr="001E05DC">
        <w:t xml:space="preserve">Generalised linear mixed models (GLMM) with Poisson errors were </w:t>
      </w:r>
      <w:r w:rsidR="00535B36">
        <w:t>built</w:t>
      </w:r>
      <w:r w:rsidRPr="001E05DC">
        <w:t xml:space="preserve"> with commune nested within province as random intercept terms to account for repeat measurements and the hierarchical data structure, and year as a random slope term to account for temporal autocorrelation </w:t>
      </w:r>
      <w:r w:rsidRPr="001E05DC">
        <w:fldChar w:fldCharType="begin"/>
      </w:r>
      <w:r w:rsidR="000359C7">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Pr="001E05DC">
        <w:fldChar w:fldCharType="separate"/>
      </w:r>
      <w:r w:rsidR="000359C7" w:rsidRPr="000359C7">
        <w:rPr>
          <w:rFonts w:ascii="Calibri" w:hAnsi="Calibri" w:cs="Calibri"/>
        </w:rPr>
        <w:t>(Zuur et al. 2009)</w:t>
      </w:r>
      <w:r w:rsidRPr="001E05DC">
        <w:fldChar w:fldCharType="end"/>
      </w:r>
      <w:r w:rsidRPr="001E05DC">
        <w:t>. The natural logarithm of commune area (km</w:t>
      </w:r>
      <w:r w:rsidRPr="001E05DC">
        <w:rPr>
          <w:vertAlign w:val="superscript"/>
        </w:rPr>
        <w:t>2</w:t>
      </w:r>
      <w:r w:rsidRPr="001E05DC">
        <w:t>) was used as an offset term in all models to account for large variation in commune size. Due to the large number of available predictor variables, maximal within-set models were run first for each of the 8 variable sets (</w:t>
      </w:r>
      <w:r w:rsidRPr="00535B36">
        <w:rPr>
          <w:highlight w:val="yellow"/>
        </w:rPr>
        <w:t>Table S8</w:t>
      </w:r>
      <w:r w:rsidRPr="001E05DC">
        <w:t>), and variables with very weak, or no effect were dropped. Simplified models were compared with maximal models using likelihood ratio tests and analysis of variance tests. If a variable set had only one variable, this was automatically taken forward. Because assessment of term significance in GLMMs is complex, predictions and plots were made for all terms before being dropped to ensure noteworthy effects were not being missed. This process resulted in a final set of 13 variables which were used to create a candidate set of 10 models (</w:t>
      </w:r>
      <w:r w:rsidRPr="00535B36">
        <w:rPr>
          <w:highlight w:val="yellow"/>
        </w:rPr>
        <w:t>Table S19</w:t>
      </w:r>
      <w:r w:rsidRPr="001E05DC">
        <w:t xml:space="preserve">). Following an information theoretic approach </w:t>
      </w:r>
      <w:r w:rsidRPr="001E05DC">
        <w:fldChar w:fldCharType="begin"/>
      </w:r>
      <w:r w:rsidR="000359C7">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0359C7" w:rsidRPr="000359C7">
        <w:rPr>
          <w:rFonts w:ascii="Calibri" w:hAnsi="Calibri" w:cs="Calibri"/>
        </w:rPr>
        <w:t>(Burnham &amp; Anderson 2007)</w:t>
      </w:r>
      <w:r w:rsidRPr="001E05DC">
        <w:fldChar w:fldCharType="end"/>
      </w:r>
      <w:r w:rsidRPr="001E05DC">
        <w:t xml:space="preserve"> models were compared via AIC to select the top model or models. The resulting final model fit was assessed via diagnostic plots (residuals versus fitted, quantile-quantile of random effects, Supporting Information, </w:t>
      </w:r>
      <w:r w:rsidRPr="001E05DC">
        <w:fldChar w:fldCharType="begin"/>
      </w:r>
      <w:r w:rsidRPr="001E05DC">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1E05DC">
        <w:fldChar w:fldCharType="separate"/>
      </w:r>
      <w:r w:rsidRPr="001E05DC">
        <w:t>Harrison et al (2018)</w:t>
      </w:r>
      <w:r w:rsidRPr="001E05DC">
        <w:fldChar w:fldCharType="end"/>
      </w:r>
      <w:r w:rsidRPr="001E05DC">
        <w:t>).  Marginal (fixed effects only) and conditional (fixed and random effects) pseudo-R</w:t>
      </w:r>
      <w:r w:rsidRPr="001E05DC">
        <w:rPr>
          <w:vertAlign w:val="superscript"/>
        </w:rPr>
        <w:t>2</w:t>
      </w:r>
      <w:r w:rsidRPr="001E05DC">
        <w:t xml:space="preserve"> values were calculated based on </w:t>
      </w:r>
      <w:r w:rsidRPr="001E05DC">
        <w:fldChar w:fldCharType="begin"/>
      </w:r>
      <w:r w:rsidRPr="001E05DC">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Pr="001E05DC">
        <w:fldChar w:fldCharType="separate"/>
      </w:r>
      <w:r w:rsidRPr="001E05DC">
        <w:t>Nakagawa &amp; Schielzeth (2017)</w:t>
      </w:r>
      <w:r w:rsidRPr="001E05DC">
        <w:fldChar w:fldCharType="end"/>
      </w:r>
      <w:r w:rsidRPr="001E05DC">
        <w:t xml:space="preserve"> using the R package ‘</w:t>
      </w:r>
      <w:proofErr w:type="spellStart"/>
      <w:r w:rsidRPr="001E05DC">
        <w:t>MuMIn</w:t>
      </w:r>
      <w:proofErr w:type="spellEnd"/>
      <w:r w:rsidRPr="001E05DC">
        <w:t xml:space="preserve">’ </w:t>
      </w:r>
      <w:r w:rsidRPr="001E05DC">
        <w:fldChar w:fldCharType="begin"/>
      </w:r>
      <w:r w:rsidR="000359C7">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000359C7" w:rsidRPr="000359C7">
        <w:rPr>
          <w:rFonts w:ascii="Calibri" w:hAnsi="Calibri" w:cs="Calibri"/>
          <w:szCs w:val="24"/>
        </w:rPr>
        <w:t>(Bartoń 2020)</w:t>
      </w:r>
      <w:r w:rsidRPr="001E05DC">
        <w:fldChar w:fldCharType="end"/>
      </w:r>
      <w:r w:rsidRPr="001E05DC">
        <w:t>. To investigate the variation in effects between provinces, predictions were made for each variable within each commune and the 50% quantile</w:t>
      </w:r>
      <w:r w:rsidR="00535B36">
        <w:t xml:space="preserve"> (median)</w:t>
      </w:r>
      <w:r w:rsidRPr="001E05DC">
        <w:t xml:space="preserve"> from all commune-level predictions within each province was extracted as the provincial mean prediction. </w:t>
      </w:r>
    </w:p>
    <w:p w14:paraId="4B5E942D" w14:textId="18FD7A0E" w:rsidR="00D6664E" w:rsidRPr="000920A2" w:rsidRDefault="00D6664E" w:rsidP="00D6664E">
      <w:pPr>
        <w:rPr>
          <w:u w:val="single"/>
        </w:rPr>
      </w:pPr>
      <w:r w:rsidRPr="000920A2">
        <w:rPr>
          <w:u w:val="single"/>
        </w:rPr>
        <w:t>Province-level models</w:t>
      </w:r>
    </w:p>
    <w:p w14:paraId="06674FC1" w14:textId="112C4022" w:rsidR="00D6664E" w:rsidRPr="001E05DC" w:rsidRDefault="00D6664E" w:rsidP="00D6664E">
      <w:r w:rsidRPr="001E05DC">
        <w:t xml:space="preserve">The same GLMM model formulation was used for the province-level models except that commune was removed from the random effects structure. Based on provincial-level histograms of predictor variables, 14 predictors were converted to categorical variables by splitting the data by the mean, resulting in “high” and “low” values (Table </w:t>
      </w:r>
      <w:r w:rsidR="00535B36">
        <w:t>1</w:t>
      </w:r>
      <w:r w:rsidRPr="001E05DC">
        <w:t>). Following an information theoretic approach, a candidate set of models was created (</w:t>
      </w:r>
      <w:r w:rsidRPr="00535B36">
        <w:rPr>
          <w:highlight w:val="yellow"/>
        </w:rPr>
        <w:t xml:space="preserve">Table </w:t>
      </w:r>
      <w:proofErr w:type="spellStart"/>
      <w:r w:rsidRPr="00535B36">
        <w:rPr>
          <w:highlight w:val="yellow"/>
        </w:rPr>
        <w:t>Sx</w:t>
      </w:r>
      <w:proofErr w:type="spellEnd"/>
      <w:r w:rsidRPr="001E05DC">
        <w:t>) and model comparison was done using AIC.</w:t>
      </w:r>
    </w:p>
    <w:p w14:paraId="446B4494" w14:textId="77777777" w:rsidR="00D6664E" w:rsidRPr="000920A2" w:rsidRDefault="00D6664E" w:rsidP="00D6664E">
      <w:r w:rsidRPr="000920A2">
        <w:rPr>
          <w:i/>
          <w:iCs/>
        </w:rPr>
        <w:t>Cluster analysis</w:t>
      </w:r>
    </w:p>
    <w:p w14:paraId="6232B4B6" w14:textId="0DC78A97" w:rsidR="00D6664E" w:rsidRPr="001E05DC" w:rsidRDefault="00D6664E" w:rsidP="00D6664E">
      <w:r w:rsidRPr="001E05DC">
        <w:t xml:space="preserve">Agglomerative clustering was conducted to create a typology for provinces based on the socioeconomic variables used in the analysis above. Several agglomerative clustering approaches </w:t>
      </w:r>
      <w:r w:rsidRPr="001E05DC">
        <w:lastRenderedPageBreak/>
        <w:t>were assessed. These were single linkage, complete linkage, unweighted pair-group using arithmetic averages (UPGMA), unweighted pair-group using centroids (UPGMC), Ward’s minimum variance, and flexible clustering. The methods were compared using cophenetic correlation and Gower distance metrics, and the appropriate number of clusters (</w:t>
      </w:r>
      <w:r w:rsidRPr="00535B36">
        <w:rPr>
          <w:i/>
          <w:iCs/>
        </w:rPr>
        <w:t>k</w:t>
      </w:r>
      <w:r w:rsidRPr="001E05DC">
        <w:t xml:space="preserve">) was selected using the matrix correlation statistics </w:t>
      </w:r>
      <w:r w:rsidRPr="001E05DC">
        <w:fldChar w:fldCharType="begin"/>
      </w:r>
      <w:r w:rsidR="000359C7">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1E05DC">
        <w:fldChar w:fldCharType="separate"/>
      </w:r>
      <w:r w:rsidR="000359C7" w:rsidRPr="000359C7">
        <w:rPr>
          <w:rFonts w:ascii="Calibri" w:hAnsi="Calibri" w:cs="Calibri"/>
        </w:rPr>
        <w:t>(Borcard et al. 2018)</w:t>
      </w:r>
      <w:r w:rsidRPr="001E05DC">
        <w:fldChar w:fldCharType="end"/>
      </w:r>
      <w:r w:rsidRPr="001E05DC">
        <w:t xml:space="preserve">. The capital city of Phnom Penh, which is technically a province in itself, was removed prior to clustering because it has extreme values for many of the variables and is thus an outlier that affects the clustering. </w:t>
      </w:r>
    </w:p>
    <w:p w14:paraId="702A8863" w14:textId="77777777" w:rsidR="00D6664E" w:rsidRDefault="00D6664E"/>
    <w:p w14:paraId="2B1DFFCE" w14:textId="38EB4187" w:rsidR="00D6664E" w:rsidRDefault="00D6664E"/>
    <w:p w14:paraId="343D9AA8" w14:textId="3A62E4DD" w:rsidR="00D6664E" w:rsidRDefault="00D6664E"/>
    <w:p w14:paraId="7EF2D736" w14:textId="45372628" w:rsidR="00D6664E" w:rsidRDefault="00D6664E"/>
    <w:p w14:paraId="6FBFA9F7" w14:textId="26E855FA" w:rsidR="00D6664E" w:rsidRDefault="00D6664E"/>
    <w:p w14:paraId="3A372B5E" w14:textId="71877CED" w:rsidR="00D6664E" w:rsidRDefault="00D6664E"/>
    <w:p w14:paraId="113B0DA0" w14:textId="77777777" w:rsidR="00D6664E" w:rsidRDefault="00D6664E">
      <w:pPr>
        <w:sectPr w:rsidR="00D6664E">
          <w:pgSz w:w="11906" w:h="16838"/>
          <w:pgMar w:top="1440" w:right="1440" w:bottom="1440" w:left="1440" w:header="708" w:footer="708" w:gutter="0"/>
          <w:cols w:space="708"/>
          <w:docGrid w:linePitch="360"/>
        </w:sectPr>
      </w:pPr>
    </w:p>
    <w:p w14:paraId="21866016" w14:textId="0334312A" w:rsidR="00D6664E" w:rsidRPr="001E05DC" w:rsidRDefault="00D6664E" w:rsidP="00D6664E">
      <w:pPr>
        <w:rPr>
          <w:b/>
          <w:bCs/>
        </w:rPr>
      </w:pPr>
      <w:r w:rsidRPr="001E05DC">
        <w:rPr>
          <w:b/>
          <w:bCs/>
        </w:rPr>
        <w:lastRenderedPageBreak/>
        <w:t xml:space="preserve">Table </w:t>
      </w:r>
      <w:r w:rsidR="000920A2">
        <w:rPr>
          <w:b/>
          <w:bCs/>
        </w:rPr>
        <w:t>1</w:t>
      </w:r>
      <w:r w:rsidRPr="001E05DC">
        <w:rPr>
          <w:b/>
          <w:bCs/>
        </w:rPr>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D6664E" w:rsidRPr="001E05DC" w14:paraId="458B49BD" w14:textId="77777777" w:rsidTr="001A26A3">
        <w:tc>
          <w:tcPr>
            <w:tcW w:w="1843" w:type="dxa"/>
            <w:tcBorders>
              <w:top w:val="single" w:sz="12" w:space="0" w:color="auto"/>
              <w:bottom w:val="single" w:sz="12" w:space="0" w:color="auto"/>
            </w:tcBorders>
          </w:tcPr>
          <w:p w14:paraId="3B20DEDE" w14:textId="77777777" w:rsidR="00D6664E" w:rsidRPr="001E05DC" w:rsidRDefault="00D6664E" w:rsidP="001A26A3">
            <w:pPr>
              <w:spacing w:after="160" w:line="259" w:lineRule="auto"/>
              <w:rPr>
                <w:b/>
                <w:bCs/>
              </w:rPr>
            </w:pPr>
            <w:r w:rsidRPr="001E05DC">
              <w:rPr>
                <w:b/>
                <w:bCs/>
              </w:rPr>
              <w:t>Set</w:t>
            </w:r>
          </w:p>
        </w:tc>
        <w:tc>
          <w:tcPr>
            <w:tcW w:w="2693" w:type="dxa"/>
            <w:tcBorders>
              <w:top w:val="single" w:sz="12" w:space="0" w:color="auto"/>
              <w:bottom w:val="single" w:sz="12" w:space="0" w:color="auto"/>
            </w:tcBorders>
          </w:tcPr>
          <w:p w14:paraId="7712D14C" w14:textId="77777777" w:rsidR="00D6664E" w:rsidRPr="001E05DC" w:rsidRDefault="00D6664E" w:rsidP="001A26A3">
            <w:pPr>
              <w:spacing w:after="160" w:line="259" w:lineRule="auto"/>
              <w:rPr>
                <w:b/>
                <w:bCs/>
              </w:rPr>
            </w:pPr>
            <w:r w:rsidRPr="001E05DC">
              <w:rPr>
                <w:b/>
                <w:bCs/>
              </w:rPr>
              <w:t>Variable</w:t>
            </w:r>
          </w:p>
        </w:tc>
        <w:tc>
          <w:tcPr>
            <w:tcW w:w="2977" w:type="dxa"/>
            <w:tcBorders>
              <w:top w:val="single" w:sz="12" w:space="0" w:color="auto"/>
              <w:bottom w:val="single" w:sz="12" w:space="0" w:color="auto"/>
            </w:tcBorders>
          </w:tcPr>
          <w:p w14:paraId="27F44AF8" w14:textId="77777777" w:rsidR="00D6664E" w:rsidRPr="001E05DC" w:rsidRDefault="00D6664E" w:rsidP="001A26A3">
            <w:pPr>
              <w:spacing w:after="160" w:line="259" w:lineRule="auto"/>
              <w:rPr>
                <w:b/>
                <w:bCs/>
              </w:rPr>
            </w:pPr>
            <w:r w:rsidRPr="001E05DC">
              <w:rPr>
                <w:b/>
                <w:bCs/>
              </w:rPr>
              <w:t>Transformation for analysis</w:t>
            </w:r>
          </w:p>
        </w:tc>
        <w:tc>
          <w:tcPr>
            <w:tcW w:w="2126" w:type="dxa"/>
            <w:tcBorders>
              <w:top w:val="single" w:sz="12" w:space="0" w:color="auto"/>
              <w:bottom w:val="single" w:sz="12" w:space="0" w:color="auto"/>
            </w:tcBorders>
          </w:tcPr>
          <w:p w14:paraId="61ECD765" w14:textId="77777777" w:rsidR="00D6664E" w:rsidRPr="001E05DC" w:rsidRDefault="00D6664E" w:rsidP="001A26A3">
            <w:pPr>
              <w:spacing w:after="160" w:line="259" w:lineRule="auto"/>
              <w:rPr>
                <w:b/>
                <w:bCs/>
              </w:rPr>
            </w:pPr>
            <w:r w:rsidRPr="001E05DC">
              <w:rPr>
                <w:b/>
                <w:bCs/>
              </w:rPr>
              <w:t>Province-level class</w:t>
            </w:r>
          </w:p>
        </w:tc>
        <w:tc>
          <w:tcPr>
            <w:tcW w:w="4309" w:type="dxa"/>
            <w:tcBorders>
              <w:top w:val="single" w:sz="12" w:space="0" w:color="auto"/>
              <w:bottom w:val="single" w:sz="12" w:space="0" w:color="auto"/>
            </w:tcBorders>
          </w:tcPr>
          <w:p w14:paraId="56102C96" w14:textId="77777777" w:rsidR="00D6664E" w:rsidRPr="001E05DC" w:rsidRDefault="00D6664E" w:rsidP="001A26A3">
            <w:pPr>
              <w:spacing w:after="160" w:line="259" w:lineRule="auto"/>
              <w:rPr>
                <w:b/>
                <w:bCs/>
              </w:rPr>
            </w:pPr>
            <w:r w:rsidRPr="001E05DC">
              <w:rPr>
                <w:b/>
                <w:bCs/>
              </w:rPr>
              <w:t>Details</w:t>
            </w:r>
          </w:p>
        </w:tc>
      </w:tr>
      <w:tr w:rsidR="00D6664E" w:rsidRPr="001E05DC" w14:paraId="50B9E2F4" w14:textId="77777777" w:rsidTr="001A26A3">
        <w:tc>
          <w:tcPr>
            <w:tcW w:w="1843" w:type="dxa"/>
            <w:tcBorders>
              <w:top w:val="single" w:sz="12" w:space="0" w:color="auto"/>
            </w:tcBorders>
          </w:tcPr>
          <w:p w14:paraId="0B98A9EF" w14:textId="77777777" w:rsidR="00D6664E" w:rsidRPr="001E05DC" w:rsidRDefault="00D6664E" w:rsidP="001A26A3">
            <w:pPr>
              <w:spacing w:after="160" w:line="259" w:lineRule="auto"/>
            </w:pPr>
            <w:r w:rsidRPr="001E05DC">
              <w:t>Demographics</w:t>
            </w:r>
          </w:p>
        </w:tc>
        <w:tc>
          <w:tcPr>
            <w:tcW w:w="2693" w:type="dxa"/>
            <w:tcBorders>
              <w:top w:val="single" w:sz="12" w:space="0" w:color="auto"/>
            </w:tcBorders>
          </w:tcPr>
          <w:p w14:paraId="7ABBFA3B" w14:textId="77777777" w:rsidR="00D6664E" w:rsidRPr="001E05DC" w:rsidRDefault="00D6664E" w:rsidP="001A26A3">
            <w:pPr>
              <w:spacing w:after="160" w:line="259" w:lineRule="auto"/>
            </w:pPr>
            <w:r w:rsidRPr="001E05DC">
              <w:t>Total population</w:t>
            </w:r>
          </w:p>
        </w:tc>
        <w:tc>
          <w:tcPr>
            <w:tcW w:w="2977" w:type="dxa"/>
            <w:tcBorders>
              <w:top w:val="single" w:sz="12" w:space="0" w:color="auto"/>
            </w:tcBorders>
          </w:tcPr>
          <w:p w14:paraId="187BA36B" w14:textId="77777777" w:rsidR="00D6664E" w:rsidRPr="001E05DC" w:rsidRDefault="00D6664E" w:rsidP="001A26A3">
            <w:pPr>
              <w:spacing w:after="160" w:line="259" w:lineRule="auto"/>
            </w:pPr>
          </w:p>
        </w:tc>
        <w:tc>
          <w:tcPr>
            <w:tcW w:w="2126" w:type="dxa"/>
            <w:tcBorders>
              <w:top w:val="single" w:sz="12" w:space="0" w:color="auto"/>
            </w:tcBorders>
          </w:tcPr>
          <w:p w14:paraId="5A390E9F" w14:textId="77777777" w:rsidR="00D6664E" w:rsidRPr="001E05DC" w:rsidRDefault="00D6664E" w:rsidP="001A26A3">
            <w:pPr>
              <w:spacing w:after="160" w:line="259" w:lineRule="auto"/>
            </w:pPr>
            <w:r w:rsidRPr="001E05DC">
              <w:t>NA</w:t>
            </w:r>
          </w:p>
        </w:tc>
        <w:tc>
          <w:tcPr>
            <w:tcW w:w="4309" w:type="dxa"/>
            <w:tcBorders>
              <w:top w:val="single" w:sz="12" w:space="0" w:color="auto"/>
            </w:tcBorders>
          </w:tcPr>
          <w:p w14:paraId="59F2BFEE" w14:textId="77777777" w:rsidR="00D6664E" w:rsidRPr="001E05DC" w:rsidRDefault="00D6664E" w:rsidP="001A26A3">
            <w:pPr>
              <w:spacing w:after="160" w:line="259" w:lineRule="auto"/>
            </w:pPr>
            <w:r w:rsidRPr="001E05DC">
              <w:t>Includes women, men, and children of all ages</w:t>
            </w:r>
          </w:p>
        </w:tc>
      </w:tr>
      <w:tr w:rsidR="00D6664E" w:rsidRPr="001E05DC" w14:paraId="3E36A5CF" w14:textId="77777777" w:rsidTr="001A26A3">
        <w:tc>
          <w:tcPr>
            <w:tcW w:w="1843" w:type="dxa"/>
          </w:tcPr>
          <w:p w14:paraId="06448E26" w14:textId="77777777" w:rsidR="00D6664E" w:rsidRPr="001E05DC" w:rsidRDefault="00D6664E" w:rsidP="001A26A3">
            <w:pPr>
              <w:spacing w:after="160" w:line="259" w:lineRule="auto"/>
            </w:pPr>
          </w:p>
        </w:tc>
        <w:tc>
          <w:tcPr>
            <w:tcW w:w="2693" w:type="dxa"/>
          </w:tcPr>
          <w:p w14:paraId="0F0E03AD" w14:textId="77777777" w:rsidR="00D6664E" w:rsidRPr="001E05DC" w:rsidRDefault="00D6664E" w:rsidP="001A26A3">
            <w:pPr>
              <w:spacing w:after="160" w:line="259" w:lineRule="auto"/>
            </w:pPr>
            <w:r w:rsidRPr="001E05DC">
              <w:t>Population density</w:t>
            </w:r>
          </w:p>
        </w:tc>
        <w:tc>
          <w:tcPr>
            <w:tcW w:w="2977" w:type="dxa"/>
          </w:tcPr>
          <w:p w14:paraId="27AFBC58" w14:textId="77777777" w:rsidR="00D6664E" w:rsidRPr="001E05DC" w:rsidRDefault="00D6664E" w:rsidP="001A26A3">
            <w:pPr>
              <w:spacing w:after="160" w:line="259" w:lineRule="auto"/>
            </w:pPr>
          </w:p>
        </w:tc>
        <w:tc>
          <w:tcPr>
            <w:tcW w:w="2126" w:type="dxa"/>
          </w:tcPr>
          <w:p w14:paraId="1BD95429" w14:textId="77777777" w:rsidR="00D6664E" w:rsidRPr="001E05DC" w:rsidRDefault="00D6664E" w:rsidP="001A26A3">
            <w:pPr>
              <w:spacing w:after="160" w:line="259" w:lineRule="auto"/>
            </w:pPr>
          </w:p>
        </w:tc>
        <w:tc>
          <w:tcPr>
            <w:tcW w:w="4309" w:type="dxa"/>
          </w:tcPr>
          <w:p w14:paraId="7B7E7AB7" w14:textId="77777777" w:rsidR="00D6664E" w:rsidRPr="001E05DC" w:rsidRDefault="00D6664E" w:rsidP="001A26A3">
            <w:pPr>
              <w:spacing w:after="160" w:line="259" w:lineRule="auto"/>
            </w:pPr>
          </w:p>
        </w:tc>
      </w:tr>
      <w:tr w:rsidR="00D6664E" w:rsidRPr="001E05DC" w14:paraId="6881E709" w14:textId="77777777" w:rsidTr="001A26A3">
        <w:tc>
          <w:tcPr>
            <w:tcW w:w="1843" w:type="dxa"/>
            <w:tcBorders>
              <w:bottom w:val="single" w:sz="6" w:space="0" w:color="auto"/>
            </w:tcBorders>
          </w:tcPr>
          <w:p w14:paraId="5183BC42" w14:textId="77777777" w:rsidR="00D6664E" w:rsidRPr="001E05DC" w:rsidRDefault="00D6664E" w:rsidP="001A26A3">
            <w:pPr>
              <w:spacing w:after="160" w:line="259" w:lineRule="auto"/>
            </w:pPr>
          </w:p>
        </w:tc>
        <w:tc>
          <w:tcPr>
            <w:tcW w:w="2693" w:type="dxa"/>
            <w:tcBorders>
              <w:bottom w:val="single" w:sz="6" w:space="0" w:color="auto"/>
            </w:tcBorders>
          </w:tcPr>
          <w:p w14:paraId="45DA0372" w14:textId="77777777" w:rsidR="00D6664E" w:rsidRPr="001E05DC" w:rsidRDefault="00D6664E" w:rsidP="001A26A3">
            <w:pPr>
              <w:spacing w:after="160" w:line="259" w:lineRule="auto"/>
            </w:pPr>
            <w:r w:rsidRPr="001E05DC">
              <w:t xml:space="preserve">Number indigenous </w:t>
            </w:r>
          </w:p>
        </w:tc>
        <w:tc>
          <w:tcPr>
            <w:tcW w:w="2977" w:type="dxa"/>
            <w:tcBorders>
              <w:bottom w:val="single" w:sz="6" w:space="0" w:color="auto"/>
            </w:tcBorders>
          </w:tcPr>
          <w:p w14:paraId="57C31397" w14:textId="77777777" w:rsidR="00D6664E" w:rsidRPr="001E05DC" w:rsidRDefault="00D6664E" w:rsidP="001A26A3">
            <w:pPr>
              <w:spacing w:after="160" w:line="259" w:lineRule="auto"/>
            </w:pPr>
            <w:r w:rsidRPr="001E05DC">
              <w:t>Proportion of total population</w:t>
            </w:r>
          </w:p>
        </w:tc>
        <w:tc>
          <w:tcPr>
            <w:tcW w:w="2126" w:type="dxa"/>
            <w:tcBorders>
              <w:bottom w:val="single" w:sz="6" w:space="0" w:color="auto"/>
            </w:tcBorders>
          </w:tcPr>
          <w:p w14:paraId="71D36643"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56071372" w14:textId="77777777" w:rsidR="00D6664E" w:rsidRPr="001E05DC" w:rsidRDefault="00D6664E" w:rsidP="001A26A3">
            <w:pPr>
              <w:spacing w:after="160" w:line="259" w:lineRule="auto"/>
            </w:pPr>
            <w:r w:rsidRPr="001E05DC">
              <w:t>Total number of people who are indigenous/ethnic minority</w:t>
            </w:r>
          </w:p>
        </w:tc>
      </w:tr>
      <w:tr w:rsidR="00D6664E" w:rsidRPr="001E05DC" w14:paraId="2C82E758" w14:textId="77777777" w:rsidTr="001A26A3">
        <w:tc>
          <w:tcPr>
            <w:tcW w:w="1843" w:type="dxa"/>
            <w:tcBorders>
              <w:top w:val="single" w:sz="6" w:space="0" w:color="auto"/>
              <w:bottom w:val="single" w:sz="6" w:space="0" w:color="auto"/>
            </w:tcBorders>
          </w:tcPr>
          <w:p w14:paraId="5A893051" w14:textId="77777777" w:rsidR="00D6664E" w:rsidRPr="001E05DC" w:rsidRDefault="00D6664E" w:rsidP="001A26A3">
            <w:pPr>
              <w:spacing w:after="160" w:line="259" w:lineRule="auto"/>
            </w:pPr>
            <w:r w:rsidRPr="001E05DC">
              <w:t>Education</w:t>
            </w:r>
          </w:p>
        </w:tc>
        <w:tc>
          <w:tcPr>
            <w:tcW w:w="2693" w:type="dxa"/>
            <w:tcBorders>
              <w:top w:val="single" w:sz="6" w:space="0" w:color="auto"/>
              <w:bottom w:val="single" w:sz="6" w:space="0" w:color="auto"/>
            </w:tcBorders>
          </w:tcPr>
          <w:p w14:paraId="5C0F6A6B" w14:textId="77777777" w:rsidR="00D6664E" w:rsidRPr="001E05DC" w:rsidRDefault="00D6664E" w:rsidP="001A26A3">
            <w:pPr>
              <w:spacing w:after="160" w:line="259" w:lineRule="auto"/>
            </w:pPr>
            <w:r w:rsidRPr="001E05DC">
              <w:t>Males aged 6 – 24 in school</w:t>
            </w:r>
          </w:p>
        </w:tc>
        <w:tc>
          <w:tcPr>
            <w:tcW w:w="2977" w:type="dxa"/>
            <w:tcBorders>
              <w:top w:val="single" w:sz="6" w:space="0" w:color="auto"/>
              <w:bottom w:val="single" w:sz="6" w:space="0" w:color="auto"/>
            </w:tcBorders>
          </w:tcPr>
          <w:p w14:paraId="5672604A" w14:textId="77777777" w:rsidR="00D6664E" w:rsidRPr="001E05DC" w:rsidRDefault="00D6664E" w:rsidP="001A26A3">
            <w:pPr>
              <w:spacing w:after="160" w:line="259" w:lineRule="auto"/>
            </w:pPr>
            <w:r w:rsidRPr="001E05DC">
              <w:t>Proportion of total number of males aged 6 - 24</w:t>
            </w:r>
          </w:p>
        </w:tc>
        <w:tc>
          <w:tcPr>
            <w:tcW w:w="2126" w:type="dxa"/>
            <w:tcBorders>
              <w:top w:val="single" w:sz="6" w:space="0" w:color="auto"/>
              <w:bottom w:val="single" w:sz="6" w:space="0" w:color="auto"/>
            </w:tcBorders>
          </w:tcPr>
          <w:p w14:paraId="7CE4D36A" w14:textId="77777777" w:rsidR="00D6664E" w:rsidRPr="001E05DC" w:rsidRDefault="00D6664E" w:rsidP="001A26A3">
            <w:pPr>
              <w:spacing w:after="160" w:line="259" w:lineRule="auto"/>
            </w:pPr>
          </w:p>
        </w:tc>
        <w:tc>
          <w:tcPr>
            <w:tcW w:w="4309" w:type="dxa"/>
            <w:tcBorders>
              <w:top w:val="single" w:sz="6" w:space="0" w:color="auto"/>
              <w:bottom w:val="single" w:sz="6" w:space="0" w:color="auto"/>
            </w:tcBorders>
          </w:tcPr>
          <w:p w14:paraId="718F9638" w14:textId="77777777" w:rsidR="00D6664E" w:rsidRPr="001E05DC" w:rsidRDefault="00D6664E" w:rsidP="001A26A3">
            <w:pPr>
              <w:spacing w:after="160" w:line="259" w:lineRule="auto"/>
            </w:pPr>
            <w:r w:rsidRPr="001E05DC">
              <w:t>Number of males aged 6 - 24 in full time education</w:t>
            </w:r>
          </w:p>
        </w:tc>
      </w:tr>
      <w:tr w:rsidR="00D6664E" w:rsidRPr="001E05DC" w14:paraId="2CFF4035" w14:textId="77777777" w:rsidTr="001A26A3">
        <w:tc>
          <w:tcPr>
            <w:tcW w:w="1843" w:type="dxa"/>
            <w:tcBorders>
              <w:top w:val="single" w:sz="6" w:space="0" w:color="auto"/>
            </w:tcBorders>
          </w:tcPr>
          <w:p w14:paraId="34F1DE55" w14:textId="77777777" w:rsidR="00D6664E" w:rsidRPr="001E05DC" w:rsidRDefault="00D6664E" w:rsidP="001A26A3">
            <w:pPr>
              <w:spacing w:after="160" w:line="259" w:lineRule="auto"/>
            </w:pPr>
            <w:r w:rsidRPr="001E05DC">
              <w:t>Employment</w:t>
            </w:r>
          </w:p>
        </w:tc>
        <w:tc>
          <w:tcPr>
            <w:tcW w:w="2693" w:type="dxa"/>
            <w:tcBorders>
              <w:top w:val="single" w:sz="6" w:space="0" w:color="auto"/>
            </w:tcBorders>
          </w:tcPr>
          <w:p w14:paraId="3DEB21AB" w14:textId="77777777" w:rsidR="00D6664E" w:rsidRPr="001E05DC" w:rsidRDefault="00D6664E" w:rsidP="001A26A3">
            <w:pPr>
              <w:spacing w:after="160" w:line="259" w:lineRule="auto"/>
            </w:pPr>
            <w:r w:rsidRPr="001E05DC">
              <w:t>Number of adults employed in primary sector</w:t>
            </w:r>
          </w:p>
        </w:tc>
        <w:tc>
          <w:tcPr>
            <w:tcW w:w="2977" w:type="dxa"/>
            <w:tcBorders>
              <w:top w:val="single" w:sz="6" w:space="0" w:color="auto"/>
            </w:tcBorders>
          </w:tcPr>
          <w:p w14:paraId="00777F35" w14:textId="77777777" w:rsidR="00D6664E" w:rsidRPr="001E05DC" w:rsidRDefault="00D6664E" w:rsidP="001A26A3">
            <w:pPr>
              <w:spacing w:after="160" w:line="259" w:lineRule="auto"/>
            </w:pPr>
            <w:r w:rsidRPr="001E05DC">
              <w:t>Proportion of total adult population</w:t>
            </w:r>
          </w:p>
        </w:tc>
        <w:tc>
          <w:tcPr>
            <w:tcW w:w="2126" w:type="dxa"/>
            <w:tcBorders>
              <w:top w:val="single" w:sz="6" w:space="0" w:color="auto"/>
            </w:tcBorders>
          </w:tcPr>
          <w:p w14:paraId="0357BED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84011FF" w14:textId="77777777" w:rsidR="00D6664E" w:rsidRPr="001E05DC" w:rsidRDefault="00D6664E" w:rsidP="001A26A3">
            <w:pPr>
              <w:spacing w:after="160" w:line="259" w:lineRule="auto"/>
            </w:pPr>
            <w:r w:rsidRPr="001E05DC">
              <w:t>The primary sector includes agriculture (rice and other crop farming), fishing, livestock farming, forestry, and non-timber forest product collection (</w:t>
            </w:r>
            <w:proofErr w:type="spellStart"/>
            <w:r w:rsidRPr="001E05DC">
              <w:t>Kenessey</w:t>
            </w:r>
            <w:proofErr w:type="spellEnd"/>
            <w:r w:rsidRPr="001E05DC">
              <w:t xml:space="preserve"> 1987)</w:t>
            </w:r>
          </w:p>
        </w:tc>
      </w:tr>
      <w:tr w:rsidR="00D6664E" w:rsidRPr="001E05DC" w14:paraId="267937B3" w14:textId="77777777" w:rsidTr="001A26A3">
        <w:tc>
          <w:tcPr>
            <w:tcW w:w="1843" w:type="dxa"/>
            <w:tcBorders>
              <w:bottom w:val="single" w:sz="6" w:space="0" w:color="auto"/>
            </w:tcBorders>
          </w:tcPr>
          <w:p w14:paraId="574F004D" w14:textId="77777777" w:rsidR="00D6664E" w:rsidRPr="001E05DC" w:rsidRDefault="00D6664E" w:rsidP="001A26A3">
            <w:pPr>
              <w:spacing w:after="160" w:line="259" w:lineRule="auto"/>
            </w:pPr>
          </w:p>
        </w:tc>
        <w:tc>
          <w:tcPr>
            <w:tcW w:w="2693" w:type="dxa"/>
            <w:tcBorders>
              <w:bottom w:val="single" w:sz="6" w:space="0" w:color="auto"/>
            </w:tcBorders>
          </w:tcPr>
          <w:p w14:paraId="0CCB7C04" w14:textId="77777777" w:rsidR="00D6664E" w:rsidRPr="001E05DC" w:rsidRDefault="00D6664E" w:rsidP="001A26A3">
            <w:pPr>
              <w:spacing w:after="160" w:line="259" w:lineRule="auto"/>
            </w:pPr>
            <w:r w:rsidRPr="001E05DC">
              <w:t>Number of adults employed in secondary sector</w:t>
            </w:r>
          </w:p>
        </w:tc>
        <w:tc>
          <w:tcPr>
            <w:tcW w:w="2977" w:type="dxa"/>
            <w:tcBorders>
              <w:bottom w:val="single" w:sz="6" w:space="0" w:color="auto"/>
            </w:tcBorders>
          </w:tcPr>
          <w:p w14:paraId="75616A76" w14:textId="77777777" w:rsidR="00D6664E" w:rsidRPr="001E05DC" w:rsidRDefault="00D6664E" w:rsidP="001A26A3">
            <w:pPr>
              <w:spacing w:after="160" w:line="259" w:lineRule="auto"/>
            </w:pPr>
            <w:r w:rsidRPr="001E05DC">
              <w:t>Proportion of total adult population</w:t>
            </w:r>
          </w:p>
        </w:tc>
        <w:tc>
          <w:tcPr>
            <w:tcW w:w="2126" w:type="dxa"/>
            <w:tcBorders>
              <w:bottom w:val="single" w:sz="6" w:space="0" w:color="auto"/>
            </w:tcBorders>
          </w:tcPr>
          <w:p w14:paraId="353E15D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9D9E028" w14:textId="77777777" w:rsidR="00D6664E" w:rsidRPr="001E05DC" w:rsidRDefault="00D6664E" w:rsidP="001A26A3">
            <w:pPr>
              <w:spacing w:after="160" w:line="259" w:lineRule="auto"/>
            </w:pPr>
            <w:r w:rsidRPr="001E05DC">
              <w:t>The secondary sector includes wood-based production (e.g. furniture), metal- and glass-based production, foodstuff production, plastic- and rubber-based production, textiles production (</w:t>
            </w:r>
            <w:proofErr w:type="spellStart"/>
            <w:r w:rsidRPr="001E05DC">
              <w:t>Kenessey</w:t>
            </w:r>
            <w:proofErr w:type="spellEnd"/>
            <w:r w:rsidRPr="001E05DC">
              <w:t xml:space="preserve"> 1987)</w:t>
            </w:r>
          </w:p>
        </w:tc>
      </w:tr>
      <w:tr w:rsidR="00D6664E" w:rsidRPr="001E05DC" w14:paraId="1516F823" w14:textId="77777777" w:rsidTr="001A26A3">
        <w:tc>
          <w:tcPr>
            <w:tcW w:w="1843" w:type="dxa"/>
            <w:tcBorders>
              <w:top w:val="single" w:sz="6" w:space="0" w:color="auto"/>
            </w:tcBorders>
          </w:tcPr>
          <w:p w14:paraId="135A875A" w14:textId="77777777" w:rsidR="00D6664E" w:rsidRPr="001E05DC" w:rsidRDefault="00D6664E" w:rsidP="001A26A3">
            <w:pPr>
              <w:spacing w:after="160" w:line="259" w:lineRule="auto"/>
            </w:pPr>
            <w:r w:rsidRPr="001E05DC">
              <w:t>Economic security</w:t>
            </w:r>
          </w:p>
        </w:tc>
        <w:tc>
          <w:tcPr>
            <w:tcW w:w="2693" w:type="dxa"/>
            <w:tcBorders>
              <w:top w:val="single" w:sz="6" w:space="0" w:color="auto"/>
            </w:tcBorders>
          </w:tcPr>
          <w:p w14:paraId="13073973" w14:textId="77777777" w:rsidR="00D6664E" w:rsidRPr="001E05DC" w:rsidRDefault="00D6664E" w:rsidP="001A26A3">
            <w:pPr>
              <w:spacing w:after="160" w:line="259" w:lineRule="auto"/>
            </w:pPr>
            <w:r w:rsidRPr="001E05DC">
              <w:t>Number of families with &lt;1ha rice land (including no rice land)</w:t>
            </w:r>
          </w:p>
        </w:tc>
        <w:tc>
          <w:tcPr>
            <w:tcW w:w="2977" w:type="dxa"/>
            <w:tcBorders>
              <w:top w:val="single" w:sz="6" w:space="0" w:color="auto"/>
            </w:tcBorders>
          </w:tcPr>
          <w:p w14:paraId="1733BBA2" w14:textId="77777777" w:rsidR="00D6664E" w:rsidRPr="001E05DC" w:rsidRDefault="00D6664E" w:rsidP="001A26A3">
            <w:pPr>
              <w:spacing w:after="160" w:line="259" w:lineRule="auto"/>
            </w:pPr>
            <w:r w:rsidRPr="001E05DC">
              <w:t>Proportion of total number of families</w:t>
            </w:r>
          </w:p>
        </w:tc>
        <w:tc>
          <w:tcPr>
            <w:tcW w:w="2126" w:type="dxa"/>
            <w:tcBorders>
              <w:top w:val="single" w:sz="6" w:space="0" w:color="auto"/>
            </w:tcBorders>
          </w:tcPr>
          <w:p w14:paraId="36B1FAF0"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64F48ECB" w14:textId="77777777" w:rsidR="00D6664E" w:rsidRPr="001E05DC" w:rsidRDefault="00D6664E" w:rsidP="001A26A3">
            <w:pPr>
              <w:spacing w:after="160" w:line="259" w:lineRule="auto"/>
            </w:pPr>
          </w:p>
        </w:tc>
      </w:tr>
      <w:tr w:rsidR="00D6664E" w:rsidRPr="001E05DC" w14:paraId="184854BF" w14:textId="77777777" w:rsidTr="001A26A3">
        <w:tc>
          <w:tcPr>
            <w:tcW w:w="1843" w:type="dxa"/>
            <w:tcBorders>
              <w:bottom w:val="single" w:sz="6" w:space="0" w:color="auto"/>
            </w:tcBorders>
          </w:tcPr>
          <w:p w14:paraId="2D3A09E4" w14:textId="77777777" w:rsidR="00D6664E" w:rsidRPr="001E05DC" w:rsidRDefault="00D6664E" w:rsidP="001A26A3">
            <w:pPr>
              <w:spacing w:after="160" w:line="259" w:lineRule="auto"/>
            </w:pPr>
          </w:p>
        </w:tc>
        <w:tc>
          <w:tcPr>
            <w:tcW w:w="2693" w:type="dxa"/>
            <w:tcBorders>
              <w:bottom w:val="single" w:sz="6" w:space="0" w:color="auto"/>
            </w:tcBorders>
          </w:tcPr>
          <w:p w14:paraId="269A4BFE" w14:textId="77777777" w:rsidR="00D6664E" w:rsidRPr="001E05DC" w:rsidRDefault="00D6664E" w:rsidP="001A26A3">
            <w:pPr>
              <w:spacing w:after="160" w:line="259" w:lineRule="auto"/>
            </w:pPr>
            <w:r w:rsidRPr="001E05DC">
              <w:t>Number of families who keep pigs</w:t>
            </w:r>
          </w:p>
        </w:tc>
        <w:tc>
          <w:tcPr>
            <w:tcW w:w="2977" w:type="dxa"/>
            <w:tcBorders>
              <w:bottom w:val="single" w:sz="6" w:space="0" w:color="auto"/>
            </w:tcBorders>
          </w:tcPr>
          <w:p w14:paraId="086212CA" w14:textId="77777777" w:rsidR="00D6664E" w:rsidRPr="001E05DC" w:rsidRDefault="00D6664E" w:rsidP="001A26A3">
            <w:pPr>
              <w:spacing w:after="160" w:line="259" w:lineRule="auto"/>
            </w:pPr>
            <w:r w:rsidRPr="001E05DC">
              <w:t>Proportion of total number of families</w:t>
            </w:r>
          </w:p>
        </w:tc>
        <w:tc>
          <w:tcPr>
            <w:tcW w:w="2126" w:type="dxa"/>
            <w:tcBorders>
              <w:bottom w:val="single" w:sz="6" w:space="0" w:color="auto"/>
            </w:tcBorders>
          </w:tcPr>
          <w:p w14:paraId="357775B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42ECFA3A" w14:textId="77777777" w:rsidR="00D6664E" w:rsidRPr="001E05DC" w:rsidRDefault="00D6664E" w:rsidP="001A26A3">
            <w:pPr>
              <w:spacing w:after="160" w:line="259" w:lineRule="auto"/>
            </w:pPr>
          </w:p>
        </w:tc>
      </w:tr>
      <w:tr w:rsidR="00D6664E" w:rsidRPr="001E05DC" w14:paraId="5F9E59E7" w14:textId="77777777" w:rsidTr="001A26A3">
        <w:tc>
          <w:tcPr>
            <w:tcW w:w="1843" w:type="dxa"/>
            <w:tcBorders>
              <w:top w:val="single" w:sz="6" w:space="0" w:color="auto"/>
            </w:tcBorders>
          </w:tcPr>
          <w:p w14:paraId="29E7D66A" w14:textId="77777777" w:rsidR="00D6664E" w:rsidRPr="001E05DC" w:rsidRDefault="00D6664E" w:rsidP="001A26A3">
            <w:pPr>
              <w:spacing w:after="160" w:line="259" w:lineRule="auto"/>
            </w:pPr>
            <w:r w:rsidRPr="001E05DC">
              <w:lastRenderedPageBreak/>
              <w:t>Access to services</w:t>
            </w:r>
          </w:p>
        </w:tc>
        <w:tc>
          <w:tcPr>
            <w:tcW w:w="2693" w:type="dxa"/>
            <w:tcBorders>
              <w:top w:val="single" w:sz="6" w:space="0" w:color="auto"/>
            </w:tcBorders>
          </w:tcPr>
          <w:p w14:paraId="3E196EBC" w14:textId="77777777" w:rsidR="00D6664E" w:rsidRPr="001E05DC" w:rsidRDefault="00D6664E" w:rsidP="001A26A3">
            <w:pPr>
              <w:spacing w:after="160" w:line="259" w:lineRule="auto"/>
            </w:pPr>
            <w:r w:rsidRPr="001E05DC">
              <w:t>Distance to nearest school</w:t>
            </w:r>
          </w:p>
        </w:tc>
        <w:tc>
          <w:tcPr>
            <w:tcW w:w="2977" w:type="dxa"/>
            <w:tcBorders>
              <w:top w:val="single" w:sz="6" w:space="0" w:color="auto"/>
            </w:tcBorders>
          </w:tcPr>
          <w:p w14:paraId="70B9EE0C" w14:textId="77777777" w:rsidR="00D6664E" w:rsidRPr="001E05DC" w:rsidRDefault="00D6664E" w:rsidP="001A26A3">
            <w:pPr>
              <w:spacing w:after="160" w:line="259" w:lineRule="auto"/>
            </w:pPr>
          </w:p>
        </w:tc>
        <w:tc>
          <w:tcPr>
            <w:tcW w:w="2126" w:type="dxa"/>
            <w:tcBorders>
              <w:top w:val="single" w:sz="6" w:space="0" w:color="auto"/>
            </w:tcBorders>
          </w:tcPr>
          <w:p w14:paraId="27EE34B4"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7868980E" w14:textId="77777777" w:rsidR="00D6664E" w:rsidRPr="001E05DC" w:rsidRDefault="00D6664E" w:rsidP="001A26A3">
            <w:pPr>
              <w:spacing w:after="160" w:line="259" w:lineRule="auto"/>
            </w:pPr>
            <w:r w:rsidRPr="001E05DC">
              <w:t>Median distance from any village in the commune to the nearest school (primary or secondary)</w:t>
            </w:r>
          </w:p>
        </w:tc>
      </w:tr>
      <w:tr w:rsidR="00D6664E" w:rsidRPr="001E05DC" w14:paraId="212C59F1" w14:textId="77777777" w:rsidTr="001A26A3">
        <w:tc>
          <w:tcPr>
            <w:tcW w:w="1843" w:type="dxa"/>
          </w:tcPr>
          <w:p w14:paraId="58EBE6D5" w14:textId="77777777" w:rsidR="00D6664E" w:rsidRPr="001E05DC" w:rsidRDefault="00D6664E" w:rsidP="001A26A3">
            <w:pPr>
              <w:spacing w:after="160" w:line="259" w:lineRule="auto"/>
            </w:pPr>
          </w:p>
        </w:tc>
        <w:tc>
          <w:tcPr>
            <w:tcW w:w="2693" w:type="dxa"/>
          </w:tcPr>
          <w:p w14:paraId="6D035324" w14:textId="77777777" w:rsidR="00D6664E" w:rsidRPr="001E05DC" w:rsidRDefault="00D6664E" w:rsidP="001A26A3">
            <w:pPr>
              <w:spacing w:after="160" w:line="259" w:lineRule="auto"/>
            </w:pPr>
            <w:r w:rsidRPr="001E05DC">
              <w:t>Number of families with access to waste collection</w:t>
            </w:r>
          </w:p>
        </w:tc>
        <w:tc>
          <w:tcPr>
            <w:tcW w:w="2977" w:type="dxa"/>
          </w:tcPr>
          <w:p w14:paraId="33997D25" w14:textId="77777777" w:rsidR="00D6664E" w:rsidRPr="001E05DC" w:rsidRDefault="00D6664E" w:rsidP="001A26A3">
            <w:pPr>
              <w:spacing w:after="160" w:line="259" w:lineRule="auto"/>
            </w:pPr>
            <w:r w:rsidRPr="001E05DC">
              <w:t>Proportion of total number of families</w:t>
            </w:r>
          </w:p>
        </w:tc>
        <w:tc>
          <w:tcPr>
            <w:tcW w:w="2126" w:type="dxa"/>
          </w:tcPr>
          <w:p w14:paraId="2262D207" w14:textId="77777777" w:rsidR="00D6664E" w:rsidRPr="001E05DC" w:rsidRDefault="00D6664E" w:rsidP="001A26A3">
            <w:pPr>
              <w:spacing w:after="160" w:line="259" w:lineRule="auto"/>
            </w:pPr>
          </w:p>
        </w:tc>
        <w:tc>
          <w:tcPr>
            <w:tcW w:w="4309" w:type="dxa"/>
          </w:tcPr>
          <w:p w14:paraId="44202B5D" w14:textId="77777777" w:rsidR="00D6664E" w:rsidRPr="001E05DC" w:rsidRDefault="00D6664E" w:rsidP="001A26A3">
            <w:pPr>
              <w:spacing w:after="160" w:line="259" w:lineRule="auto"/>
            </w:pPr>
          </w:p>
        </w:tc>
      </w:tr>
      <w:tr w:rsidR="00D6664E" w:rsidRPr="001E05DC" w14:paraId="1D682199" w14:textId="77777777" w:rsidTr="001A26A3">
        <w:tc>
          <w:tcPr>
            <w:tcW w:w="1843" w:type="dxa"/>
          </w:tcPr>
          <w:p w14:paraId="3D832D25" w14:textId="77777777" w:rsidR="00D6664E" w:rsidRPr="001E05DC" w:rsidRDefault="00D6664E" w:rsidP="001A26A3">
            <w:pPr>
              <w:spacing w:after="160" w:line="259" w:lineRule="auto"/>
            </w:pPr>
          </w:p>
        </w:tc>
        <w:tc>
          <w:tcPr>
            <w:tcW w:w="2693" w:type="dxa"/>
          </w:tcPr>
          <w:p w14:paraId="6C67BFED" w14:textId="77777777" w:rsidR="00D6664E" w:rsidRPr="001E05DC" w:rsidRDefault="00D6664E" w:rsidP="001A26A3">
            <w:pPr>
              <w:spacing w:after="160" w:line="259" w:lineRule="auto"/>
            </w:pPr>
            <w:r w:rsidRPr="001E05DC">
              <w:t>Distance to the Commune Office</w:t>
            </w:r>
          </w:p>
        </w:tc>
        <w:tc>
          <w:tcPr>
            <w:tcW w:w="2977" w:type="dxa"/>
          </w:tcPr>
          <w:p w14:paraId="633ADEFB" w14:textId="77777777" w:rsidR="00D6664E" w:rsidRPr="001E05DC" w:rsidRDefault="00D6664E" w:rsidP="001A26A3">
            <w:pPr>
              <w:spacing w:after="160" w:line="259" w:lineRule="auto"/>
            </w:pPr>
          </w:p>
        </w:tc>
        <w:tc>
          <w:tcPr>
            <w:tcW w:w="2126" w:type="dxa"/>
          </w:tcPr>
          <w:p w14:paraId="648934FF" w14:textId="77777777" w:rsidR="00D6664E" w:rsidRPr="001E05DC" w:rsidRDefault="00D6664E" w:rsidP="001A26A3">
            <w:pPr>
              <w:spacing w:after="160" w:line="259" w:lineRule="auto"/>
            </w:pPr>
          </w:p>
        </w:tc>
        <w:tc>
          <w:tcPr>
            <w:tcW w:w="4309" w:type="dxa"/>
          </w:tcPr>
          <w:p w14:paraId="7EC31777" w14:textId="77777777" w:rsidR="00D6664E" w:rsidRPr="001E05DC" w:rsidRDefault="00D6664E" w:rsidP="001A26A3">
            <w:pPr>
              <w:spacing w:after="160" w:line="259" w:lineRule="auto"/>
            </w:pPr>
            <w:r w:rsidRPr="001E05DC">
              <w:t>Median distance from any village in the commune to the Commune Office (government administration office)</w:t>
            </w:r>
          </w:p>
        </w:tc>
      </w:tr>
      <w:tr w:rsidR="00D6664E" w:rsidRPr="001E05DC" w14:paraId="665E9768" w14:textId="77777777" w:rsidTr="001A26A3">
        <w:tc>
          <w:tcPr>
            <w:tcW w:w="1843" w:type="dxa"/>
            <w:tcBorders>
              <w:top w:val="single" w:sz="6" w:space="0" w:color="auto"/>
            </w:tcBorders>
          </w:tcPr>
          <w:p w14:paraId="3EDDBDAE" w14:textId="77777777" w:rsidR="00D6664E" w:rsidRPr="001E05DC" w:rsidRDefault="00D6664E" w:rsidP="001A26A3">
            <w:pPr>
              <w:spacing w:after="160" w:line="259" w:lineRule="auto"/>
            </w:pPr>
            <w:r w:rsidRPr="001E05DC">
              <w:t xml:space="preserve">Social justice </w:t>
            </w:r>
          </w:p>
        </w:tc>
        <w:tc>
          <w:tcPr>
            <w:tcW w:w="2693" w:type="dxa"/>
            <w:tcBorders>
              <w:top w:val="single" w:sz="6" w:space="0" w:color="auto"/>
            </w:tcBorders>
          </w:tcPr>
          <w:p w14:paraId="5BC2808B" w14:textId="77777777" w:rsidR="00D6664E" w:rsidRPr="001E05DC" w:rsidRDefault="00D6664E" w:rsidP="001A26A3">
            <w:pPr>
              <w:spacing w:after="160" w:line="259" w:lineRule="auto"/>
            </w:pPr>
            <w:r w:rsidRPr="001E05DC">
              <w:t>Number of criminal cases</w:t>
            </w:r>
          </w:p>
        </w:tc>
        <w:tc>
          <w:tcPr>
            <w:tcW w:w="2977" w:type="dxa"/>
            <w:tcBorders>
              <w:top w:val="single" w:sz="6" w:space="0" w:color="auto"/>
            </w:tcBorders>
          </w:tcPr>
          <w:p w14:paraId="4FCA4783" w14:textId="77777777" w:rsidR="00D6664E" w:rsidRPr="001E05DC" w:rsidRDefault="00D6664E" w:rsidP="001A26A3">
            <w:pPr>
              <w:spacing w:after="160" w:line="259" w:lineRule="auto"/>
            </w:pPr>
            <w:r w:rsidRPr="001E05DC">
              <w:t>Criminal cases per capita</w:t>
            </w:r>
          </w:p>
        </w:tc>
        <w:tc>
          <w:tcPr>
            <w:tcW w:w="2126" w:type="dxa"/>
            <w:tcBorders>
              <w:top w:val="single" w:sz="6" w:space="0" w:color="auto"/>
            </w:tcBorders>
          </w:tcPr>
          <w:p w14:paraId="1E263F77"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C5D67A9" w14:textId="77777777" w:rsidR="00D6664E" w:rsidRPr="001E05DC" w:rsidRDefault="00D6664E" w:rsidP="001A26A3">
            <w:pPr>
              <w:spacing w:after="160" w:line="259" w:lineRule="auto"/>
            </w:pPr>
            <w:r w:rsidRPr="001E05DC">
              <w:t>Includes murder, theft, and other criminal cases</w:t>
            </w:r>
          </w:p>
        </w:tc>
      </w:tr>
      <w:tr w:rsidR="00D6664E" w:rsidRPr="001E05DC" w14:paraId="24086468" w14:textId="77777777" w:rsidTr="001A26A3">
        <w:tc>
          <w:tcPr>
            <w:tcW w:w="1843" w:type="dxa"/>
          </w:tcPr>
          <w:p w14:paraId="55E368E4" w14:textId="77777777" w:rsidR="00D6664E" w:rsidRPr="001E05DC" w:rsidRDefault="00D6664E" w:rsidP="001A26A3">
            <w:pPr>
              <w:spacing w:after="160" w:line="259" w:lineRule="auto"/>
            </w:pPr>
          </w:p>
        </w:tc>
        <w:tc>
          <w:tcPr>
            <w:tcW w:w="2693" w:type="dxa"/>
          </w:tcPr>
          <w:p w14:paraId="103BD330" w14:textId="77777777" w:rsidR="00D6664E" w:rsidRPr="001E05DC" w:rsidRDefault="00D6664E" w:rsidP="001A26A3">
            <w:pPr>
              <w:spacing w:after="160" w:line="259" w:lineRule="auto"/>
            </w:pPr>
          </w:p>
        </w:tc>
        <w:tc>
          <w:tcPr>
            <w:tcW w:w="2977" w:type="dxa"/>
          </w:tcPr>
          <w:p w14:paraId="6221A28A" w14:textId="77777777" w:rsidR="00D6664E" w:rsidRPr="001E05DC" w:rsidRDefault="00D6664E" w:rsidP="001A26A3">
            <w:pPr>
              <w:spacing w:after="160" w:line="259" w:lineRule="auto"/>
            </w:pPr>
          </w:p>
        </w:tc>
        <w:tc>
          <w:tcPr>
            <w:tcW w:w="2126" w:type="dxa"/>
          </w:tcPr>
          <w:p w14:paraId="3F657AA0" w14:textId="77777777" w:rsidR="00D6664E" w:rsidRPr="001E05DC" w:rsidRDefault="00D6664E" w:rsidP="001A26A3">
            <w:pPr>
              <w:spacing w:after="160" w:line="259" w:lineRule="auto"/>
            </w:pPr>
          </w:p>
        </w:tc>
        <w:tc>
          <w:tcPr>
            <w:tcW w:w="4309" w:type="dxa"/>
          </w:tcPr>
          <w:p w14:paraId="331E1495" w14:textId="77777777" w:rsidR="00D6664E" w:rsidRPr="001E05DC" w:rsidRDefault="00D6664E" w:rsidP="001A26A3">
            <w:pPr>
              <w:spacing w:after="160" w:line="259" w:lineRule="auto"/>
            </w:pPr>
          </w:p>
        </w:tc>
      </w:tr>
      <w:tr w:rsidR="00D6664E" w:rsidRPr="001E05DC" w14:paraId="5D6BCD82" w14:textId="77777777" w:rsidTr="001A26A3">
        <w:tc>
          <w:tcPr>
            <w:tcW w:w="1843" w:type="dxa"/>
            <w:tcBorders>
              <w:bottom w:val="single" w:sz="6" w:space="0" w:color="auto"/>
            </w:tcBorders>
          </w:tcPr>
          <w:p w14:paraId="7100C02C" w14:textId="77777777" w:rsidR="00D6664E" w:rsidRPr="001E05DC" w:rsidRDefault="00D6664E" w:rsidP="001A26A3">
            <w:pPr>
              <w:spacing w:after="160" w:line="259" w:lineRule="auto"/>
            </w:pPr>
          </w:p>
        </w:tc>
        <w:tc>
          <w:tcPr>
            <w:tcW w:w="2693" w:type="dxa"/>
            <w:tcBorders>
              <w:bottom w:val="single" w:sz="6" w:space="0" w:color="auto"/>
            </w:tcBorders>
          </w:tcPr>
          <w:p w14:paraId="44D94262" w14:textId="77777777" w:rsidR="00D6664E" w:rsidRPr="001E05DC" w:rsidRDefault="00D6664E" w:rsidP="001A26A3">
            <w:pPr>
              <w:spacing w:after="160" w:line="259" w:lineRule="auto"/>
            </w:pPr>
            <w:r w:rsidRPr="001E05DC">
              <w:t>Number of land conflict cases</w:t>
            </w:r>
          </w:p>
        </w:tc>
        <w:tc>
          <w:tcPr>
            <w:tcW w:w="2977" w:type="dxa"/>
            <w:tcBorders>
              <w:bottom w:val="single" w:sz="6" w:space="0" w:color="auto"/>
            </w:tcBorders>
          </w:tcPr>
          <w:p w14:paraId="5DD480BE" w14:textId="77777777" w:rsidR="00D6664E" w:rsidRPr="001E05DC" w:rsidRDefault="00D6664E" w:rsidP="001A26A3">
            <w:pPr>
              <w:spacing w:after="160" w:line="259" w:lineRule="auto"/>
            </w:pPr>
          </w:p>
        </w:tc>
        <w:tc>
          <w:tcPr>
            <w:tcW w:w="2126" w:type="dxa"/>
            <w:tcBorders>
              <w:bottom w:val="single" w:sz="6" w:space="0" w:color="auto"/>
            </w:tcBorders>
          </w:tcPr>
          <w:p w14:paraId="3C5BDC61"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B224989" w14:textId="77777777" w:rsidR="00D6664E" w:rsidRPr="001E05DC" w:rsidRDefault="00D6664E" w:rsidP="001A26A3">
            <w:pPr>
              <w:spacing w:after="160" w:line="259" w:lineRule="auto"/>
            </w:pPr>
            <w:r w:rsidRPr="001E05DC">
              <w:t>In the previous 12 months</w:t>
            </w:r>
          </w:p>
        </w:tc>
      </w:tr>
      <w:tr w:rsidR="00D6664E" w:rsidRPr="001E05DC" w14:paraId="059FD9BE" w14:textId="77777777" w:rsidTr="001A26A3">
        <w:tc>
          <w:tcPr>
            <w:tcW w:w="1843" w:type="dxa"/>
            <w:tcBorders>
              <w:top w:val="single" w:sz="6" w:space="0" w:color="auto"/>
            </w:tcBorders>
          </w:tcPr>
          <w:p w14:paraId="0BB7CBAC" w14:textId="77777777" w:rsidR="00D6664E" w:rsidRPr="001E05DC" w:rsidRDefault="00D6664E" w:rsidP="001A26A3">
            <w:pPr>
              <w:spacing w:after="160" w:line="259" w:lineRule="auto"/>
            </w:pPr>
            <w:r w:rsidRPr="001E05DC">
              <w:t>Migration</w:t>
            </w:r>
          </w:p>
        </w:tc>
        <w:tc>
          <w:tcPr>
            <w:tcW w:w="2693" w:type="dxa"/>
            <w:tcBorders>
              <w:top w:val="single" w:sz="6" w:space="0" w:color="auto"/>
            </w:tcBorders>
          </w:tcPr>
          <w:p w14:paraId="250D37FD" w14:textId="77777777" w:rsidR="00D6664E" w:rsidRPr="001E05DC" w:rsidRDefault="00D6664E" w:rsidP="001A26A3">
            <w:pPr>
              <w:spacing w:after="160" w:line="259" w:lineRule="auto"/>
            </w:pPr>
            <w:r w:rsidRPr="001E05DC">
              <w:t>Number of in-migrants</w:t>
            </w:r>
          </w:p>
        </w:tc>
        <w:tc>
          <w:tcPr>
            <w:tcW w:w="2977" w:type="dxa"/>
            <w:tcBorders>
              <w:top w:val="single" w:sz="6" w:space="0" w:color="auto"/>
            </w:tcBorders>
          </w:tcPr>
          <w:p w14:paraId="0729A8B9" w14:textId="77777777" w:rsidR="00D6664E" w:rsidRPr="001E05DC" w:rsidRDefault="00D6664E" w:rsidP="001A26A3">
            <w:pPr>
              <w:spacing w:after="160" w:line="259" w:lineRule="auto"/>
            </w:pPr>
          </w:p>
        </w:tc>
        <w:tc>
          <w:tcPr>
            <w:tcW w:w="2126" w:type="dxa"/>
            <w:tcBorders>
              <w:top w:val="single" w:sz="6" w:space="0" w:color="auto"/>
            </w:tcBorders>
          </w:tcPr>
          <w:p w14:paraId="643A837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3D175C5" w14:textId="77777777" w:rsidR="00D6664E" w:rsidRPr="001E05DC" w:rsidRDefault="00D6664E" w:rsidP="001A26A3">
            <w:pPr>
              <w:spacing w:after="160" w:line="259" w:lineRule="auto"/>
            </w:pPr>
            <w:r w:rsidRPr="001E05DC">
              <w:t>Migration into the commune</w:t>
            </w:r>
          </w:p>
        </w:tc>
      </w:tr>
      <w:tr w:rsidR="00D6664E" w:rsidRPr="001E05DC" w14:paraId="4A95A4A8" w14:textId="77777777" w:rsidTr="001A26A3">
        <w:tc>
          <w:tcPr>
            <w:tcW w:w="1843" w:type="dxa"/>
            <w:tcBorders>
              <w:bottom w:val="single" w:sz="6" w:space="0" w:color="auto"/>
            </w:tcBorders>
          </w:tcPr>
          <w:p w14:paraId="6070F2F6" w14:textId="77777777" w:rsidR="00D6664E" w:rsidRPr="001E05DC" w:rsidRDefault="00D6664E" w:rsidP="001A26A3">
            <w:pPr>
              <w:spacing w:after="160" w:line="259" w:lineRule="auto"/>
            </w:pPr>
          </w:p>
        </w:tc>
        <w:tc>
          <w:tcPr>
            <w:tcW w:w="2693" w:type="dxa"/>
            <w:tcBorders>
              <w:bottom w:val="single" w:sz="6" w:space="0" w:color="auto"/>
            </w:tcBorders>
          </w:tcPr>
          <w:p w14:paraId="6825B642" w14:textId="77777777" w:rsidR="00D6664E" w:rsidRPr="001E05DC" w:rsidRDefault="00D6664E" w:rsidP="001A26A3">
            <w:pPr>
              <w:spacing w:after="160" w:line="259" w:lineRule="auto"/>
            </w:pPr>
            <w:r w:rsidRPr="001E05DC">
              <w:t>Number of out-migrants</w:t>
            </w:r>
          </w:p>
        </w:tc>
        <w:tc>
          <w:tcPr>
            <w:tcW w:w="2977" w:type="dxa"/>
            <w:tcBorders>
              <w:bottom w:val="single" w:sz="6" w:space="0" w:color="auto"/>
            </w:tcBorders>
          </w:tcPr>
          <w:p w14:paraId="09CDFB97" w14:textId="77777777" w:rsidR="00D6664E" w:rsidRPr="001E05DC" w:rsidRDefault="00D6664E" w:rsidP="001A26A3">
            <w:pPr>
              <w:spacing w:after="160" w:line="259" w:lineRule="auto"/>
            </w:pPr>
          </w:p>
        </w:tc>
        <w:tc>
          <w:tcPr>
            <w:tcW w:w="2126" w:type="dxa"/>
            <w:tcBorders>
              <w:bottom w:val="single" w:sz="6" w:space="0" w:color="auto"/>
            </w:tcBorders>
          </w:tcPr>
          <w:p w14:paraId="3E397BC4"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3E4DD29D" w14:textId="77777777" w:rsidR="00D6664E" w:rsidRPr="001E05DC" w:rsidRDefault="00D6664E" w:rsidP="001A26A3">
            <w:pPr>
              <w:spacing w:after="160" w:line="259" w:lineRule="auto"/>
            </w:pPr>
            <w:r w:rsidRPr="001E05DC">
              <w:t>Migration out of the commune</w:t>
            </w:r>
          </w:p>
        </w:tc>
      </w:tr>
      <w:tr w:rsidR="00D6664E" w:rsidRPr="001E05DC" w14:paraId="6FA71762" w14:textId="77777777" w:rsidTr="001A26A3">
        <w:tc>
          <w:tcPr>
            <w:tcW w:w="1843" w:type="dxa"/>
            <w:tcBorders>
              <w:top w:val="single" w:sz="6" w:space="0" w:color="auto"/>
            </w:tcBorders>
          </w:tcPr>
          <w:p w14:paraId="69DA8FC7" w14:textId="77777777" w:rsidR="00D6664E" w:rsidRPr="001E05DC" w:rsidRDefault="00D6664E" w:rsidP="001A26A3">
            <w:pPr>
              <w:spacing w:after="160" w:line="259" w:lineRule="auto"/>
            </w:pPr>
            <w:r w:rsidRPr="001E05DC">
              <w:t>Control</w:t>
            </w:r>
          </w:p>
        </w:tc>
        <w:tc>
          <w:tcPr>
            <w:tcW w:w="2693" w:type="dxa"/>
            <w:tcBorders>
              <w:top w:val="single" w:sz="6" w:space="0" w:color="auto"/>
            </w:tcBorders>
          </w:tcPr>
          <w:p w14:paraId="00CAC1D4" w14:textId="77777777" w:rsidR="00D6664E" w:rsidRPr="001E05DC" w:rsidRDefault="00D6664E" w:rsidP="001A26A3">
            <w:pPr>
              <w:spacing w:after="160" w:line="259" w:lineRule="auto"/>
            </w:pPr>
            <w:r w:rsidRPr="001E05DC">
              <w:t>Mean elevation (</w:t>
            </w:r>
            <w:proofErr w:type="spellStart"/>
            <w:r w:rsidRPr="001E05DC">
              <w:t>masl</w:t>
            </w:r>
            <w:proofErr w:type="spellEnd"/>
            <w:r w:rsidRPr="001E05DC">
              <w:t>)</w:t>
            </w:r>
          </w:p>
        </w:tc>
        <w:tc>
          <w:tcPr>
            <w:tcW w:w="2977" w:type="dxa"/>
            <w:tcBorders>
              <w:top w:val="single" w:sz="6" w:space="0" w:color="auto"/>
            </w:tcBorders>
          </w:tcPr>
          <w:p w14:paraId="7D7A9124" w14:textId="77777777" w:rsidR="00D6664E" w:rsidRPr="001E05DC" w:rsidRDefault="00D6664E" w:rsidP="001A26A3">
            <w:pPr>
              <w:spacing w:after="160" w:line="259" w:lineRule="auto"/>
            </w:pPr>
          </w:p>
        </w:tc>
        <w:tc>
          <w:tcPr>
            <w:tcW w:w="2126" w:type="dxa"/>
            <w:tcBorders>
              <w:top w:val="single" w:sz="6" w:space="0" w:color="auto"/>
            </w:tcBorders>
          </w:tcPr>
          <w:p w14:paraId="621F1BF2"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E8000AF" w14:textId="77777777" w:rsidR="00D6664E" w:rsidRPr="001E05DC" w:rsidRDefault="00D6664E" w:rsidP="001A26A3">
            <w:pPr>
              <w:spacing w:after="160" w:line="259" w:lineRule="auto"/>
            </w:pPr>
            <w:r w:rsidRPr="001E05DC">
              <w:t>Mean elevation for the commune</w:t>
            </w:r>
          </w:p>
        </w:tc>
      </w:tr>
      <w:tr w:rsidR="00D6664E" w:rsidRPr="001E05DC" w14:paraId="6634FD5A" w14:textId="77777777" w:rsidTr="001A26A3">
        <w:tc>
          <w:tcPr>
            <w:tcW w:w="1843" w:type="dxa"/>
          </w:tcPr>
          <w:p w14:paraId="7838F453" w14:textId="77777777" w:rsidR="00D6664E" w:rsidRPr="001E05DC" w:rsidRDefault="00D6664E" w:rsidP="001A26A3">
            <w:pPr>
              <w:spacing w:after="160" w:line="259" w:lineRule="auto"/>
            </w:pPr>
          </w:p>
        </w:tc>
        <w:tc>
          <w:tcPr>
            <w:tcW w:w="2693" w:type="dxa"/>
          </w:tcPr>
          <w:p w14:paraId="3C01F962" w14:textId="77777777" w:rsidR="00D6664E" w:rsidRPr="001E05DC" w:rsidRDefault="00D6664E" w:rsidP="001A26A3">
            <w:pPr>
              <w:spacing w:after="160" w:line="259" w:lineRule="auto"/>
            </w:pPr>
            <w:r w:rsidRPr="001E05DC">
              <w:t>Distance to international border (km)</w:t>
            </w:r>
          </w:p>
        </w:tc>
        <w:tc>
          <w:tcPr>
            <w:tcW w:w="2977" w:type="dxa"/>
          </w:tcPr>
          <w:p w14:paraId="32C8E75D" w14:textId="77777777" w:rsidR="00D6664E" w:rsidRPr="001E05DC" w:rsidRDefault="00D6664E" w:rsidP="001A26A3">
            <w:pPr>
              <w:spacing w:after="160" w:line="259" w:lineRule="auto"/>
            </w:pPr>
          </w:p>
        </w:tc>
        <w:tc>
          <w:tcPr>
            <w:tcW w:w="2126" w:type="dxa"/>
          </w:tcPr>
          <w:p w14:paraId="6060AE8E" w14:textId="77777777" w:rsidR="00D6664E" w:rsidRPr="001E05DC" w:rsidRDefault="00D6664E" w:rsidP="001A26A3">
            <w:pPr>
              <w:spacing w:after="160" w:line="259" w:lineRule="auto"/>
            </w:pPr>
            <w:r w:rsidRPr="001E05DC">
              <w:t>Categorical</w:t>
            </w:r>
          </w:p>
        </w:tc>
        <w:tc>
          <w:tcPr>
            <w:tcW w:w="4309" w:type="dxa"/>
          </w:tcPr>
          <w:p w14:paraId="78155A45" w14:textId="77777777" w:rsidR="00D6664E" w:rsidRPr="001E05DC" w:rsidRDefault="00D6664E" w:rsidP="001A26A3">
            <w:pPr>
              <w:spacing w:after="160" w:line="259" w:lineRule="auto"/>
            </w:pPr>
            <w:r w:rsidRPr="001E05DC">
              <w:t>Distance from the centre of the commune to the nearest international border</w:t>
            </w:r>
          </w:p>
        </w:tc>
      </w:tr>
      <w:tr w:rsidR="00D6664E" w:rsidRPr="001E05DC" w14:paraId="1CF11FB9" w14:textId="77777777" w:rsidTr="001A26A3">
        <w:tc>
          <w:tcPr>
            <w:tcW w:w="1843" w:type="dxa"/>
          </w:tcPr>
          <w:p w14:paraId="19E8624E" w14:textId="77777777" w:rsidR="00D6664E" w:rsidRPr="001E05DC" w:rsidRDefault="00D6664E" w:rsidP="001A26A3">
            <w:pPr>
              <w:spacing w:after="160" w:line="259" w:lineRule="auto"/>
            </w:pPr>
          </w:p>
        </w:tc>
        <w:tc>
          <w:tcPr>
            <w:tcW w:w="2693" w:type="dxa"/>
          </w:tcPr>
          <w:p w14:paraId="03100070" w14:textId="77777777" w:rsidR="00D6664E" w:rsidRPr="001E05DC" w:rsidRDefault="00D6664E" w:rsidP="001A26A3">
            <w:pPr>
              <w:spacing w:after="160" w:line="259" w:lineRule="auto"/>
            </w:pPr>
            <w:r w:rsidRPr="001E05DC">
              <w:t>Distance to Provincial Capital (km)</w:t>
            </w:r>
          </w:p>
        </w:tc>
        <w:tc>
          <w:tcPr>
            <w:tcW w:w="2977" w:type="dxa"/>
          </w:tcPr>
          <w:p w14:paraId="17ED81B6" w14:textId="77777777" w:rsidR="00D6664E" w:rsidRPr="001E05DC" w:rsidRDefault="00D6664E" w:rsidP="001A26A3">
            <w:pPr>
              <w:spacing w:after="160" w:line="259" w:lineRule="auto"/>
            </w:pPr>
          </w:p>
        </w:tc>
        <w:tc>
          <w:tcPr>
            <w:tcW w:w="2126" w:type="dxa"/>
          </w:tcPr>
          <w:p w14:paraId="0D95DF5E" w14:textId="77777777" w:rsidR="00D6664E" w:rsidRPr="001E05DC" w:rsidRDefault="00D6664E" w:rsidP="001A26A3">
            <w:pPr>
              <w:spacing w:after="160" w:line="259" w:lineRule="auto"/>
            </w:pPr>
            <w:r w:rsidRPr="001E05DC">
              <w:t>Categorical</w:t>
            </w:r>
          </w:p>
        </w:tc>
        <w:tc>
          <w:tcPr>
            <w:tcW w:w="4309" w:type="dxa"/>
          </w:tcPr>
          <w:p w14:paraId="49A6BEC3" w14:textId="77777777" w:rsidR="00D6664E" w:rsidRPr="001E05DC" w:rsidRDefault="00D6664E" w:rsidP="001A26A3">
            <w:pPr>
              <w:spacing w:after="160" w:line="259" w:lineRule="auto"/>
            </w:pPr>
            <w:r w:rsidRPr="001E05DC">
              <w:t>Distance from the centre of the commune to the centre of the provincial capital (town or city)</w:t>
            </w:r>
          </w:p>
        </w:tc>
      </w:tr>
      <w:tr w:rsidR="00D6664E" w:rsidRPr="001E05DC" w14:paraId="0F733FB5" w14:textId="77777777" w:rsidTr="001A26A3">
        <w:tc>
          <w:tcPr>
            <w:tcW w:w="1843" w:type="dxa"/>
          </w:tcPr>
          <w:p w14:paraId="695AD0B9" w14:textId="77777777" w:rsidR="00D6664E" w:rsidRPr="001E05DC" w:rsidRDefault="00D6664E" w:rsidP="001A26A3">
            <w:pPr>
              <w:spacing w:after="160" w:line="259" w:lineRule="auto"/>
            </w:pPr>
          </w:p>
        </w:tc>
        <w:tc>
          <w:tcPr>
            <w:tcW w:w="2693" w:type="dxa"/>
          </w:tcPr>
          <w:p w14:paraId="5C064536" w14:textId="77777777" w:rsidR="00D6664E" w:rsidRPr="001E05DC" w:rsidRDefault="00D6664E" w:rsidP="001A26A3">
            <w:pPr>
              <w:spacing w:after="160" w:line="259" w:lineRule="auto"/>
            </w:pPr>
            <w:r w:rsidRPr="001E05DC">
              <w:t>Presence of economic land concessions</w:t>
            </w:r>
          </w:p>
        </w:tc>
        <w:tc>
          <w:tcPr>
            <w:tcW w:w="2977" w:type="dxa"/>
          </w:tcPr>
          <w:p w14:paraId="779A1A0E" w14:textId="77777777" w:rsidR="00D6664E" w:rsidRPr="001E05DC" w:rsidRDefault="00D6664E" w:rsidP="001A26A3">
            <w:pPr>
              <w:spacing w:after="160" w:line="259" w:lineRule="auto"/>
            </w:pPr>
          </w:p>
        </w:tc>
        <w:tc>
          <w:tcPr>
            <w:tcW w:w="2126" w:type="dxa"/>
          </w:tcPr>
          <w:p w14:paraId="6DE68B70" w14:textId="77777777" w:rsidR="00D6664E" w:rsidRPr="001E05DC" w:rsidRDefault="00D6664E" w:rsidP="001A26A3">
            <w:pPr>
              <w:spacing w:after="160" w:line="259" w:lineRule="auto"/>
            </w:pPr>
          </w:p>
        </w:tc>
        <w:tc>
          <w:tcPr>
            <w:tcW w:w="4309" w:type="dxa"/>
          </w:tcPr>
          <w:p w14:paraId="4080275F" w14:textId="77777777" w:rsidR="00D6664E" w:rsidRPr="001E05DC" w:rsidRDefault="00D6664E" w:rsidP="001A26A3">
            <w:pPr>
              <w:spacing w:after="160" w:line="259" w:lineRule="auto"/>
            </w:pPr>
            <w:r w:rsidRPr="001E05DC">
              <w:t xml:space="preserve">Binary. 1 = part or all of an economic land concession falls within the boundary of the </w:t>
            </w:r>
            <w:r w:rsidRPr="001E05DC">
              <w:lastRenderedPageBreak/>
              <w:t>commune, 0 = no economic land concession falls within the commune boundary</w:t>
            </w:r>
          </w:p>
        </w:tc>
      </w:tr>
      <w:tr w:rsidR="00D6664E" w:rsidRPr="001E05DC" w14:paraId="6B29E681" w14:textId="77777777" w:rsidTr="001A26A3">
        <w:tc>
          <w:tcPr>
            <w:tcW w:w="1843" w:type="dxa"/>
          </w:tcPr>
          <w:p w14:paraId="535FAE36" w14:textId="77777777" w:rsidR="00D6664E" w:rsidRPr="001E05DC" w:rsidRDefault="00D6664E" w:rsidP="001A26A3">
            <w:pPr>
              <w:spacing w:after="160" w:line="259" w:lineRule="auto"/>
            </w:pPr>
          </w:p>
        </w:tc>
        <w:tc>
          <w:tcPr>
            <w:tcW w:w="2693" w:type="dxa"/>
          </w:tcPr>
          <w:p w14:paraId="18AB34F2" w14:textId="77777777" w:rsidR="00D6664E" w:rsidRPr="001E05DC" w:rsidRDefault="00D6664E" w:rsidP="001A26A3">
            <w:pPr>
              <w:spacing w:after="160" w:line="259" w:lineRule="auto"/>
            </w:pPr>
            <w:r w:rsidRPr="001E05DC">
              <w:t>Presence of protected area</w:t>
            </w:r>
          </w:p>
        </w:tc>
        <w:tc>
          <w:tcPr>
            <w:tcW w:w="2977" w:type="dxa"/>
          </w:tcPr>
          <w:p w14:paraId="7B1AEDE5" w14:textId="77777777" w:rsidR="00D6664E" w:rsidRPr="001E05DC" w:rsidRDefault="00D6664E" w:rsidP="001A26A3">
            <w:pPr>
              <w:spacing w:after="160" w:line="259" w:lineRule="auto"/>
            </w:pPr>
          </w:p>
        </w:tc>
        <w:tc>
          <w:tcPr>
            <w:tcW w:w="2126" w:type="dxa"/>
          </w:tcPr>
          <w:p w14:paraId="53255D0E" w14:textId="77777777" w:rsidR="00D6664E" w:rsidRPr="001E05DC" w:rsidRDefault="00D6664E" w:rsidP="001A26A3">
            <w:pPr>
              <w:spacing w:after="160" w:line="259" w:lineRule="auto"/>
            </w:pPr>
          </w:p>
        </w:tc>
        <w:tc>
          <w:tcPr>
            <w:tcW w:w="4309" w:type="dxa"/>
          </w:tcPr>
          <w:p w14:paraId="5B6FCD75" w14:textId="77777777" w:rsidR="00D6664E" w:rsidRPr="001E05DC" w:rsidRDefault="00D6664E" w:rsidP="001A26A3">
            <w:pPr>
              <w:spacing w:after="160" w:line="259" w:lineRule="auto"/>
            </w:pPr>
            <w:r w:rsidRPr="001E05DC">
              <w:t>Binary. 1 = part or all of an protected area falls within the boundary of the commune, 0 = no protected area falls within the commune boundary. "Protected area" includes Wildlife Sanctuary, National Park, Protected Landscapes, Multiple-use areas, RAMSAR sites</w:t>
            </w:r>
          </w:p>
        </w:tc>
      </w:tr>
      <w:tr w:rsidR="00D6664E" w:rsidRPr="001E05DC" w14:paraId="401D55E0" w14:textId="77777777" w:rsidTr="001A26A3">
        <w:tc>
          <w:tcPr>
            <w:tcW w:w="1843" w:type="dxa"/>
            <w:tcBorders>
              <w:bottom w:val="single" w:sz="12" w:space="0" w:color="auto"/>
            </w:tcBorders>
          </w:tcPr>
          <w:p w14:paraId="417CDD5F" w14:textId="77777777" w:rsidR="00D6664E" w:rsidRPr="001E05DC" w:rsidRDefault="00D6664E" w:rsidP="001A26A3">
            <w:pPr>
              <w:spacing w:after="160" w:line="259" w:lineRule="auto"/>
            </w:pPr>
          </w:p>
        </w:tc>
        <w:tc>
          <w:tcPr>
            <w:tcW w:w="2693" w:type="dxa"/>
            <w:tcBorders>
              <w:bottom w:val="single" w:sz="12" w:space="0" w:color="auto"/>
            </w:tcBorders>
          </w:tcPr>
          <w:p w14:paraId="6E455EC0" w14:textId="77777777" w:rsidR="00D6664E" w:rsidRPr="001E05DC" w:rsidRDefault="00D6664E" w:rsidP="001A26A3">
            <w:pPr>
              <w:spacing w:after="160" w:line="259" w:lineRule="auto"/>
            </w:pPr>
            <w:r w:rsidRPr="001E05DC">
              <w:t>Protected area category</w:t>
            </w:r>
          </w:p>
        </w:tc>
        <w:tc>
          <w:tcPr>
            <w:tcW w:w="2977" w:type="dxa"/>
            <w:tcBorders>
              <w:bottom w:val="single" w:sz="12" w:space="0" w:color="auto"/>
            </w:tcBorders>
          </w:tcPr>
          <w:p w14:paraId="7650D266" w14:textId="77777777" w:rsidR="00D6664E" w:rsidRPr="001E05DC" w:rsidRDefault="00D6664E" w:rsidP="001A26A3">
            <w:pPr>
              <w:spacing w:after="160" w:line="259" w:lineRule="auto"/>
            </w:pPr>
          </w:p>
        </w:tc>
        <w:tc>
          <w:tcPr>
            <w:tcW w:w="2126" w:type="dxa"/>
            <w:tcBorders>
              <w:bottom w:val="single" w:sz="12" w:space="0" w:color="auto"/>
            </w:tcBorders>
          </w:tcPr>
          <w:p w14:paraId="15A48D91" w14:textId="77777777" w:rsidR="00D6664E" w:rsidRPr="001E05DC" w:rsidRDefault="00D6664E" w:rsidP="001A26A3">
            <w:pPr>
              <w:spacing w:after="160" w:line="259" w:lineRule="auto"/>
            </w:pPr>
          </w:p>
        </w:tc>
        <w:tc>
          <w:tcPr>
            <w:tcW w:w="4309" w:type="dxa"/>
            <w:tcBorders>
              <w:bottom w:val="single" w:sz="12" w:space="0" w:color="auto"/>
            </w:tcBorders>
          </w:tcPr>
          <w:p w14:paraId="64D7A68D" w14:textId="77777777" w:rsidR="00D6664E" w:rsidRPr="001E05DC" w:rsidRDefault="00D6664E" w:rsidP="001A26A3">
            <w:pPr>
              <w:spacing w:after="160" w:line="259" w:lineRule="auto"/>
            </w:pPr>
            <w:r w:rsidRPr="001E05DC">
              <w:t>None = no protected area falls within commune, MULTI = more than one category of protected area falls within commune, WS = wildlife sanctuary, NP = national park, PL = protected landscape, MUA = multiple-use area, RMS = RAMSAR</w:t>
            </w:r>
          </w:p>
        </w:tc>
      </w:tr>
    </w:tbl>
    <w:p w14:paraId="75D090BF" w14:textId="4E4B86E1" w:rsidR="00D6664E" w:rsidRDefault="00D6664E"/>
    <w:p w14:paraId="42823AA2" w14:textId="19102AFA" w:rsidR="00D6664E" w:rsidRDefault="00D6664E"/>
    <w:p w14:paraId="1C4D6F4C" w14:textId="61B36C1B" w:rsidR="00D6664E" w:rsidRDefault="00D6664E"/>
    <w:p w14:paraId="3ABDF381" w14:textId="77777777" w:rsidR="00D6664E" w:rsidRDefault="00D6664E">
      <w:pPr>
        <w:sectPr w:rsidR="00D6664E" w:rsidSect="00D6664E">
          <w:pgSz w:w="16838" w:h="11906" w:orient="landscape"/>
          <w:pgMar w:top="1440" w:right="1440" w:bottom="1440" w:left="1440" w:header="708" w:footer="708" w:gutter="0"/>
          <w:cols w:space="708"/>
          <w:docGrid w:linePitch="360"/>
        </w:sectPr>
      </w:pPr>
    </w:p>
    <w:p w14:paraId="3B473C2C" w14:textId="59F694A8" w:rsidR="00D6664E" w:rsidRDefault="00D6664E">
      <w:pPr>
        <w:rPr>
          <w:b/>
          <w:bCs/>
        </w:rPr>
      </w:pPr>
      <w:r>
        <w:rPr>
          <w:b/>
          <w:bCs/>
        </w:rPr>
        <w:lastRenderedPageBreak/>
        <w:t xml:space="preserve">Results </w:t>
      </w:r>
    </w:p>
    <w:p w14:paraId="39D401F4" w14:textId="77777777" w:rsidR="00D6664E" w:rsidRDefault="00D6664E" w:rsidP="00D6664E">
      <w:pPr>
        <w:rPr>
          <w:i/>
          <w:iCs/>
        </w:rPr>
      </w:pPr>
      <w:commentRangeStart w:id="0"/>
      <w:r>
        <w:rPr>
          <w:i/>
          <w:iCs/>
        </w:rPr>
        <w:t>Commune-level model</w:t>
      </w:r>
      <w:commentRangeEnd w:id="0"/>
      <w:r>
        <w:rPr>
          <w:rStyle w:val="CommentReference"/>
        </w:rPr>
        <w:commentReference w:id="0"/>
      </w:r>
    </w:p>
    <w:p w14:paraId="155BC3D0" w14:textId="77777777" w:rsidR="00D6664E" w:rsidRDefault="00D6664E" w:rsidP="00D6664E">
      <w:r>
        <w:t>Initial within-set model selection resulted in a final candidate set with 10 models and 13 unique variables (</w:t>
      </w:r>
      <w:r w:rsidRPr="00E5353D">
        <w:t>Table S19</w:t>
      </w:r>
      <w:r>
        <w:t>). There was a single top model according to AIC (m1), with all other models having delta AIC values of more than 18 (</w:t>
      </w:r>
      <w:r w:rsidRPr="00E5353D">
        <w:t>Table S19</w:t>
      </w:r>
      <w:r>
        <w:t>). The top model only had one non-control variable - population density (Table 4). The random effects term with the highest variance was Commune (10.45 [SD = 3.23], 60% of the total random effect variance), followed by Province (6.77 [SD = 2.60], 39% of the total random effect variance</w:t>
      </w:r>
      <w:r w:rsidRPr="00B45568">
        <w:t xml:space="preserve">, Table 4). </w:t>
      </w:r>
      <w:r>
        <w:t>The variance explained by year at both the commune and province level was low (0.005 [SD = 0.068] and 0.0005 [SD = 0.022] respectively), contributing approximately 1% of the total random effect variance (</w:t>
      </w:r>
      <w:r w:rsidRPr="00B45568">
        <w:t xml:space="preserve">Table 4). </w:t>
      </w:r>
      <w:r>
        <w:t>The marginal R</w:t>
      </w:r>
      <w:r w:rsidRPr="00DC5403">
        <w:rPr>
          <w:vertAlign w:val="superscript"/>
        </w:rPr>
        <w:t>2</w:t>
      </w:r>
      <w:r>
        <w:t xml:space="preserve"> (fixed effects only) was 0.78 (78%), and the conditional R</w:t>
      </w:r>
      <w:r w:rsidRPr="00DC5403">
        <w:rPr>
          <w:vertAlign w:val="superscript"/>
        </w:rPr>
        <w:t>2</w:t>
      </w:r>
      <w:r>
        <w:t xml:space="preserve"> (fixed and random effects) was 1, suggesting that most of the model variance was explained by the fixed effects. The largest positive effect was from mean elevation (rate ratio = 2.861, </w:t>
      </w:r>
      <w:r w:rsidRPr="00B45568">
        <w:t xml:space="preserve">Table 4) </w:t>
      </w:r>
      <w:r>
        <w:t>which relates to 0.6 forest pixels (0.06 km</w:t>
      </w:r>
      <w:r w:rsidRPr="00F10EA9">
        <w:rPr>
          <w:vertAlign w:val="superscript"/>
        </w:rPr>
        <w:t>2</w:t>
      </w:r>
      <w:r>
        <w:t>) 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Pr="00F10EA9">
        <w:rPr>
          <w:vertAlign w:val="superscript"/>
        </w:rPr>
        <w:t>2</w:t>
      </w:r>
      <w:r>
        <w:t xml:space="preserve">). This highlights that higher elevation areas of Cambodia are much more likely to be forested than lower elevation areas. The strongest negative effect was from population density (rate ratio = 0.001, </w:t>
      </w:r>
      <w:r w:rsidRPr="00B45568">
        <w:t xml:space="preserve">Table 4) </w:t>
      </w:r>
      <w:r>
        <w:t>which relates to approximately 1.5 predicted forest pixels (0.14 km</w:t>
      </w:r>
      <w:r w:rsidRPr="005B6361">
        <w:rPr>
          <w:vertAlign w:val="superscript"/>
        </w:rPr>
        <w:t>2</w:t>
      </w:r>
      <w:r>
        <w:t xml:space="preserve">) at the minimum value of population density found within the country, contrasting with a prediction of effectively zero (2.22 </w:t>
      </w:r>
      <w:r>
        <w:rPr>
          <w:rFonts w:cstheme="minorHAnsi"/>
        </w:rPr>
        <w:t>×</w:t>
      </w:r>
      <w:r>
        <w:t xml:space="preserve"> 10</w:t>
      </w:r>
      <w:r w:rsidRPr="005B6361">
        <w:rPr>
          <w:vertAlign w:val="superscript"/>
        </w:rPr>
        <w:t>-16</w:t>
      </w:r>
      <w:r>
        <w:t xml:space="preserve">) forest pixels at the highest value of population density within the country. All other model terms, excluding the presence of ELCs, had positive effects on forest cover </w:t>
      </w:r>
      <w:r w:rsidRPr="00B45568">
        <w:t xml:space="preserve">(Table 4). These </w:t>
      </w:r>
      <w:r>
        <w:t xml:space="preserve">effects suggest that remote communes (large distances to provincial capitals) that are centrally located within the country (far away from international borders) are predicted to have high forest cover. Interestingly, although the effects are weak, communes that contain ELCs are predicted to have lower forest cover than those without, and communes with protected areas are predicted to have higher forest cover than those without (Table 4).  </w:t>
      </w:r>
    </w:p>
    <w:p w14:paraId="7C73B1B0" w14:textId="77777777" w:rsidR="00D6664E" w:rsidRDefault="00D6664E" w:rsidP="00D6664E">
      <w:r>
        <w:t xml:space="preserve">The results from the final commune-level model must, however, be viewed with extreme caution because model validation revealed some serious underlying issues. As is suggested by the variance associated with the commune-level random effect term, there was extreme variation between communes for all variables (predictors and response, Figure 5). This between-group variance results in the model being unsuitable for generalised (i.e., ‘global’) predictions (Figure 5). Intercept and slope estimates between communes, even within the same province, varied hugely (Figure 6), and this issue was highlighted in diagnostic plots where we see that the assumption of normality of deviations of the conditional means of the random effects (for commune) from the global intercept is violated (Figure </w:t>
      </w:r>
      <w:r w:rsidRPr="00E5353D">
        <w:t>S6</w:t>
      </w:r>
      <w:r>
        <w:t xml:space="preserve">). Furthermore, the model residuals displayed heteroskedasticity, with the model predicting particularly poorly for lower values of the response (Figure </w:t>
      </w:r>
      <w:r w:rsidRPr="00E5353D">
        <w:t>S7</w:t>
      </w:r>
      <w:r>
        <w:t xml:space="preserve">). Therefore, drawing general inferences about the relationships between forest cover and socioeconomics at the country level using this model is inappropriate. </w:t>
      </w:r>
    </w:p>
    <w:p w14:paraId="47562063" w14:textId="77777777" w:rsidR="0011048D" w:rsidRDefault="0011048D" w:rsidP="0011048D">
      <w:pPr>
        <w:rPr>
          <w:i/>
          <w:iCs/>
        </w:rPr>
      </w:pPr>
      <w:r>
        <w:rPr>
          <w:i/>
          <w:iCs/>
        </w:rPr>
        <w:t>Province-level model</w:t>
      </w:r>
    </w:p>
    <w:p w14:paraId="4E254E74" w14:textId="77777777" w:rsidR="0011048D" w:rsidRDefault="0011048D" w:rsidP="0011048D">
      <w:r>
        <w:t>The province-level models were run to eliminate the commune-level variation and to identify any broader relationships between forest cover and socioeconomics. A candidate set of 19 models was built and an evaluation of AIC selected a single model (m8) as the top model (</w:t>
      </w:r>
      <w:r w:rsidRPr="0028392B">
        <w:t>Table S20</w:t>
      </w:r>
      <w:r>
        <w:t xml:space="preserve">). Model m5 had some support (delta AIC = 5, </w:t>
      </w:r>
      <w:r w:rsidRPr="0028392B">
        <w:t>Table S20</w:t>
      </w:r>
      <w:r>
        <w:t xml:space="preserve">) but was a simpler version of m8 and therefore </w:t>
      </w:r>
      <w:r>
        <w:lastRenderedPageBreak/>
        <w:t xml:space="preserve">inferences were drawn from m8 alone. The random effects term with the highest variance was Province (1.18 [SD = 1.08], which constituted </w:t>
      </w:r>
      <w:r w:rsidRPr="0028392B">
        <w:t>99%</w:t>
      </w:r>
      <w:r>
        <w:t xml:space="preserve"> of the total random effects variance), followed by year (0.006 [SD = 0.077], which was </w:t>
      </w:r>
      <w:r w:rsidRPr="0028392B">
        <w:t>1%</w:t>
      </w:r>
      <w:r>
        <w:t xml:space="preserve"> of the total random effects variance). The marginal R</w:t>
      </w:r>
      <w:r w:rsidRPr="00E5353D">
        <w:rPr>
          <w:vertAlign w:val="superscript"/>
        </w:rPr>
        <w:t>2</w:t>
      </w:r>
      <w:r>
        <w:t xml:space="preserve"> (fixed effects only) was 0.71 (71%) and the conditional R</w:t>
      </w:r>
      <w:r w:rsidRPr="00E5353D">
        <w:rPr>
          <w:vertAlign w:val="superscript"/>
        </w:rPr>
        <w:t>2</w:t>
      </w:r>
      <w:r>
        <w:t xml:space="preserve"> (fixed and random effects) was 0.99 (99%), suggesting that the majority of model variance was explained by the fixed effects. 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 and distance to school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all the above effects are weak (Figures 7 &amp; 8). For example, the difference in the predicted number of forest pixels between a province with a low proportion of males in school and a province with a high proportion (with all other variables set to low), is 200 (18 km</w:t>
      </w:r>
      <w:r w:rsidRPr="009D05E0">
        <w:rPr>
          <w:vertAlign w:val="superscript"/>
        </w:rPr>
        <w:t>2</w:t>
      </w:r>
      <w:r>
        <w:t>). The difference in the number of predicted forest pixels between a province with low median distances to schools and a province with high median distances (with all other variables set to low), is 689 (62 km</w:t>
      </w:r>
      <w:r w:rsidRPr="00586D3B">
        <w:rPr>
          <w:vertAlign w:val="superscript"/>
        </w:rPr>
        <w:t>2</w:t>
      </w:r>
      <w:r>
        <w:t xml:space="preserve">). As standalone figures these appear large, but in the context of the range of the response variable (minimum value of 54 forest pixels to a maximum of </w:t>
      </w:r>
      <w:r w:rsidRPr="00586D3B">
        <w:t>146</w:t>
      </w:r>
      <w:r>
        <w:t>,</w:t>
      </w:r>
      <w:r w:rsidRPr="00586D3B">
        <w:t>876</w:t>
      </w:r>
      <w:r>
        <w:t xml:space="preserve"> forest pixels), the effects are relatively weak. Presence of PAs had the largest effect on predicted forest pixels. The number of forest pixels predicted for a province with PA presence is 36,890 (3,320 km</w:t>
      </w:r>
      <w:r w:rsidRPr="00586D3B">
        <w:rPr>
          <w:vertAlign w:val="superscript"/>
        </w:rPr>
        <w:t>2</w:t>
      </w:r>
      <w:r>
        <w:t xml:space="preserve">) higher than for a province with no PA presence. This emphasises the relationship between forested land and protected areas in Cambodia. The size of the effects for the two socioeconomic predictors (proportion of males in school, and distance to school) in the top model suggest that these variables have little power to predict forest cover at the provincial level in Cambodia, but that the presence of protected areas and economic land concessions do. </w:t>
      </w:r>
    </w:p>
    <w:p w14:paraId="083FA5D7" w14:textId="77777777" w:rsidR="0011048D" w:rsidRDefault="0011048D" w:rsidP="0011048D">
      <w:r>
        <w:rPr>
          <w:b/>
          <w:bCs/>
          <w:i/>
          <w:iCs/>
        </w:rPr>
        <w:t>Cluster analysis</w:t>
      </w:r>
    </w:p>
    <w:p w14:paraId="0CC9D996" w14:textId="77777777" w:rsidR="0011048D" w:rsidRDefault="0011048D" w:rsidP="0011048D">
      <w:r>
        <w:t xml:space="preserve">The UPGMA clustering had the highest cophenetic correlation (0.79) and the lowest Gower distance (254.14) and was therefore selected. The matrix correlation statistic suggested that 4 clusters were optimal, but that between 3 and 7 clusters had very similar support. When divided by 4 clusters, there was a large group (16) of provinces that fell into a single cluster, and so 5 clusters were chosen to add further nuance (Figure 9). The provinces within clusters were geographically contiguous (Figure 10), although clusters that had smaller cophenetic distances (i.e., were closer on the dendrogram, Figure 9) were not necessarily geographically contiguous. The largest cluster (cluster 5) dominated a central strip of the country, separating the smaller, and more similar clusters (Figure 10). Only clusters 2 and 4 were contiguous with each other. These results suggest that provinces often have similar socioeconomic conditions to that of their neighbours, but that there are also distinct regions within the country that can be characterised by their socioeconomics rather than their geography. A heatmap of the socioeconomic variable values for each cluster revealed some distinguishing patterns (Figure 11). The largest cluster (cluster 5) was distinguished by high or very high values of all variables, which translates to generally large provinces with high population density, high education levels, high proportions of primary and secondary sector workers, and high migration (Table 5). This contrasts with cluster 2, which has predominantly low values for the socioeconomic variables which translates to very small provinces with low population density, low levels of education, low levels of primary sector employment (higher secondary sector employment), and low levels of migration (Table 5). Clusters 3 and 4 had the highest levels of migration (and interestingly the highest levels of land conflict), education, and population density, reflecting the presence of two of the three largest cities and significant urban development. Cluster 1 had the </w:t>
      </w:r>
      <w:r>
        <w:lastRenderedPageBreak/>
        <w:t xml:space="preserve">lowest population density, education, proportion of secondary sector workers, and migration, reflecting the clusters remote geography and rural character. Provinces within cluster 1 were also the most forested but had also lost the most forest during the study period (Figure 12). Provinces within cluster 5 were generally the next most forested after cluster 1 and had also lost large areas of forest during the study period (Figure 12). Cluster 3 had the least amount of forest, which was expected due to high levels of urbanisation and agriculture. Clusters 1 and 2 had the highest elevation, and clusters 1 and 5 had the highest mean distance to a provincial capital (Figure 12). </w:t>
      </w:r>
    </w:p>
    <w:p w14:paraId="58197645" w14:textId="77777777" w:rsidR="0011048D" w:rsidRDefault="0011048D" w:rsidP="0011048D">
      <w:pPr>
        <w:rPr>
          <w:b/>
          <w:bCs/>
          <w:sz w:val="20"/>
          <w:szCs w:val="20"/>
        </w:rPr>
      </w:pPr>
    </w:p>
    <w:p w14:paraId="1852343F" w14:textId="62A11116" w:rsidR="0011048D" w:rsidRPr="00A2432B" w:rsidRDefault="0011048D" w:rsidP="0011048D">
      <w:pPr>
        <w:rPr>
          <w:b/>
          <w:bCs/>
          <w:sz w:val="20"/>
          <w:szCs w:val="20"/>
        </w:rPr>
      </w:pPr>
      <w:r w:rsidRPr="00A2432B">
        <w:rPr>
          <w:b/>
          <w:bCs/>
          <w:sz w:val="20"/>
          <w:szCs w:val="20"/>
        </w:rPr>
        <w:t>Table 4. Model outputs</w:t>
      </w:r>
      <w:r>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11048D" w:rsidRPr="00A2432B" w14:paraId="4E80384F" w14:textId="77777777" w:rsidTr="001A26A3">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24AB0FA2"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51837CE9"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C5BE64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2C9E7116"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5565286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24CC5907"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A66892">
              <w:rPr>
                <w:rFonts w:ascii="Calibri" w:eastAsia="Times New Roman" w:hAnsi="Calibri" w:cs="Calibri"/>
                <w:b/>
                <w:bCs/>
                <w:i/>
                <w:iCs/>
                <w:color w:val="000000"/>
                <w:sz w:val="20"/>
                <w:szCs w:val="20"/>
                <w:vertAlign w:val="superscript"/>
                <w:lang w:eastAsia="en-GB"/>
              </w:rPr>
              <w:t>a</w:t>
            </w:r>
            <w:proofErr w:type="spellEnd"/>
          </w:p>
        </w:tc>
      </w:tr>
      <w:tr w:rsidR="0011048D" w:rsidRPr="00A2432B" w14:paraId="3A459899" w14:textId="77777777" w:rsidTr="001A26A3">
        <w:trPr>
          <w:trHeight w:val="288"/>
        </w:trPr>
        <w:tc>
          <w:tcPr>
            <w:tcW w:w="3402" w:type="dxa"/>
            <w:tcBorders>
              <w:top w:val="single" w:sz="12" w:space="0" w:color="auto"/>
              <w:left w:val="nil"/>
              <w:bottom w:val="nil"/>
              <w:right w:val="nil"/>
            </w:tcBorders>
            <w:shd w:val="clear" w:color="auto" w:fill="auto"/>
            <w:noWrap/>
            <w:hideMark/>
          </w:tcPr>
          <w:p w14:paraId="27FD1594"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3331914E"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0FA01C3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C66B99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5BEA2F9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422FAE7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55FDF9A3" w14:textId="77777777" w:rsidTr="001A26A3">
        <w:trPr>
          <w:trHeight w:val="288"/>
        </w:trPr>
        <w:tc>
          <w:tcPr>
            <w:tcW w:w="3402" w:type="dxa"/>
            <w:tcBorders>
              <w:top w:val="nil"/>
              <w:left w:val="nil"/>
              <w:bottom w:val="nil"/>
              <w:right w:val="nil"/>
            </w:tcBorders>
            <w:shd w:val="clear" w:color="auto" w:fill="auto"/>
            <w:noWrap/>
            <w:hideMark/>
          </w:tcPr>
          <w:p w14:paraId="1AFBFF59"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507FC40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50906A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F5D488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8B3728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73C79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756FDEF1" w14:textId="77777777" w:rsidTr="001A26A3">
        <w:trPr>
          <w:trHeight w:val="288"/>
        </w:trPr>
        <w:tc>
          <w:tcPr>
            <w:tcW w:w="3402" w:type="dxa"/>
            <w:tcBorders>
              <w:top w:val="nil"/>
              <w:left w:val="nil"/>
              <w:bottom w:val="nil"/>
              <w:right w:val="nil"/>
            </w:tcBorders>
            <w:shd w:val="clear" w:color="auto" w:fill="auto"/>
            <w:noWrap/>
            <w:hideMark/>
          </w:tcPr>
          <w:p w14:paraId="0B5EC85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4E38A18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D9A5FE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565F392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E1F70A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731329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32A59581" w14:textId="77777777" w:rsidTr="001A26A3">
        <w:trPr>
          <w:trHeight w:val="288"/>
        </w:trPr>
        <w:tc>
          <w:tcPr>
            <w:tcW w:w="3402" w:type="dxa"/>
            <w:tcBorders>
              <w:top w:val="nil"/>
              <w:left w:val="nil"/>
              <w:bottom w:val="nil"/>
              <w:right w:val="nil"/>
            </w:tcBorders>
            <w:shd w:val="clear" w:color="auto" w:fill="auto"/>
            <w:noWrap/>
            <w:hideMark/>
          </w:tcPr>
          <w:p w14:paraId="5FC8B3F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31AC10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30F1757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3A34BB9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40D4369"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BDFC5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4DD579A8" w14:textId="77777777" w:rsidTr="001A26A3">
        <w:trPr>
          <w:trHeight w:val="288"/>
        </w:trPr>
        <w:tc>
          <w:tcPr>
            <w:tcW w:w="3402" w:type="dxa"/>
            <w:tcBorders>
              <w:top w:val="nil"/>
              <w:left w:val="nil"/>
              <w:bottom w:val="nil"/>
              <w:right w:val="nil"/>
            </w:tcBorders>
            <w:shd w:val="clear" w:color="auto" w:fill="auto"/>
            <w:noWrap/>
            <w:hideMark/>
          </w:tcPr>
          <w:p w14:paraId="1565447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90051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C41F99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1A116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295D9B4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071BBAA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BFFA03" w14:textId="77777777" w:rsidTr="001A26A3">
        <w:trPr>
          <w:trHeight w:val="288"/>
        </w:trPr>
        <w:tc>
          <w:tcPr>
            <w:tcW w:w="3402" w:type="dxa"/>
            <w:tcBorders>
              <w:top w:val="nil"/>
              <w:left w:val="nil"/>
              <w:bottom w:val="nil"/>
              <w:right w:val="nil"/>
            </w:tcBorders>
            <w:shd w:val="clear" w:color="auto" w:fill="auto"/>
            <w:noWrap/>
            <w:hideMark/>
          </w:tcPr>
          <w:p w14:paraId="11A8F0B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19271EF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0CDB504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4A2B0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0634E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CD1F5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9C4FFC" w14:textId="77777777" w:rsidTr="001A26A3">
        <w:trPr>
          <w:trHeight w:val="288"/>
        </w:trPr>
        <w:tc>
          <w:tcPr>
            <w:tcW w:w="3402" w:type="dxa"/>
            <w:tcBorders>
              <w:top w:val="nil"/>
              <w:left w:val="nil"/>
              <w:bottom w:val="nil"/>
              <w:right w:val="nil"/>
            </w:tcBorders>
            <w:shd w:val="clear" w:color="auto" w:fill="auto"/>
            <w:noWrap/>
            <w:hideMark/>
          </w:tcPr>
          <w:p w14:paraId="68E7108A"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3727AF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59E420B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1FC89F5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94CA2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D1C314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2C4F1E39" w14:textId="77777777" w:rsidTr="001A26A3">
        <w:trPr>
          <w:trHeight w:val="288"/>
        </w:trPr>
        <w:tc>
          <w:tcPr>
            <w:tcW w:w="3402" w:type="dxa"/>
            <w:tcBorders>
              <w:top w:val="nil"/>
              <w:left w:val="nil"/>
              <w:bottom w:val="nil"/>
              <w:right w:val="nil"/>
            </w:tcBorders>
            <w:shd w:val="clear" w:color="auto" w:fill="auto"/>
            <w:noWrap/>
            <w:hideMark/>
          </w:tcPr>
          <w:p w14:paraId="10B53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131C82B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7CF040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D9D2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1E5A9EA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15850CF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14DA6774" w14:textId="77777777" w:rsidTr="001A26A3">
        <w:trPr>
          <w:trHeight w:val="288"/>
        </w:trPr>
        <w:tc>
          <w:tcPr>
            <w:tcW w:w="3402" w:type="dxa"/>
            <w:tcBorders>
              <w:top w:val="nil"/>
              <w:left w:val="nil"/>
              <w:bottom w:val="nil"/>
              <w:right w:val="nil"/>
            </w:tcBorders>
            <w:shd w:val="clear" w:color="auto" w:fill="auto"/>
            <w:noWrap/>
            <w:hideMark/>
          </w:tcPr>
          <w:p w14:paraId="724736E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3112906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03B117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518FB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0A6A145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229A4F2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11048D" w:rsidRPr="00A2432B" w14:paraId="5FE540DD" w14:textId="77777777" w:rsidTr="001A26A3">
        <w:trPr>
          <w:trHeight w:val="288"/>
        </w:trPr>
        <w:tc>
          <w:tcPr>
            <w:tcW w:w="3402" w:type="dxa"/>
            <w:tcBorders>
              <w:top w:val="nil"/>
              <w:left w:val="nil"/>
              <w:bottom w:val="nil"/>
              <w:right w:val="nil"/>
            </w:tcBorders>
            <w:shd w:val="clear" w:color="auto" w:fill="auto"/>
            <w:noWrap/>
            <w:hideMark/>
          </w:tcPr>
          <w:p w14:paraId="19BF850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635F9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541967A"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036AA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6C3D84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0F0F7AC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11048D" w:rsidRPr="00A2432B" w14:paraId="162F17CF" w14:textId="77777777" w:rsidTr="001A26A3">
        <w:trPr>
          <w:trHeight w:val="288"/>
        </w:trPr>
        <w:tc>
          <w:tcPr>
            <w:tcW w:w="3402" w:type="dxa"/>
            <w:tcBorders>
              <w:top w:val="nil"/>
              <w:left w:val="nil"/>
              <w:bottom w:val="nil"/>
              <w:right w:val="nil"/>
            </w:tcBorders>
            <w:shd w:val="clear" w:color="auto" w:fill="auto"/>
            <w:noWrap/>
            <w:hideMark/>
          </w:tcPr>
          <w:p w14:paraId="78F636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993" w:type="dxa"/>
            <w:tcBorders>
              <w:top w:val="nil"/>
              <w:left w:val="nil"/>
              <w:bottom w:val="nil"/>
              <w:right w:val="nil"/>
            </w:tcBorders>
            <w:shd w:val="clear" w:color="auto" w:fill="auto"/>
            <w:noWrap/>
            <w:hideMark/>
          </w:tcPr>
          <w:p w14:paraId="189D57C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3C622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28E403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76436E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13FAC39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11048D" w:rsidRPr="00A2432B" w14:paraId="0FD8C7B2" w14:textId="77777777" w:rsidTr="001A26A3">
        <w:trPr>
          <w:trHeight w:val="288"/>
        </w:trPr>
        <w:tc>
          <w:tcPr>
            <w:tcW w:w="3402" w:type="dxa"/>
            <w:tcBorders>
              <w:top w:val="nil"/>
              <w:left w:val="nil"/>
              <w:bottom w:val="nil"/>
              <w:right w:val="nil"/>
            </w:tcBorders>
            <w:shd w:val="clear" w:color="auto" w:fill="auto"/>
            <w:noWrap/>
            <w:hideMark/>
          </w:tcPr>
          <w:p w14:paraId="27B1156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4F8EC2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A3C3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73FAA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6363536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74843B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11048D" w:rsidRPr="00A2432B" w14:paraId="265316DC" w14:textId="77777777" w:rsidTr="001A26A3">
        <w:trPr>
          <w:trHeight w:val="288"/>
        </w:trPr>
        <w:tc>
          <w:tcPr>
            <w:tcW w:w="3402" w:type="dxa"/>
            <w:tcBorders>
              <w:top w:val="nil"/>
              <w:left w:val="nil"/>
              <w:bottom w:val="nil"/>
              <w:right w:val="nil"/>
            </w:tcBorders>
            <w:shd w:val="clear" w:color="auto" w:fill="auto"/>
            <w:noWrap/>
            <w:hideMark/>
          </w:tcPr>
          <w:p w14:paraId="0A71B6D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477FC19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B3207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94692F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37FC0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170E9A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11048D" w:rsidRPr="00A2432B" w14:paraId="7CEC47BF" w14:textId="77777777" w:rsidTr="001A26A3">
        <w:trPr>
          <w:trHeight w:val="288"/>
        </w:trPr>
        <w:tc>
          <w:tcPr>
            <w:tcW w:w="3402" w:type="dxa"/>
            <w:tcBorders>
              <w:top w:val="nil"/>
              <w:left w:val="nil"/>
              <w:bottom w:val="single" w:sz="4" w:space="0" w:color="auto"/>
              <w:right w:val="nil"/>
            </w:tcBorders>
            <w:shd w:val="clear" w:color="auto" w:fill="auto"/>
            <w:noWrap/>
            <w:hideMark/>
          </w:tcPr>
          <w:p w14:paraId="5CA0B35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1C0DCE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58B8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475FE58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44F689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40F472F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11048D" w:rsidRPr="00A2432B" w14:paraId="105A3F6C" w14:textId="77777777" w:rsidTr="001A26A3">
        <w:trPr>
          <w:trHeight w:val="288"/>
        </w:trPr>
        <w:tc>
          <w:tcPr>
            <w:tcW w:w="3402" w:type="dxa"/>
            <w:tcBorders>
              <w:top w:val="nil"/>
              <w:left w:val="nil"/>
              <w:bottom w:val="nil"/>
              <w:right w:val="nil"/>
            </w:tcBorders>
            <w:shd w:val="clear" w:color="auto" w:fill="auto"/>
            <w:noWrap/>
            <w:hideMark/>
          </w:tcPr>
          <w:p w14:paraId="0F89638D"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24BCC0C3"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783BB69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5D83F6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404509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6493ACD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CA0705E" w14:textId="77777777" w:rsidTr="001A26A3">
        <w:trPr>
          <w:trHeight w:val="288"/>
        </w:trPr>
        <w:tc>
          <w:tcPr>
            <w:tcW w:w="3402" w:type="dxa"/>
            <w:tcBorders>
              <w:top w:val="nil"/>
              <w:left w:val="nil"/>
              <w:bottom w:val="nil"/>
              <w:right w:val="nil"/>
            </w:tcBorders>
            <w:shd w:val="clear" w:color="auto" w:fill="auto"/>
            <w:noWrap/>
            <w:hideMark/>
          </w:tcPr>
          <w:p w14:paraId="713FD61E"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39062C7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CE4BCE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E2FC46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98F99F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1513333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5293650" w14:textId="77777777" w:rsidTr="001A26A3">
        <w:trPr>
          <w:trHeight w:val="288"/>
        </w:trPr>
        <w:tc>
          <w:tcPr>
            <w:tcW w:w="3402" w:type="dxa"/>
            <w:tcBorders>
              <w:top w:val="nil"/>
              <w:left w:val="nil"/>
              <w:bottom w:val="nil"/>
              <w:right w:val="nil"/>
            </w:tcBorders>
            <w:shd w:val="clear" w:color="auto" w:fill="auto"/>
            <w:noWrap/>
            <w:hideMark/>
          </w:tcPr>
          <w:p w14:paraId="5203802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B57D5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23A827F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0512DD5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3FC32B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5CAF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57ECE29" w14:textId="77777777" w:rsidTr="001A26A3">
        <w:trPr>
          <w:trHeight w:val="288"/>
        </w:trPr>
        <w:tc>
          <w:tcPr>
            <w:tcW w:w="3402" w:type="dxa"/>
            <w:tcBorders>
              <w:top w:val="nil"/>
              <w:left w:val="nil"/>
              <w:bottom w:val="nil"/>
              <w:right w:val="nil"/>
            </w:tcBorders>
            <w:shd w:val="clear" w:color="auto" w:fill="auto"/>
            <w:noWrap/>
            <w:hideMark/>
          </w:tcPr>
          <w:p w14:paraId="19154BD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10B5A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0B9A352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35F64CF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44F4AA1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92D9A2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AE5011E" w14:textId="77777777" w:rsidTr="001A26A3">
        <w:trPr>
          <w:trHeight w:val="288"/>
        </w:trPr>
        <w:tc>
          <w:tcPr>
            <w:tcW w:w="3402" w:type="dxa"/>
            <w:tcBorders>
              <w:top w:val="nil"/>
              <w:left w:val="nil"/>
              <w:bottom w:val="nil"/>
              <w:right w:val="nil"/>
            </w:tcBorders>
            <w:shd w:val="clear" w:color="auto" w:fill="auto"/>
            <w:noWrap/>
            <w:hideMark/>
          </w:tcPr>
          <w:p w14:paraId="4CB7E392"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45A2285D"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78F346D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7F14B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6EE733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6AB764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E7D11C5" w14:textId="77777777" w:rsidTr="001A26A3">
        <w:trPr>
          <w:trHeight w:val="288"/>
        </w:trPr>
        <w:tc>
          <w:tcPr>
            <w:tcW w:w="3402" w:type="dxa"/>
            <w:tcBorders>
              <w:top w:val="nil"/>
              <w:left w:val="nil"/>
              <w:bottom w:val="nil"/>
              <w:right w:val="nil"/>
            </w:tcBorders>
            <w:shd w:val="clear" w:color="auto" w:fill="auto"/>
            <w:noWrap/>
            <w:hideMark/>
          </w:tcPr>
          <w:p w14:paraId="6E68C3B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42A6D4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AAFE0A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849B9D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7F6C154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079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0669CD04" w14:textId="77777777" w:rsidTr="001A26A3">
        <w:trPr>
          <w:trHeight w:val="288"/>
        </w:trPr>
        <w:tc>
          <w:tcPr>
            <w:tcW w:w="3402" w:type="dxa"/>
            <w:tcBorders>
              <w:top w:val="nil"/>
              <w:left w:val="nil"/>
              <w:bottom w:val="nil"/>
              <w:right w:val="nil"/>
            </w:tcBorders>
            <w:shd w:val="clear" w:color="auto" w:fill="auto"/>
            <w:noWrap/>
            <w:hideMark/>
          </w:tcPr>
          <w:p w14:paraId="6F1F7CD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26045E5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0A489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38CF3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05719EA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DF952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1297ABDE" w14:textId="77777777" w:rsidTr="001A26A3">
        <w:trPr>
          <w:trHeight w:val="288"/>
        </w:trPr>
        <w:tc>
          <w:tcPr>
            <w:tcW w:w="3402" w:type="dxa"/>
            <w:tcBorders>
              <w:top w:val="nil"/>
              <w:left w:val="nil"/>
              <w:bottom w:val="nil"/>
              <w:right w:val="nil"/>
            </w:tcBorders>
            <w:shd w:val="clear" w:color="auto" w:fill="auto"/>
            <w:noWrap/>
            <w:hideMark/>
          </w:tcPr>
          <w:p w14:paraId="23EACFD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02337C1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C2B445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72E864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5851C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5500966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1EA186A" w14:textId="77777777" w:rsidTr="001A26A3">
        <w:trPr>
          <w:trHeight w:val="288"/>
        </w:trPr>
        <w:tc>
          <w:tcPr>
            <w:tcW w:w="3402" w:type="dxa"/>
            <w:tcBorders>
              <w:top w:val="nil"/>
              <w:left w:val="nil"/>
              <w:bottom w:val="nil"/>
              <w:right w:val="nil"/>
            </w:tcBorders>
            <w:shd w:val="clear" w:color="auto" w:fill="auto"/>
            <w:noWrap/>
            <w:hideMark/>
          </w:tcPr>
          <w:p w14:paraId="5FA916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74C0BA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0B08A8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FBF4C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58E528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A509ED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E5F240B" w14:textId="77777777" w:rsidTr="001A26A3">
        <w:trPr>
          <w:trHeight w:val="288"/>
        </w:trPr>
        <w:tc>
          <w:tcPr>
            <w:tcW w:w="3402" w:type="dxa"/>
            <w:tcBorders>
              <w:top w:val="nil"/>
              <w:left w:val="nil"/>
              <w:bottom w:val="nil"/>
              <w:right w:val="nil"/>
            </w:tcBorders>
            <w:shd w:val="clear" w:color="auto" w:fill="auto"/>
            <w:noWrap/>
            <w:hideMark/>
          </w:tcPr>
          <w:p w14:paraId="7CB7557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2057014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4D930F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B37B58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033C521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3C26FA5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0CF6AFAE" w14:textId="77777777" w:rsidTr="001A26A3">
        <w:trPr>
          <w:trHeight w:val="288"/>
        </w:trPr>
        <w:tc>
          <w:tcPr>
            <w:tcW w:w="3402" w:type="dxa"/>
            <w:tcBorders>
              <w:top w:val="nil"/>
              <w:left w:val="nil"/>
              <w:bottom w:val="nil"/>
              <w:right w:val="nil"/>
            </w:tcBorders>
            <w:shd w:val="clear" w:color="auto" w:fill="auto"/>
            <w:noWrap/>
            <w:hideMark/>
          </w:tcPr>
          <w:p w14:paraId="62F6803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993" w:type="dxa"/>
            <w:tcBorders>
              <w:top w:val="nil"/>
              <w:left w:val="nil"/>
              <w:bottom w:val="nil"/>
              <w:right w:val="nil"/>
            </w:tcBorders>
            <w:shd w:val="clear" w:color="auto" w:fill="auto"/>
            <w:noWrap/>
            <w:hideMark/>
          </w:tcPr>
          <w:p w14:paraId="25A12C4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2D3E8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9C539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4E41AFB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48FF80A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6221EAEA" w14:textId="77777777" w:rsidTr="001A26A3">
        <w:trPr>
          <w:trHeight w:val="205"/>
        </w:trPr>
        <w:tc>
          <w:tcPr>
            <w:tcW w:w="3402" w:type="dxa"/>
            <w:tcBorders>
              <w:top w:val="nil"/>
              <w:left w:val="nil"/>
              <w:bottom w:val="nil"/>
              <w:right w:val="nil"/>
            </w:tcBorders>
            <w:shd w:val="clear" w:color="auto" w:fill="auto"/>
            <w:hideMark/>
          </w:tcPr>
          <w:p w14:paraId="6EBE5E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182D1EF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60A4FB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49FD7E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232964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05EFF8A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11048D" w:rsidRPr="00A2432B" w14:paraId="4E2E4CBE" w14:textId="77777777" w:rsidTr="001A26A3">
        <w:trPr>
          <w:trHeight w:val="288"/>
        </w:trPr>
        <w:tc>
          <w:tcPr>
            <w:tcW w:w="3402" w:type="dxa"/>
            <w:tcBorders>
              <w:top w:val="nil"/>
              <w:left w:val="nil"/>
              <w:bottom w:val="single" w:sz="12" w:space="0" w:color="auto"/>
              <w:right w:val="nil"/>
            </w:tcBorders>
            <w:shd w:val="clear" w:color="auto" w:fill="auto"/>
            <w:noWrap/>
            <w:hideMark/>
          </w:tcPr>
          <w:p w14:paraId="4A3DF63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461B625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3986C9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298A8D3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435723F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010C41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61430198" w14:textId="77777777" w:rsidR="0011048D" w:rsidRPr="00A66892" w:rsidRDefault="0011048D" w:rsidP="0011048D">
      <w:pPr>
        <w:rPr>
          <w:sz w:val="18"/>
          <w:szCs w:val="18"/>
        </w:rPr>
      </w:pPr>
      <w:r w:rsidRPr="00A66892">
        <w:rPr>
          <w:i/>
          <w:iCs/>
          <w:sz w:val="24"/>
          <w:szCs w:val="24"/>
          <w:vertAlign w:val="superscript"/>
        </w:rPr>
        <w:t>a</w:t>
      </w:r>
      <w:r w:rsidRPr="00A66892">
        <w:rPr>
          <w:sz w:val="18"/>
          <w:szCs w:val="18"/>
        </w:rPr>
        <w:t xml:space="preserve"> Rate ratio = exp(coefficient) </w:t>
      </w:r>
    </w:p>
    <w:p w14:paraId="63B1C71F" w14:textId="39A28F21" w:rsidR="00D6664E" w:rsidRDefault="00D6664E">
      <w:pPr>
        <w:rPr>
          <w:b/>
          <w:bCs/>
        </w:rPr>
      </w:pPr>
    </w:p>
    <w:p w14:paraId="2C59AEF2" w14:textId="0799381C" w:rsidR="0011048D" w:rsidRDefault="0011048D">
      <w:pPr>
        <w:rPr>
          <w:b/>
          <w:bCs/>
        </w:rPr>
      </w:pPr>
    </w:p>
    <w:p w14:paraId="1C0A3482" w14:textId="4E8D2AC1" w:rsidR="0011048D" w:rsidRDefault="0011048D">
      <w:pPr>
        <w:rPr>
          <w:b/>
          <w:bCs/>
        </w:rPr>
      </w:pPr>
    </w:p>
    <w:p w14:paraId="18AE0B8D" w14:textId="4A8DEC37" w:rsidR="0011048D" w:rsidRDefault="0011048D">
      <w:pPr>
        <w:rPr>
          <w:noProof/>
          <w:lang w:eastAsia="en-GB"/>
        </w:rPr>
      </w:pPr>
      <w:r>
        <w:rPr>
          <w:noProof/>
          <w:lang w:eastAsia="en-GB"/>
        </w:rPr>
        <w:lastRenderedPageBreak/>
        <w:drawing>
          <wp:inline distT="0" distB="0" distL="0" distR="0" wp14:anchorId="1297CA35" wp14:editId="20F0167D">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327249DC" w14:textId="77777777" w:rsidR="0011048D" w:rsidRDefault="0011048D" w:rsidP="0011048D">
      <w:pPr>
        <w:rPr>
          <w:b/>
          <w:bCs/>
          <w:sz w:val="20"/>
          <w:szCs w:val="20"/>
        </w:rPr>
      </w:pPr>
      <w:r w:rsidRPr="00591618">
        <w:rPr>
          <w:b/>
          <w:bCs/>
          <w:sz w:val="20"/>
          <w:szCs w:val="20"/>
        </w:rPr>
        <w:t xml:space="preserve">Figure </w:t>
      </w:r>
      <w:r>
        <w:rPr>
          <w:b/>
          <w:bCs/>
          <w:sz w:val="20"/>
          <w:szCs w:val="20"/>
        </w:rPr>
        <w:t>5</w:t>
      </w:r>
      <w:r w:rsidRPr="00591618">
        <w:rPr>
          <w:b/>
          <w:bCs/>
          <w:sz w:val="20"/>
          <w:szCs w:val="20"/>
        </w:rPr>
        <w:t xml:space="preserve">. </w:t>
      </w:r>
      <w:commentRangeStart w:id="1"/>
      <w:r w:rsidRPr="00591618">
        <w:rPr>
          <w:b/>
          <w:bCs/>
          <w:sz w:val="20"/>
          <w:szCs w:val="20"/>
        </w:rPr>
        <w:t xml:space="preserve">Predicted </w:t>
      </w:r>
      <w:commentRangeEnd w:id="1"/>
      <w:r>
        <w:rPr>
          <w:rStyle w:val="CommentReference"/>
        </w:rPr>
        <w:commentReference w:id="1"/>
      </w:r>
      <w:r w:rsidRPr="00591618">
        <w:rPr>
          <w:b/>
          <w:bCs/>
          <w:sz w:val="20"/>
          <w:szCs w:val="20"/>
        </w:rPr>
        <w:t>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41ABCD4D" w14:textId="0D2CB813" w:rsidR="0011048D" w:rsidRDefault="0011048D" w:rsidP="0011048D"/>
    <w:p w14:paraId="079E5C71" w14:textId="4AF745B8" w:rsidR="0011048D" w:rsidRDefault="0011048D" w:rsidP="0011048D">
      <w:pPr>
        <w:rPr>
          <w:noProof/>
          <w:lang w:eastAsia="en-GB"/>
        </w:rPr>
      </w:pPr>
      <w:r>
        <w:rPr>
          <w:noProof/>
          <w:lang w:eastAsia="en-GB"/>
        </w:rPr>
        <w:lastRenderedPageBreak/>
        <w:drawing>
          <wp:inline distT="0" distB="0" distL="0" distR="0" wp14:anchorId="6184219F" wp14:editId="17A71559">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D87D270" w14:textId="77777777" w:rsidR="0011048D" w:rsidRDefault="0011048D" w:rsidP="0011048D">
      <w:pPr>
        <w:rPr>
          <w:b/>
          <w:bCs/>
          <w:sz w:val="20"/>
          <w:szCs w:val="20"/>
        </w:rPr>
      </w:pPr>
      <w:r w:rsidRPr="00CC10DE">
        <w:rPr>
          <w:b/>
          <w:bCs/>
          <w:sz w:val="20"/>
          <w:szCs w:val="20"/>
        </w:rPr>
        <w:t xml:space="preserve">Figure </w:t>
      </w:r>
      <w:r>
        <w:rPr>
          <w:b/>
          <w:bCs/>
          <w:sz w:val="20"/>
          <w:szCs w:val="20"/>
        </w:rPr>
        <w:t>6</w:t>
      </w:r>
      <w:r w:rsidRPr="00CC10DE">
        <w:rPr>
          <w:b/>
          <w:bCs/>
          <w:sz w:val="20"/>
          <w:szCs w:val="20"/>
        </w:rPr>
        <w:t>. 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Pr>
          <w:b/>
          <w:bCs/>
          <w:sz w:val="20"/>
          <w:szCs w:val="20"/>
        </w:rPr>
        <w:t xml:space="preserve"> Plot panels have non-standard y axis ranges.</w:t>
      </w:r>
    </w:p>
    <w:p w14:paraId="0B3A8EEB" w14:textId="1BC86002" w:rsidR="0011048D" w:rsidRDefault="0011048D" w:rsidP="0011048D">
      <w:pPr>
        <w:rPr>
          <w:noProof/>
          <w:lang w:eastAsia="en-GB"/>
        </w:rPr>
      </w:pPr>
      <w:r>
        <w:rPr>
          <w:noProof/>
          <w:lang w:eastAsia="en-GB"/>
        </w:rPr>
        <w:lastRenderedPageBreak/>
        <w:drawing>
          <wp:inline distT="0" distB="0" distL="0" distR="0" wp14:anchorId="31107EB8" wp14:editId="60DA324E">
            <wp:extent cx="5272644" cy="5272644"/>
            <wp:effectExtent l="0" t="0" r="4445"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264" cy="5277264"/>
                    </a:xfrm>
                    <a:prstGeom prst="rect">
                      <a:avLst/>
                    </a:prstGeom>
                    <a:noFill/>
                    <a:ln>
                      <a:noFill/>
                    </a:ln>
                  </pic:spPr>
                </pic:pic>
              </a:graphicData>
            </a:graphic>
          </wp:inline>
        </w:drawing>
      </w:r>
    </w:p>
    <w:p w14:paraId="36553963" w14:textId="77777777" w:rsidR="0011048D" w:rsidRDefault="0011048D" w:rsidP="0011048D">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7117E3B9" w14:textId="0228F84A" w:rsidR="0011048D" w:rsidRDefault="0011048D" w:rsidP="0011048D">
      <w:r>
        <w:rPr>
          <w:noProof/>
          <w:lang w:eastAsia="en-GB"/>
        </w:rPr>
        <w:lastRenderedPageBreak/>
        <w:drawing>
          <wp:inline distT="0" distB="0" distL="0" distR="0" wp14:anchorId="3FD24F3A" wp14:editId="304408E0">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444957" w14:textId="4DEB0D62" w:rsidR="0011048D" w:rsidRDefault="0011048D" w:rsidP="0011048D">
      <w:pPr>
        <w:rPr>
          <w:b/>
          <w:bCs/>
          <w:sz w:val="20"/>
          <w:szCs w:val="20"/>
        </w:rPr>
      </w:pPr>
      <w:r w:rsidRPr="00BA3DF2">
        <w:rPr>
          <w:b/>
          <w:bCs/>
          <w:sz w:val="20"/>
          <w:szCs w:val="20"/>
        </w:rPr>
        <w:t xml:space="preserve">Figure </w:t>
      </w:r>
      <w:r>
        <w:rPr>
          <w:b/>
          <w:bCs/>
          <w:sz w:val="20"/>
          <w:szCs w:val="20"/>
        </w:rPr>
        <w:t>8</w:t>
      </w:r>
      <w:r w:rsidRPr="00BA3DF2">
        <w:rPr>
          <w:b/>
          <w:bCs/>
          <w:sz w:val="20"/>
          <w:szCs w:val="20"/>
        </w:rPr>
        <w:t xml:space="preserve">. Predicted forest cover within each Cambodian province given high and low </w:t>
      </w:r>
      <w:r>
        <w:rPr>
          <w:b/>
          <w:bCs/>
          <w:sz w:val="20"/>
          <w:szCs w:val="20"/>
        </w:rPr>
        <w:t xml:space="preserve">distances to the nearest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D6D3F11" w14:textId="7319608A" w:rsidR="0011048D" w:rsidRDefault="0011048D" w:rsidP="0011048D">
      <w:pPr>
        <w:rPr>
          <w:b/>
          <w:bCs/>
          <w:sz w:val="20"/>
          <w:szCs w:val="20"/>
        </w:rPr>
      </w:pPr>
    </w:p>
    <w:p w14:paraId="2F998785" w14:textId="2FF0B6AF" w:rsidR="0011048D" w:rsidRDefault="0011048D" w:rsidP="0011048D">
      <w:pPr>
        <w:rPr>
          <w:b/>
          <w:bCs/>
          <w:sz w:val="20"/>
          <w:szCs w:val="20"/>
        </w:rPr>
      </w:pPr>
    </w:p>
    <w:p w14:paraId="409D2859" w14:textId="6821B0D3" w:rsidR="0011048D" w:rsidRDefault="0011048D" w:rsidP="0011048D">
      <w:pPr>
        <w:rPr>
          <w:b/>
          <w:bCs/>
          <w:sz w:val="20"/>
          <w:szCs w:val="20"/>
        </w:rPr>
      </w:pPr>
    </w:p>
    <w:p w14:paraId="6F898E54" w14:textId="0B261A24" w:rsidR="0011048D" w:rsidRDefault="0011048D" w:rsidP="0011048D">
      <w:pPr>
        <w:rPr>
          <w:b/>
          <w:bCs/>
          <w:sz w:val="20"/>
          <w:szCs w:val="20"/>
        </w:rPr>
      </w:pPr>
    </w:p>
    <w:p w14:paraId="4FC580AA" w14:textId="66E5CC54" w:rsidR="0011048D" w:rsidRDefault="0011048D" w:rsidP="0011048D">
      <w:pPr>
        <w:rPr>
          <w:b/>
          <w:bCs/>
          <w:sz w:val="20"/>
          <w:szCs w:val="20"/>
        </w:rPr>
      </w:pPr>
    </w:p>
    <w:p w14:paraId="18DC92CD" w14:textId="60F8859B" w:rsidR="0011048D" w:rsidRDefault="0011048D" w:rsidP="0011048D">
      <w:pPr>
        <w:rPr>
          <w:b/>
          <w:bCs/>
          <w:sz w:val="20"/>
          <w:szCs w:val="20"/>
        </w:rPr>
      </w:pPr>
    </w:p>
    <w:p w14:paraId="392A81EC" w14:textId="2EC702D1" w:rsidR="0011048D" w:rsidRDefault="0011048D" w:rsidP="0011048D">
      <w:pPr>
        <w:rPr>
          <w:b/>
          <w:bCs/>
          <w:sz w:val="20"/>
          <w:szCs w:val="20"/>
        </w:rPr>
      </w:pPr>
    </w:p>
    <w:p w14:paraId="23C3DBBA" w14:textId="77777777" w:rsidR="0011048D" w:rsidRDefault="0011048D" w:rsidP="0011048D">
      <w:pPr>
        <w:rPr>
          <w:b/>
          <w:bCs/>
          <w:sz w:val="20"/>
          <w:szCs w:val="20"/>
        </w:rPr>
      </w:pPr>
    </w:p>
    <w:p w14:paraId="78C9DE29" w14:textId="6B1BDD41" w:rsidR="0011048D" w:rsidRDefault="0011048D" w:rsidP="0011048D">
      <w:pPr>
        <w:ind w:firstLine="720"/>
      </w:pPr>
      <w:r>
        <w:rPr>
          <w:noProof/>
          <w:lang w:eastAsia="en-GB"/>
        </w:rPr>
        <w:lastRenderedPageBreak/>
        <w:drawing>
          <wp:anchor distT="0" distB="0" distL="114300" distR="114300" simplePos="0" relativeHeight="251659264" behindDoc="1" locked="0" layoutInCell="1" allowOverlap="1" wp14:anchorId="73EB6D50" wp14:editId="29CD8EC6">
            <wp:simplePos x="0" y="0"/>
            <wp:positionH relativeFrom="column">
              <wp:posOffset>0</wp:posOffset>
            </wp:positionH>
            <wp:positionV relativeFrom="paragraph">
              <wp:posOffset>0</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40445" w14:textId="15EBAC10" w:rsidR="0011048D" w:rsidRPr="0011048D" w:rsidRDefault="0011048D" w:rsidP="0011048D"/>
    <w:p w14:paraId="0D3494EB" w14:textId="3541AA34" w:rsidR="0011048D" w:rsidRPr="0011048D" w:rsidRDefault="0011048D" w:rsidP="0011048D"/>
    <w:p w14:paraId="332B5486" w14:textId="20566509" w:rsidR="0011048D" w:rsidRPr="0011048D" w:rsidRDefault="0011048D" w:rsidP="0011048D"/>
    <w:p w14:paraId="2D6EC145" w14:textId="0CF933FC" w:rsidR="0011048D" w:rsidRPr="0011048D" w:rsidRDefault="0011048D" w:rsidP="0011048D"/>
    <w:p w14:paraId="4F4BFBB3" w14:textId="3103E1DD" w:rsidR="0011048D" w:rsidRPr="0011048D" w:rsidRDefault="0011048D" w:rsidP="0011048D"/>
    <w:p w14:paraId="7CFC9AF9" w14:textId="01D22B70" w:rsidR="0011048D" w:rsidRPr="0011048D" w:rsidRDefault="0011048D" w:rsidP="0011048D"/>
    <w:p w14:paraId="76D9073B" w14:textId="7EF74E54" w:rsidR="0011048D" w:rsidRPr="0011048D" w:rsidRDefault="0011048D" w:rsidP="0011048D"/>
    <w:p w14:paraId="7084F302" w14:textId="376B95BA" w:rsidR="0011048D" w:rsidRPr="0011048D" w:rsidRDefault="0011048D" w:rsidP="0011048D"/>
    <w:p w14:paraId="355BE01B" w14:textId="20B135FD" w:rsidR="0011048D" w:rsidRPr="0011048D" w:rsidRDefault="0011048D" w:rsidP="0011048D"/>
    <w:p w14:paraId="4970FE01" w14:textId="0ECD5711" w:rsidR="0011048D" w:rsidRPr="0011048D" w:rsidRDefault="0011048D" w:rsidP="0011048D"/>
    <w:p w14:paraId="7691CD76" w14:textId="5284211A" w:rsidR="0011048D" w:rsidRPr="0011048D" w:rsidRDefault="0011048D" w:rsidP="0011048D"/>
    <w:p w14:paraId="31F6B864" w14:textId="610C94EA" w:rsidR="0011048D" w:rsidRPr="0011048D" w:rsidRDefault="0011048D" w:rsidP="0011048D"/>
    <w:p w14:paraId="3AB9C4E0" w14:textId="03C2A67C" w:rsidR="0011048D" w:rsidRPr="0011048D" w:rsidRDefault="0011048D" w:rsidP="0011048D"/>
    <w:p w14:paraId="5D79A61B" w14:textId="1EE64974" w:rsidR="0011048D" w:rsidRPr="0011048D" w:rsidRDefault="0011048D" w:rsidP="0011048D"/>
    <w:p w14:paraId="039CB359" w14:textId="2D990665" w:rsidR="0011048D" w:rsidRPr="0011048D" w:rsidRDefault="0011048D" w:rsidP="0011048D"/>
    <w:p w14:paraId="629718D8" w14:textId="59A11399" w:rsidR="0011048D" w:rsidRPr="0011048D" w:rsidRDefault="0011048D" w:rsidP="0011048D"/>
    <w:p w14:paraId="1379BB76" w14:textId="40196067" w:rsidR="0011048D" w:rsidRPr="0011048D" w:rsidRDefault="0011048D" w:rsidP="0011048D"/>
    <w:p w14:paraId="289434A6" w14:textId="58B486FD" w:rsidR="0011048D" w:rsidRPr="0011048D" w:rsidRDefault="0011048D" w:rsidP="0011048D"/>
    <w:p w14:paraId="20AB8B14" w14:textId="700338B5" w:rsidR="0011048D" w:rsidRDefault="0011048D" w:rsidP="0011048D"/>
    <w:p w14:paraId="066658F7" w14:textId="77777777" w:rsidR="0011048D" w:rsidRPr="008850DC" w:rsidRDefault="0011048D" w:rsidP="0011048D">
      <w:pPr>
        <w:rPr>
          <w:b/>
          <w:bCs/>
          <w:sz w:val="20"/>
          <w:szCs w:val="20"/>
        </w:rPr>
      </w:pPr>
      <w:r w:rsidRPr="008850DC">
        <w:rPr>
          <w:b/>
          <w:bCs/>
          <w:sz w:val="20"/>
          <w:szCs w:val="20"/>
        </w:rPr>
        <w:t xml:space="preserve">Figure </w:t>
      </w:r>
      <w:r>
        <w:rPr>
          <w:b/>
          <w:bCs/>
          <w:sz w:val="20"/>
          <w:szCs w:val="20"/>
        </w:rPr>
        <w:t>9</w:t>
      </w:r>
      <w:r w:rsidRPr="008850DC">
        <w:rPr>
          <w:b/>
          <w:bCs/>
          <w:sz w:val="20"/>
          <w:szCs w:val="20"/>
        </w:rPr>
        <w:t>. Cambodian provinces clustered based on socioeconomics.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46A36BAB" w14:textId="316DE989" w:rsidR="0011048D" w:rsidRDefault="0011048D" w:rsidP="0011048D"/>
    <w:p w14:paraId="60A4F8BF" w14:textId="33E79845" w:rsidR="0011048D" w:rsidRDefault="0011048D" w:rsidP="0011048D"/>
    <w:p w14:paraId="56C96396" w14:textId="06FE4724" w:rsidR="0011048D" w:rsidRDefault="0011048D" w:rsidP="0011048D"/>
    <w:p w14:paraId="63FBD4CB" w14:textId="4F1F49BC" w:rsidR="0011048D" w:rsidRDefault="0011048D" w:rsidP="0011048D"/>
    <w:p w14:paraId="7E5C90E7" w14:textId="402FE56E" w:rsidR="0011048D" w:rsidRDefault="0011048D" w:rsidP="0011048D"/>
    <w:p w14:paraId="08817C04" w14:textId="6A7F4AC4" w:rsidR="0011048D" w:rsidRDefault="0011048D" w:rsidP="0011048D"/>
    <w:p w14:paraId="30642C94" w14:textId="69CE143E" w:rsidR="0011048D" w:rsidRDefault="0011048D" w:rsidP="0011048D">
      <w:r>
        <w:rPr>
          <w:noProof/>
          <w:lang w:eastAsia="en-GB"/>
        </w:rPr>
        <w:lastRenderedPageBreak/>
        <w:drawing>
          <wp:anchor distT="0" distB="0" distL="114300" distR="114300" simplePos="0" relativeHeight="251661312" behindDoc="1" locked="0" layoutInCell="1" allowOverlap="1" wp14:anchorId="6CF6B1EC" wp14:editId="4F14AA43">
            <wp:simplePos x="0" y="0"/>
            <wp:positionH relativeFrom="margin">
              <wp:posOffset>0</wp:posOffset>
            </wp:positionH>
            <wp:positionV relativeFrom="paragraph">
              <wp:posOffset>0</wp:posOffset>
            </wp:positionV>
            <wp:extent cx="6614555" cy="6614555"/>
            <wp:effectExtent l="0" t="0" r="0" b="0"/>
            <wp:wrapNone/>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3672" cy="6623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B7AB9" w14:textId="52900B1A" w:rsidR="0011048D" w:rsidRPr="0011048D" w:rsidRDefault="0011048D" w:rsidP="0011048D"/>
    <w:p w14:paraId="7B06C71F" w14:textId="4E11F8EE" w:rsidR="0011048D" w:rsidRPr="0011048D" w:rsidRDefault="0011048D" w:rsidP="0011048D"/>
    <w:p w14:paraId="2287A84A" w14:textId="494FF2F4" w:rsidR="0011048D" w:rsidRPr="0011048D" w:rsidRDefault="0011048D" w:rsidP="0011048D"/>
    <w:p w14:paraId="1B284CD7" w14:textId="7418918B" w:rsidR="0011048D" w:rsidRPr="0011048D" w:rsidRDefault="0011048D" w:rsidP="0011048D"/>
    <w:p w14:paraId="6D947F99" w14:textId="74F00564" w:rsidR="0011048D" w:rsidRPr="0011048D" w:rsidRDefault="0011048D" w:rsidP="0011048D"/>
    <w:p w14:paraId="370BD46D" w14:textId="5BE12041" w:rsidR="0011048D" w:rsidRPr="0011048D" w:rsidRDefault="0011048D" w:rsidP="0011048D"/>
    <w:p w14:paraId="669F4277" w14:textId="06C5BBCE" w:rsidR="0011048D" w:rsidRPr="0011048D" w:rsidRDefault="0011048D" w:rsidP="0011048D"/>
    <w:p w14:paraId="6AC288E1" w14:textId="4409FEAC" w:rsidR="0011048D" w:rsidRPr="0011048D" w:rsidRDefault="0011048D" w:rsidP="0011048D"/>
    <w:p w14:paraId="4E7BEBA5" w14:textId="030BE6A5" w:rsidR="0011048D" w:rsidRPr="0011048D" w:rsidRDefault="0011048D" w:rsidP="0011048D"/>
    <w:p w14:paraId="7A9C0947" w14:textId="4F1CD19F" w:rsidR="0011048D" w:rsidRPr="0011048D" w:rsidRDefault="0011048D" w:rsidP="0011048D"/>
    <w:p w14:paraId="1FA28FAA" w14:textId="3A6E2A80" w:rsidR="0011048D" w:rsidRPr="0011048D" w:rsidRDefault="0011048D" w:rsidP="0011048D"/>
    <w:p w14:paraId="2F613DC1" w14:textId="408AD301" w:rsidR="0011048D" w:rsidRPr="0011048D" w:rsidRDefault="0011048D" w:rsidP="0011048D"/>
    <w:p w14:paraId="28CDA88E" w14:textId="74C8053B" w:rsidR="0011048D" w:rsidRPr="0011048D" w:rsidRDefault="0011048D" w:rsidP="0011048D"/>
    <w:p w14:paraId="387DAABC" w14:textId="480BC357" w:rsidR="0011048D" w:rsidRPr="0011048D" w:rsidRDefault="0011048D" w:rsidP="0011048D"/>
    <w:p w14:paraId="0651C0AB" w14:textId="09590E5B" w:rsidR="0011048D" w:rsidRPr="0011048D" w:rsidRDefault="0011048D" w:rsidP="0011048D"/>
    <w:p w14:paraId="38886F4F" w14:textId="6522F0A8" w:rsidR="0011048D" w:rsidRPr="0011048D" w:rsidRDefault="0011048D" w:rsidP="0011048D"/>
    <w:p w14:paraId="08773766" w14:textId="6094F9C7" w:rsidR="0011048D" w:rsidRPr="0011048D" w:rsidRDefault="0011048D" w:rsidP="0011048D"/>
    <w:p w14:paraId="4E3F2A33" w14:textId="6842B75F" w:rsidR="0011048D" w:rsidRPr="0011048D" w:rsidRDefault="0011048D" w:rsidP="0011048D"/>
    <w:p w14:paraId="6281B756" w14:textId="256359CD" w:rsidR="0011048D" w:rsidRPr="0011048D" w:rsidRDefault="0011048D" w:rsidP="0011048D"/>
    <w:p w14:paraId="6F78D51A" w14:textId="0994392A" w:rsidR="0011048D" w:rsidRPr="0011048D" w:rsidRDefault="0011048D" w:rsidP="0011048D"/>
    <w:p w14:paraId="1661B755" w14:textId="3DC2FEC3" w:rsidR="0011048D" w:rsidRPr="0011048D" w:rsidRDefault="0011048D" w:rsidP="0011048D"/>
    <w:p w14:paraId="7CB4523B" w14:textId="2CC3A802" w:rsidR="0011048D" w:rsidRPr="0011048D" w:rsidRDefault="0011048D" w:rsidP="0011048D"/>
    <w:p w14:paraId="4EC1F58F" w14:textId="77777777" w:rsidR="0011048D" w:rsidRPr="00154653" w:rsidRDefault="0011048D" w:rsidP="0011048D">
      <w:pPr>
        <w:rPr>
          <w:b/>
          <w:bCs/>
          <w:sz w:val="20"/>
          <w:szCs w:val="20"/>
        </w:rPr>
      </w:pPr>
      <w:r w:rsidRPr="00154653">
        <w:rPr>
          <w:b/>
          <w:bCs/>
          <w:sz w:val="20"/>
          <w:szCs w:val="20"/>
        </w:rPr>
        <w:t xml:space="preserve">Figure </w:t>
      </w:r>
      <w:r>
        <w:rPr>
          <w:b/>
          <w:bCs/>
          <w:sz w:val="20"/>
          <w:szCs w:val="20"/>
        </w:rPr>
        <w:t>10</w:t>
      </w:r>
      <w:r w:rsidRPr="00154653">
        <w:rPr>
          <w:b/>
          <w:bCs/>
          <w:sz w:val="20"/>
          <w:szCs w:val="20"/>
        </w:rPr>
        <w:t>. Map of Cambodia showing the clusters resulting from the unweighted pair-group using arithmetic averages (UPGMA) method. Provinces are labelled.</w:t>
      </w:r>
      <w:r>
        <w:rPr>
          <w:b/>
          <w:bCs/>
          <w:sz w:val="20"/>
          <w:szCs w:val="20"/>
        </w:rPr>
        <w:t xml:space="preserve"> The upper white polygon is the Tonle Sap lake, and the lower white polygon is the city of Phnom Penh, both of which were excluded from the analysis.</w:t>
      </w:r>
    </w:p>
    <w:p w14:paraId="691110E4" w14:textId="39D5254C" w:rsidR="0011048D" w:rsidRDefault="0011048D" w:rsidP="0011048D"/>
    <w:p w14:paraId="41049F8A" w14:textId="69693D2F" w:rsidR="0011048D" w:rsidRDefault="0011048D" w:rsidP="0011048D"/>
    <w:p w14:paraId="055D1BEE" w14:textId="6005237E" w:rsidR="0011048D" w:rsidRDefault="0011048D" w:rsidP="0011048D"/>
    <w:p w14:paraId="402F9528" w14:textId="7C79E716" w:rsidR="0011048D" w:rsidRDefault="0011048D" w:rsidP="0011048D"/>
    <w:p w14:paraId="6BA322BD" w14:textId="6C788E4A" w:rsidR="0011048D" w:rsidRDefault="0011048D" w:rsidP="0011048D"/>
    <w:p w14:paraId="67F7A0CB" w14:textId="21E08BF3" w:rsidR="0011048D" w:rsidRDefault="0011048D" w:rsidP="0011048D"/>
    <w:p w14:paraId="3E65BAF3" w14:textId="510BA56A" w:rsidR="0011048D" w:rsidRDefault="0011048D" w:rsidP="0011048D">
      <w:r>
        <w:rPr>
          <w:noProof/>
          <w:lang w:eastAsia="en-GB"/>
        </w:rPr>
        <w:lastRenderedPageBreak/>
        <w:drawing>
          <wp:inline distT="0" distB="0" distL="0" distR="0" wp14:anchorId="2A2ECF59" wp14:editId="60D55515">
            <wp:extent cx="4933950" cy="4933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3950" cy="4933950"/>
                    </a:xfrm>
                    <a:prstGeom prst="rect">
                      <a:avLst/>
                    </a:prstGeom>
                    <a:noFill/>
                    <a:ln>
                      <a:noFill/>
                    </a:ln>
                  </pic:spPr>
                </pic:pic>
              </a:graphicData>
            </a:graphic>
          </wp:inline>
        </w:drawing>
      </w:r>
    </w:p>
    <w:p w14:paraId="1264C404" w14:textId="77777777" w:rsidR="0011048D" w:rsidRPr="001168E7" w:rsidRDefault="0011048D" w:rsidP="0011048D">
      <w:pPr>
        <w:rPr>
          <w:b/>
          <w:bCs/>
          <w:sz w:val="20"/>
          <w:szCs w:val="20"/>
        </w:rPr>
      </w:pPr>
      <w:r w:rsidRPr="001168E7">
        <w:rPr>
          <w:b/>
          <w:bCs/>
          <w:sz w:val="20"/>
          <w:szCs w:val="20"/>
        </w:rPr>
        <w:t xml:space="preserve">Figure </w:t>
      </w:r>
      <w:r>
        <w:rPr>
          <w:b/>
          <w:bCs/>
          <w:sz w:val="20"/>
          <w:szCs w:val="20"/>
        </w:rPr>
        <w:t>11</w:t>
      </w:r>
      <w:r w:rsidRPr="001168E7">
        <w:rPr>
          <w:b/>
          <w:bCs/>
          <w:sz w:val="20"/>
          <w:szCs w:val="20"/>
        </w:rPr>
        <w:t>. Heatmap showing the variable values for each cluster. Variables were categorised as “</w:t>
      </w:r>
      <w:proofErr w:type="spellStart"/>
      <w:r w:rsidRPr="001168E7">
        <w:rPr>
          <w:b/>
          <w:bCs/>
          <w:sz w:val="20"/>
          <w:szCs w:val="20"/>
        </w:rPr>
        <w:t>v.low</w:t>
      </w:r>
      <w:proofErr w:type="spellEnd"/>
      <w:r w:rsidRPr="001168E7">
        <w:rPr>
          <w:b/>
          <w:bCs/>
          <w:sz w:val="20"/>
          <w:szCs w:val="20"/>
        </w:rPr>
        <w:t>” if the mean (across provinces within that cluster) was below the 25% quantile for that variable across the whole country, “low” if the mean was above 25 and below 50%, “high” if the mean was above 50% but below 75%, and “</w:t>
      </w:r>
      <w:proofErr w:type="spellStart"/>
      <w:r w:rsidRPr="001168E7">
        <w:rPr>
          <w:b/>
          <w:bCs/>
          <w:sz w:val="20"/>
          <w:szCs w:val="20"/>
        </w:rPr>
        <w:t>v.high</w:t>
      </w:r>
      <w:proofErr w:type="spellEnd"/>
      <w:r w:rsidRPr="001168E7">
        <w:rPr>
          <w:b/>
          <w:bCs/>
          <w:sz w:val="20"/>
          <w:szCs w:val="20"/>
        </w:rPr>
        <w:t xml:space="preserve">” if the mean was above the 75% quantile. </w:t>
      </w:r>
      <w:proofErr w:type="spellStart"/>
      <w:r w:rsidRPr="001168E7">
        <w:rPr>
          <w:b/>
          <w:bCs/>
          <w:sz w:val="20"/>
          <w:szCs w:val="20"/>
        </w:rPr>
        <w:t>Pax_migt_out</w:t>
      </w:r>
      <w:proofErr w:type="spellEnd"/>
      <w:r w:rsidRPr="001168E7">
        <w:rPr>
          <w:b/>
          <w:bCs/>
          <w:sz w:val="20"/>
          <w:szCs w:val="20"/>
        </w:rPr>
        <w:t xml:space="preserve"> = numbers of out-migrants, </w:t>
      </w:r>
      <w:proofErr w:type="spellStart"/>
      <w:r w:rsidRPr="001168E7">
        <w:rPr>
          <w:b/>
          <w:bCs/>
          <w:sz w:val="20"/>
          <w:szCs w:val="20"/>
        </w:rPr>
        <w:t>Pax_migt_in</w:t>
      </w:r>
      <w:proofErr w:type="spellEnd"/>
      <w:r w:rsidRPr="001168E7">
        <w:rPr>
          <w:b/>
          <w:bCs/>
          <w:sz w:val="20"/>
          <w:szCs w:val="20"/>
        </w:rPr>
        <w:t xml:space="preserve"> = numbers of in-migrants, </w:t>
      </w:r>
      <w:proofErr w:type="spellStart"/>
      <w:r w:rsidRPr="001168E7">
        <w:rPr>
          <w:b/>
          <w:bCs/>
          <w:sz w:val="20"/>
          <w:szCs w:val="20"/>
        </w:rPr>
        <w:t>land_confl</w:t>
      </w:r>
      <w:proofErr w:type="spellEnd"/>
      <w:r w:rsidRPr="001168E7">
        <w:rPr>
          <w:b/>
          <w:bCs/>
          <w:sz w:val="20"/>
          <w:szCs w:val="20"/>
        </w:rPr>
        <w:t xml:space="preserve"> = number of land conflicts, </w:t>
      </w:r>
      <w:proofErr w:type="spellStart"/>
      <w:r w:rsidRPr="001168E7">
        <w:rPr>
          <w:b/>
          <w:bCs/>
          <w:sz w:val="20"/>
          <w:szCs w:val="20"/>
        </w:rPr>
        <w:t>crim_case</w:t>
      </w:r>
      <w:proofErr w:type="spellEnd"/>
      <w:r w:rsidRPr="001168E7">
        <w:rPr>
          <w:b/>
          <w:bCs/>
          <w:sz w:val="20"/>
          <w:szCs w:val="20"/>
        </w:rPr>
        <w:t xml:space="preserve"> = criminal cases per capita, </w:t>
      </w:r>
      <w:proofErr w:type="spellStart"/>
      <w:r w:rsidRPr="001168E7">
        <w:rPr>
          <w:b/>
          <w:bCs/>
          <w:sz w:val="20"/>
          <w:szCs w:val="20"/>
        </w:rPr>
        <w:t>KM_Comm</w:t>
      </w:r>
      <w:proofErr w:type="spellEnd"/>
      <w:r w:rsidRPr="001168E7">
        <w:rPr>
          <w:b/>
          <w:bCs/>
          <w:sz w:val="20"/>
          <w:szCs w:val="20"/>
        </w:rPr>
        <w:t xml:space="preserve"> = distance to commune office, garbage = proportion of families with access to waste collection, </w:t>
      </w:r>
      <w:proofErr w:type="spellStart"/>
      <w:r w:rsidRPr="001168E7">
        <w:rPr>
          <w:b/>
          <w:bCs/>
          <w:sz w:val="20"/>
          <w:szCs w:val="20"/>
        </w:rPr>
        <w:t>dist_school</w:t>
      </w:r>
      <w:proofErr w:type="spellEnd"/>
      <w:r w:rsidRPr="001168E7">
        <w:rPr>
          <w:b/>
          <w:bCs/>
          <w:sz w:val="20"/>
          <w:szCs w:val="20"/>
        </w:rPr>
        <w:t xml:space="preserve"> = distance to nearest school, </w:t>
      </w:r>
      <w:proofErr w:type="spellStart"/>
      <w:r w:rsidRPr="001168E7">
        <w:rPr>
          <w:b/>
          <w:bCs/>
          <w:sz w:val="20"/>
          <w:szCs w:val="20"/>
        </w:rPr>
        <w:t>pig_fam</w:t>
      </w:r>
      <w:proofErr w:type="spellEnd"/>
      <w:r w:rsidRPr="001168E7">
        <w:rPr>
          <w:b/>
          <w:bCs/>
          <w:sz w:val="20"/>
          <w:szCs w:val="20"/>
        </w:rPr>
        <w:t xml:space="preserve"> = proportion of families who keep pigs, Les1_R_Land = proportion of families with no rice land, </w:t>
      </w:r>
      <w:proofErr w:type="spellStart"/>
      <w:r w:rsidRPr="001168E7">
        <w:rPr>
          <w:b/>
          <w:bCs/>
          <w:sz w:val="20"/>
          <w:szCs w:val="20"/>
        </w:rPr>
        <w:t>propSecSec</w:t>
      </w:r>
      <w:proofErr w:type="spellEnd"/>
      <w:r w:rsidRPr="001168E7">
        <w:rPr>
          <w:b/>
          <w:bCs/>
          <w:sz w:val="20"/>
          <w:szCs w:val="20"/>
        </w:rPr>
        <w:t xml:space="preserve"> = proportion of adults employed in the secondary sector, </w:t>
      </w:r>
      <w:proofErr w:type="spellStart"/>
      <w:r w:rsidRPr="001168E7">
        <w:rPr>
          <w:b/>
          <w:bCs/>
          <w:sz w:val="20"/>
          <w:szCs w:val="20"/>
        </w:rPr>
        <w:t>propPrimSec</w:t>
      </w:r>
      <w:proofErr w:type="spellEnd"/>
      <w:r w:rsidRPr="001168E7">
        <w:rPr>
          <w:b/>
          <w:bCs/>
          <w:sz w:val="20"/>
          <w:szCs w:val="20"/>
        </w:rPr>
        <w:t xml:space="preserve"> = proportion of adults employed in the primary sector, M6_24_sch = proportion of males aged 6-24 in education, </w:t>
      </w:r>
      <w:proofErr w:type="spellStart"/>
      <w:r w:rsidRPr="001168E7">
        <w:rPr>
          <w:b/>
          <w:bCs/>
          <w:sz w:val="20"/>
          <w:szCs w:val="20"/>
        </w:rPr>
        <w:t>prop_ind</w:t>
      </w:r>
      <w:proofErr w:type="spellEnd"/>
      <w:r w:rsidRPr="001168E7">
        <w:rPr>
          <w:b/>
          <w:bCs/>
          <w:sz w:val="20"/>
          <w:szCs w:val="20"/>
        </w:rPr>
        <w:t xml:space="preserve"> = proportion of the population that is indigenous, </w:t>
      </w:r>
      <w:proofErr w:type="spellStart"/>
      <w:r w:rsidRPr="001168E7">
        <w:rPr>
          <w:b/>
          <w:bCs/>
          <w:sz w:val="20"/>
          <w:szCs w:val="20"/>
        </w:rPr>
        <w:t>pop_den</w:t>
      </w:r>
      <w:proofErr w:type="spellEnd"/>
      <w:r w:rsidRPr="001168E7">
        <w:rPr>
          <w:b/>
          <w:bCs/>
          <w:sz w:val="20"/>
          <w:szCs w:val="20"/>
        </w:rPr>
        <w:t xml:space="preserve"> = population density. </w:t>
      </w:r>
    </w:p>
    <w:p w14:paraId="46D5B01E" w14:textId="550E17FE" w:rsidR="0011048D" w:rsidRDefault="0011048D" w:rsidP="0011048D">
      <w:pPr>
        <w:ind w:firstLine="720"/>
      </w:pPr>
    </w:p>
    <w:p w14:paraId="18BB3E99" w14:textId="625D2675" w:rsidR="0011048D" w:rsidRDefault="0011048D" w:rsidP="0011048D">
      <w:pPr>
        <w:ind w:firstLine="720"/>
      </w:pPr>
    </w:p>
    <w:p w14:paraId="2A993D28" w14:textId="53CBFB86" w:rsidR="0011048D" w:rsidRDefault="0011048D" w:rsidP="0011048D">
      <w:pPr>
        <w:ind w:firstLine="720"/>
      </w:pPr>
    </w:p>
    <w:p w14:paraId="537D3545" w14:textId="05717FFF" w:rsidR="0011048D" w:rsidRDefault="0011048D" w:rsidP="0011048D">
      <w:pPr>
        <w:ind w:firstLine="720"/>
      </w:pPr>
    </w:p>
    <w:p w14:paraId="6E480AA3" w14:textId="5CCD0779" w:rsidR="0011048D" w:rsidRDefault="0011048D" w:rsidP="0011048D">
      <w:pPr>
        <w:ind w:firstLine="720"/>
      </w:pPr>
    </w:p>
    <w:p w14:paraId="40A49B54" w14:textId="05E7AE5A" w:rsidR="0011048D" w:rsidRDefault="0011048D" w:rsidP="0011048D">
      <w:pPr>
        <w:ind w:firstLine="720"/>
      </w:pPr>
    </w:p>
    <w:p w14:paraId="24185517" w14:textId="0B9C7F46" w:rsidR="0011048D" w:rsidRDefault="0011048D" w:rsidP="0011048D">
      <w:pPr>
        <w:ind w:firstLine="720"/>
      </w:pPr>
      <w:r>
        <w:rPr>
          <w:noProof/>
          <w:lang w:eastAsia="en-GB"/>
        </w:rPr>
        <w:lastRenderedPageBreak/>
        <w:drawing>
          <wp:anchor distT="0" distB="0" distL="114300" distR="114300" simplePos="0" relativeHeight="251663360" behindDoc="1" locked="0" layoutInCell="1" allowOverlap="1" wp14:anchorId="1088F25A" wp14:editId="397F7722">
            <wp:simplePos x="0" y="0"/>
            <wp:positionH relativeFrom="margin">
              <wp:posOffset>-304800</wp:posOffset>
            </wp:positionH>
            <wp:positionV relativeFrom="paragraph">
              <wp:posOffset>0</wp:posOffset>
            </wp:positionV>
            <wp:extent cx="6590805" cy="4393626"/>
            <wp:effectExtent l="0" t="0" r="635" b="698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0805" cy="4393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B6A50" w14:textId="20F1B270" w:rsidR="0011048D" w:rsidRPr="0011048D" w:rsidRDefault="0011048D" w:rsidP="0011048D"/>
    <w:p w14:paraId="735727CF" w14:textId="719F2815" w:rsidR="0011048D" w:rsidRPr="0011048D" w:rsidRDefault="0011048D" w:rsidP="0011048D"/>
    <w:p w14:paraId="01D19F73" w14:textId="61DEAEF4" w:rsidR="0011048D" w:rsidRPr="0011048D" w:rsidRDefault="0011048D" w:rsidP="0011048D"/>
    <w:p w14:paraId="36EABEFB" w14:textId="66AD62B9" w:rsidR="0011048D" w:rsidRPr="0011048D" w:rsidRDefault="0011048D" w:rsidP="0011048D"/>
    <w:p w14:paraId="24B12E3F" w14:textId="3C47F4F6" w:rsidR="0011048D" w:rsidRPr="0011048D" w:rsidRDefault="0011048D" w:rsidP="0011048D"/>
    <w:p w14:paraId="2F8D658C" w14:textId="5E7D8014" w:rsidR="0011048D" w:rsidRPr="0011048D" w:rsidRDefault="0011048D" w:rsidP="0011048D"/>
    <w:p w14:paraId="0FA75F67" w14:textId="2303A79F" w:rsidR="0011048D" w:rsidRPr="0011048D" w:rsidRDefault="0011048D" w:rsidP="0011048D"/>
    <w:p w14:paraId="5E4230E3" w14:textId="2C5A6229" w:rsidR="0011048D" w:rsidRPr="0011048D" w:rsidRDefault="0011048D" w:rsidP="0011048D"/>
    <w:p w14:paraId="227495BD" w14:textId="6DA13B24" w:rsidR="0011048D" w:rsidRPr="0011048D" w:rsidRDefault="0011048D" w:rsidP="0011048D"/>
    <w:p w14:paraId="5D66B8DB" w14:textId="48CE8F3C" w:rsidR="0011048D" w:rsidRPr="0011048D" w:rsidRDefault="0011048D" w:rsidP="0011048D"/>
    <w:p w14:paraId="3759DD4B" w14:textId="0D8B60B0" w:rsidR="0011048D" w:rsidRPr="0011048D" w:rsidRDefault="0011048D" w:rsidP="0011048D"/>
    <w:p w14:paraId="3708FCA1" w14:textId="6ED08B45" w:rsidR="0011048D" w:rsidRPr="0011048D" w:rsidRDefault="0011048D" w:rsidP="0011048D"/>
    <w:p w14:paraId="517BCDA7" w14:textId="158D559D" w:rsidR="0011048D" w:rsidRPr="0011048D" w:rsidRDefault="0011048D" w:rsidP="0011048D"/>
    <w:p w14:paraId="6A1A289F" w14:textId="08954BA2" w:rsidR="0011048D" w:rsidRPr="0011048D" w:rsidRDefault="0011048D" w:rsidP="0011048D"/>
    <w:p w14:paraId="62834098" w14:textId="6051F0A4" w:rsidR="0011048D" w:rsidRDefault="0011048D" w:rsidP="0011048D"/>
    <w:p w14:paraId="37AD5DE9" w14:textId="77777777" w:rsidR="0011048D" w:rsidRDefault="0011048D" w:rsidP="0011048D">
      <w:pPr>
        <w:tabs>
          <w:tab w:val="left" w:pos="936"/>
        </w:tabs>
        <w:rPr>
          <w:sz w:val="20"/>
          <w:szCs w:val="20"/>
        </w:rPr>
      </w:pPr>
      <w:commentRangeStart w:id="2"/>
      <w:r w:rsidRPr="004874EB">
        <w:rPr>
          <w:b/>
          <w:bCs/>
          <w:sz w:val="20"/>
          <w:szCs w:val="20"/>
        </w:rPr>
        <w:t>Figure 1</w:t>
      </w:r>
      <w:r>
        <w:rPr>
          <w:b/>
          <w:bCs/>
          <w:sz w:val="20"/>
          <w:szCs w:val="20"/>
        </w:rPr>
        <w:t>2</w:t>
      </w:r>
      <w:r w:rsidRPr="004874EB">
        <w:rPr>
          <w:b/>
          <w:bCs/>
          <w:sz w:val="20"/>
          <w:szCs w:val="20"/>
        </w:rPr>
        <w:t xml:space="preserve">. </w:t>
      </w:r>
      <w:commentRangeEnd w:id="2"/>
      <w:r w:rsidR="00C73044">
        <w:rPr>
          <w:rStyle w:val="CommentReference"/>
        </w:rPr>
        <w:commentReference w:id="2"/>
      </w:r>
      <w:r w:rsidRPr="004874EB">
        <w:rPr>
          <w:b/>
          <w:bCs/>
          <w:sz w:val="20"/>
          <w:szCs w:val="20"/>
        </w:rPr>
        <w:t xml:space="preserve">Boxplots showing the distribution of environmental variables for each cluster: </w:t>
      </w:r>
      <w:r w:rsidRPr="004874EB">
        <w:rPr>
          <w:b/>
          <w:bCs/>
          <w:i/>
          <w:iCs/>
          <w:sz w:val="20"/>
          <w:szCs w:val="20"/>
        </w:rPr>
        <w:t>a</w:t>
      </w:r>
      <w:r w:rsidRPr="004874EB">
        <w:rPr>
          <w:b/>
          <w:bCs/>
          <w:sz w:val="20"/>
          <w:szCs w:val="20"/>
        </w:rPr>
        <w:t xml:space="preserve"> = mean forest area, </w:t>
      </w:r>
      <w:r w:rsidRPr="004874EB">
        <w:rPr>
          <w:b/>
          <w:bCs/>
          <w:i/>
          <w:iCs/>
          <w:sz w:val="20"/>
          <w:szCs w:val="20"/>
        </w:rPr>
        <w:t xml:space="preserve">b </w:t>
      </w:r>
      <w:r w:rsidRPr="004874EB">
        <w:rPr>
          <w:b/>
          <w:bCs/>
          <w:sz w:val="20"/>
          <w:szCs w:val="20"/>
        </w:rPr>
        <w:t>= mean area (km</w:t>
      </w:r>
      <w:r w:rsidRPr="004874EB">
        <w:rPr>
          <w:b/>
          <w:bCs/>
          <w:sz w:val="20"/>
          <w:szCs w:val="20"/>
          <w:vertAlign w:val="superscript"/>
        </w:rPr>
        <w:t>2</w:t>
      </w:r>
      <w:r w:rsidRPr="004874EB">
        <w:rPr>
          <w:b/>
          <w:bCs/>
          <w:sz w:val="20"/>
          <w:szCs w:val="20"/>
        </w:rPr>
        <w:t>),</w:t>
      </w:r>
      <w:r w:rsidRPr="004874EB">
        <w:rPr>
          <w:b/>
          <w:bCs/>
          <w:i/>
          <w:iCs/>
          <w:sz w:val="20"/>
          <w:szCs w:val="20"/>
        </w:rPr>
        <w:t xml:space="preserve"> c </w:t>
      </w:r>
      <w:r w:rsidRPr="004874EB">
        <w:rPr>
          <w:b/>
          <w:bCs/>
          <w:sz w:val="20"/>
          <w:szCs w:val="20"/>
        </w:rPr>
        <w:t xml:space="preserve">= change in forest cover (between 2007-2012), </w:t>
      </w:r>
      <w:r w:rsidRPr="004874EB">
        <w:rPr>
          <w:b/>
          <w:bCs/>
          <w:i/>
          <w:iCs/>
          <w:sz w:val="20"/>
          <w:szCs w:val="20"/>
        </w:rPr>
        <w:t>d</w:t>
      </w:r>
      <w:r w:rsidRPr="004874EB">
        <w:rPr>
          <w:b/>
          <w:bCs/>
          <w:sz w:val="20"/>
          <w:szCs w:val="20"/>
        </w:rPr>
        <w:t xml:space="preserve"> = mean elevation (</w:t>
      </w:r>
      <w:proofErr w:type="spellStart"/>
      <w:r w:rsidRPr="004874EB">
        <w:rPr>
          <w:b/>
          <w:bCs/>
          <w:sz w:val="20"/>
          <w:szCs w:val="20"/>
        </w:rPr>
        <w:t>masl</w:t>
      </w:r>
      <w:proofErr w:type="spellEnd"/>
      <w:r w:rsidRPr="004874EB">
        <w:rPr>
          <w:b/>
          <w:bCs/>
          <w:sz w:val="20"/>
          <w:szCs w:val="20"/>
        </w:rPr>
        <w:t xml:space="preserve">), </w:t>
      </w:r>
      <w:r w:rsidRPr="004874EB">
        <w:rPr>
          <w:b/>
          <w:bCs/>
          <w:i/>
          <w:iCs/>
          <w:sz w:val="20"/>
          <w:szCs w:val="20"/>
        </w:rPr>
        <w:t>e</w:t>
      </w:r>
      <w:r w:rsidRPr="004874EB">
        <w:rPr>
          <w:b/>
          <w:bCs/>
          <w:sz w:val="20"/>
          <w:szCs w:val="20"/>
        </w:rPr>
        <w:t xml:space="preserve"> = mean distance to international border, </w:t>
      </w:r>
      <w:r w:rsidRPr="004874EB">
        <w:rPr>
          <w:b/>
          <w:bCs/>
          <w:i/>
          <w:iCs/>
          <w:sz w:val="20"/>
          <w:szCs w:val="20"/>
        </w:rPr>
        <w:t>f</w:t>
      </w:r>
      <w:r w:rsidRPr="004874EB">
        <w:rPr>
          <w:b/>
          <w:bCs/>
          <w:sz w:val="20"/>
          <w:szCs w:val="20"/>
        </w:rPr>
        <w:t xml:space="preserve"> = mean distance to a provincial capital.  Boxplots show the median (centre line within boxes), 25 and 75% percentiles (box edges), and minimum and maximum values (upper and lower whiskers, not exceeding 1.5 </w:t>
      </w:r>
      <w:r w:rsidRPr="004874EB">
        <w:rPr>
          <w:rFonts w:cstheme="minorHAnsi"/>
          <w:b/>
          <w:bCs/>
          <w:sz w:val="20"/>
          <w:szCs w:val="20"/>
        </w:rPr>
        <w:t>×</w:t>
      </w:r>
      <w:r w:rsidRPr="004874EB">
        <w:rPr>
          <w:b/>
          <w:bCs/>
          <w:sz w:val="20"/>
          <w:szCs w:val="20"/>
        </w:rPr>
        <w:t xml:space="preserve"> interquartile range). 5 UPGMA clusters.</w:t>
      </w:r>
      <w:r w:rsidRPr="004874EB">
        <w:rPr>
          <w:sz w:val="20"/>
          <w:szCs w:val="20"/>
        </w:rPr>
        <w:tab/>
      </w:r>
    </w:p>
    <w:p w14:paraId="12AB6738" w14:textId="77777777" w:rsidR="0011048D" w:rsidRDefault="0011048D" w:rsidP="0011048D">
      <w:pPr>
        <w:sectPr w:rsidR="0011048D" w:rsidSect="00D6664E">
          <w:pgSz w:w="11906" w:h="16838"/>
          <w:pgMar w:top="1440" w:right="1440" w:bottom="1440" w:left="1440" w:header="708" w:footer="708" w:gutter="0"/>
          <w:cols w:space="708"/>
          <w:docGrid w:linePitch="360"/>
        </w:sectPr>
      </w:pPr>
    </w:p>
    <w:p w14:paraId="54A389DD" w14:textId="77777777" w:rsidR="0011048D" w:rsidRPr="00A168E5" w:rsidRDefault="0011048D" w:rsidP="0011048D">
      <w:pPr>
        <w:tabs>
          <w:tab w:val="left" w:pos="936"/>
        </w:tabs>
        <w:rPr>
          <w:b/>
          <w:bCs/>
          <w:sz w:val="20"/>
          <w:szCs w:val="20"/>
        </w:rPr>
      </w:pPr>
      <w:r w:rsidRPr="00A168E5">
        <w:rPr>
          <w:b/>
          <w:bCs/>
          <w:sz w:val="20"/>
          <w:szCs w:val="20"/>
        </w:rPr>
        <w:lastRenderedPageBreak/>
        <w:t xml:space="preserve">Table 5. Descriptive typology of the provinces and clusters within Cambodia, clustered using socioeconomic variables and the unweighted pair group using arithmetic </w:t>
      </w:r>
      <w:r>
        <w:rPr>
          <w:b/>
          <w:bCs/>
          <w:sz w:val="20"/>
          <w:szCs w:val="20"/>
        </w:rPr>
        <w:t>mean (UPGMA)</w:t>
      </w:r>
    </w:p>
    <w:tbl>
      <w:tblPr>
        <w:tblStyle w:val="TableGrid"/>
        <w:tblW w:w="14029" w:type="dxa"/>
        <w:tblLook w:val="04A0" w:firstRow="1" w:lastRow="0" w:firstColumn="1" w:lastColumn="0" w:noHBand="0" w:noVBand="1"/>
      </w:tblPr>
      <w:tblGrid>
        <w:gridCol w:w="1413"/>
        <w:gridCol w:w="3402"/>
        <w:gridCol w:w="9214"/>
      </w:tblGrid>
      <w:tr w:rsidR="0011048D" w:rsidRPr="00634903" w14:paraId="65C3AED4" w14:textId="77777777" w:rsidTr="001A26A3">
        <w:tc>
          <w:tcPr>
            <w:tcW w:w="1413" w:type="dxa"/>
          </w:tcPr>
          <w:p w14:paraId="20ECB7CE" w14:textId="77777777" w:rsidR="0011048D" w:rsidRPr="00634903" w:rsidRDefault="0011048D" w:rsidP="001A26A3">
            <w:pPr>
              <w:rPr>
                <w:b/>
                <w:bCs/>
                <w:sz w:val="20"/>
                <w:szCs w:val="20"/>
              </w:rPr>
            </w:pPr>
            <w:r w:rsidRPr="00634903">
              <w:rPr>
                <w:b/>
                <w:bCs/>
                <w:sz w:val="20"/>
                <w:szCs w:val="20"/>
              </w:rPr>
              <w:t>UPGMA cluster</w:t>
            </w:r>
          </w:p>
        </w:tc>
        <w:tc>
          <w:tcPr>
            <w:tcW w:w="3402" w:type="dxa"/>
          </w:tcPr>
          <w:p w14:paraId="34542F7B" w14:textId="77777777" w:rsidR="0011048D" w:rsidRPr="00634903" w:rsidRDefault="0011048D" w:rsidP="001A26A3">
            <w:pPr>
              <w:rPr>
                <w:b/>
                <w:bCs/>
                <w:sz w:val="20"/>
                <w:szCs w:val="20"/>
              </w:rPr>
            </w:pPr>
            <w:r w:rsidRPr="00634903">
              <w:rPr>
                <w:b/>
                <w:bCs/>
                <w:sz w:val="20"/>
                <w:szCs w:val="20"/>
              </w:rPr>
              <w:t>Provinces</w:t>
            </w:r>
          </w:p>
        </w:tc>
        <w:tc>
          <w:tcPr>
            <w:tcW w:w="9214" w:type="dxa"/>
          </w:tcPr>
          <w:p w14:paraId="1CAE4CC4" w14:textId="77777777" w:rsidR="0011048D" w:rsidRPr="00634903" w:rsidRDefault="0011048D" w:rsidP="001A26A3">
            <w:pPr>
              <w:rPr>
                <w:b/>
                <w:bCs/>
                <w:sz w:val="20"/>
                <w:szCs w:val="20"/>
              </w:rPr>
            </w:pPr>
            <w:r w:rsidRPr="00634903">
              <w:rPr>
                <w:b/>
                <w:bCs/>
                <w:sz w:val="20"/>
                <w:szCs w:val="20"/>
              </w:rPr>
              <w:t>Description</w:t>
            </w:r>
          </w:p>
        </w:tc>
      </w:tr>
      <w:tr w:rsidR="0011048D" w:rsidRPr="00634903" w14:paraId="7A5F9B7D" w14:textId="77777777" w:rsidTr="001A26A3">
        <w:tc>
          <w:tcPr>
            <w:tcW w:w="1413" w:type="dxa"/>
          </w:tcPr>
          <w:p w14:paraId="1F16DAA0" w14:textId="77777777" w:rsidR="0011048D" w:rsidRPr="00634903" w:rsidRDefault="0011048D" w:rsidP="001A26A3">
            <w:pPr>
              <w:rPr>
                <w:sz w:val="20"/>
                <w:szCs w:val="20"/>
              </w:rPr>
            </w:pPr>
            <w:r w:rsidRPr="00634903">
              <w:rPr>
                <w:sz w:val="20"/>
                <w:szCs w:val="20"/>
              </w:rPr>
              <w:t>1</w:t>
            </w:r>
          </w:p>
        </w:tc>
        <w:tc>
          <w:tcPr>
            <w:tcW w:w="3402" w:type="dxa"/>
          </w:tcPr>
          <w:p w14:paraId="4ACDFD46" w14:textId="77777777" w:rsidR="0011048D" w:rsidRPr="00634903" w:rsidRDefault="0011048D" w:rsidP="001A26A3">
            <w:pPr>
              <w:rPr>
                <w:sz w:val="20"/>
                <w:szCs w:val="20"/>
              </w:rPr>
            </w:pPr>
            <w:proofErr w:type="spellStart"/>
            <w:r w:rsidRPr="00634903">
              <w:rPr>
                <w:sz w:val="20"/>
                <w:szCs w:val="20"/>
              </w:rPr>
              <w:t>Mondulkiri</w:t>
            </w:r>
            <w:proofErr w:type="spellEnd"/>
            <w:r w:rsidRPr="00634903">
              <w:rPr>
                <w:sz w:val="20"/>
                <w:szCs w:val="20"/>
              </w:rPr>
              <w:t xml:space="preserve">, </w:t>
            </w:r>
            <w:proofErr w:type="spellStart"/>
            <w:r w:rsidRPr="00634903">
              <w:rPr>
                <w:sz w:val="20"/>
                <w:szCs w:val="20"/>
              </w:rPr>
              <w:t>Ratanikiri</w:t>
            </w:r>
            <w:proofErr w:type="spellEnd"/>
          </w:p>
        </w:tc>
        <w:tc>
          <w:tcPr>
            <w:tcW w:w="9214" w:type="dxa"/>
          </w:tcPr>
          <w:p w14:paraId="5B7A3567" w14:textId="77777777" w:rsidR="0011048D" w:rsidRPr="00634903" w:rsidRDefault="0011048D" w:rsidP="001A26A3">
            <w:pPr>
              <w:rPr>
                <w:sz w:val="20"/>
                <w:szCs w:val="20"/>
              </w:rPr>
            </w:pPr>
            <w:r w:rsidRPr="00634903">
              <w:rPr>
                <w:sz w:val="20"/>
                <w:szCs w:val="20"/>
              </w:rPr>
              <w:t>Very large provinces with very high elevations. Very low population density, and very high proportion of indigenous people. Very low education levels, very high proportion of primary sector workers and very low proportion of secondary sector workers. Economic security provided by rural livelihoods - few people have no farmland and livestock ownership is common. Very low access to services, high crime per capita, low land conflict, and very low migration levels.</w:t>
            </w:r>
          </w:p>
        </w:tc>
      </w:tr>
      <w:tr w:rsidR="0011048D" w:rsidRPr="00634903" w14:paraId="06B63B9A" w14:textId="77777777" w:rsidTr="001A26A3">
        <w:tc>
          <w:tcPr>
            <w:tcW w:w="1413" w:type="dxa"/>
          </w:tcPr>
          <w:p w14:paraId="40DCF9E7" w14:textId="77777777" w:rsidR="0011048D" w:rsidRPr="00634903" w:rsidRDefault="0011048D" w:rsidP="001A26A3">
            <w:pPr>
              <w:rPr>
                <w:sz w:val="20"/>
                <w:szCs w:val="20"/>
              </w:rPr>
            </w:pPr>
            <w:r w:rsidRPr="00634903">
              <w:rPr>
                <w:sz w:val="20"/>
                <w:szCs w:val="20"/>
              </w:rPr>
              <w:t>2</w:t>
            </w:r>
          </w:p>
        </w:tc>
        <w:tc>
          <w:tcPr>
            <w:tcW w:w="3402" w:type="dxa"/>
          </w:tcPr>
          <w:p w14:paraId="786BF78B" w14:textId="77777777" w:rsidR="0011048D" w:rsidRPr="00634903" w:rsidRDefault="0011048D" w:rsidP="001A26A3">
            <w:pPr>
              <w:rPr>
                <w:sz w:val="20"/>
                <w:szCs w:val="20"/>
              </w:rPr>
            </w:pPr>
            <w:proofErr w:type="spellStart"/>
            <w:r w:rsidRPr="00634903">
              <w:rPr>
                <w:sz w:val="20"/>
                <w:szCs w:val="20"/>
              </w:rPr>
              <w:t>Pailin</w:t>
            </w:r>
            <w:proofErr w:type="spellEnd"/>
          </w:p>
        </w:tc>
        <w:tc>
          <w:tcPr>
            <w:tcW w:w="9214" w:type="dxa"/>
          </w:tcPr>
          <w:p w14:paraId="61048D86" w14:textId="77777777" w:rsidR="0011048D" w:rsidRPr="00634903" w:rsidRDefault="0011048D" w:rsidP="001A26A3">
            <w:pPr>
              <w:rPr>
                <w:sz w:val="20"/>
                <w:szCs w:val="20"/>
              </w:rPr>
            </w:pPr>
            <w:r w:rsidRPr="00634903">
              <w:rPr>
                <w:sz w:val="20"/>
                <w:szCs w:val="20"/>
              </w:rPr>
              <w:t>Very small province with very high elevations. Low population density and low proportion of indigenous people. Low levels of education, low proportion of people in the primary sector but higher proportion of people in the secondary sector. Very few people with no farmland, but very little livestock ownership. High access to services and high crime per capita. Low land conflict and low migration.</w:t>
            </w:r>
          </w:p>
        </w:tc>
      </w:tr>
      <w:tr w:rsidR="0011048D" w:rsidRPr="00634903" w14:paraId="00728C2D" w14:textId="77777777" w:rsidTr="001A26A3">
        <w:tc>
          <w:tcPr>
            <w:tcW w:w="1413" w:type="dxa"/>
          </w:tcPr>
          <w:p w14:paraId="18194855" w14:textId="77777777" w:rsidR="0011048D" w:rsidRPr="00634903" w:rsidRDefault="0011048D" w:rsidP="001A26A3">
            <w:pPr>
              <w:rPr>
                <w:sz w:val="20"/>
                <w:szCs w:val="20"/>
              </w:rPr>
            </w:pPr>
            <w:r w:rsidRPr="00634903">
              <w:rPr>
                <w:sz w:val="20"/>
                <w:szCs w:val="20"/>
              </w:rPr>
              <w:t>3</w:t>
            </w:r>
          </w:p>
        </w:tc>
        <w:tc>
          <w:tcPr>
            <w:tcW w:w="3402" w:type="dxa"/>
          </w:tcPr>
          <w:p w14:paraId="1CF8A000" w14:textId="77777777" w:rsidR="0011048D" w:rsidRPr="00634903" w:rsidRDefault="0011048D" w:rsidP="001A26A3">
            <w:pPr>
              <w:rPr>
                <w:sz w:val="20"/>
                <w:szCs w:val="20"/>
              </w:rPr>
            </w:pPr>
            <w:r w:rsidRPr="00634903">
              <w:rPr>
                <w:sz w:val="20"/>
                <w:szCs w:val="20"/>
              </w:rPr>
              <w:t>Kampong Cham, Kandal, Prey Veng, Takeo</w:t>
            </w:r>
          </w:p>
        </w:tc>
        <w:tc>
          <w:tcPr>
            <w:tcW w:w="9214" w:type="dxa"/>
          </w:tcPr>
          <w:p w14:paraId="091EDF8B" w14:textId="77777777" w:rsidR="0011048D" w:rsidRPr="00634903" w:rsidRDefault="0011048D" w:rsidP="001A26A3">
            <w:pPr>
              <w:rPr>
                <w:sz w:val="20"/>
                <w:szCs w:val="20"/>
              </w:rPr>
            </w:pPr>
            <w:r w:rsidRPr="00634903">
              <w:rPr>
                <w:sz w:val="20"/>
                <w:szCs w:val="20"/>
              </w:rPr>
              <w:t>Small provinces with very low elevations. Very high population density and high proportion of indigenous people. Very high levels of education, high proportion of people in the primary sector, but very high proportion of people in the secondary sector. High proportion of people with no farmland, but high levels of livestock ownership. High access to services and low crime per capita. But very high migration levels and very high rates of land conflict.</w:t>
            </w:r>
          </w:p>
        </w:tc>
      </w:tr>
      <w:tr w:rsidR="0011048D" w:rsidRPr="00634903" w14:paraId="3327351A" w14:textId="77777777" w:rsidTr="001A26A3">
        <w:tc>
          <w:tcPr>
            <w:tcW w:w="1413" w:type="dxa"/>
          </w:tcPr>
          <w:p w14:paraId="4578420F" w14:textId="77777777" w:rsidR="0011048D" w:rsidRPr="00634903" w:rsidRDefault="0011048D" w:rsidP="001A26A3">
            <w:pPr>
              <w:rPr>
                <w:sz w:val="20"/>
                <w:szCs w:val="20"/>
              </w:rPr>
            </w:pPr>
            <w:r w:rsidRPr="00634903">
              <w:rPr>
                <w:sz w:val="20"/>
                <w:szCs w:val="20"/>
              </w:rPr>
              <w:t>4</w:t>
            </w:r>
          </w:p>
        </w:tc>
        <w:tc>
          <w:tcPr>
            <w:tcW w:w="3402" w:type="dxa"/>
          </w:tcPr>
          <w:p w14:paraId="318B1DA1" w14:textId="77777777" w:rsidR="0011048D" w:rsidRPr="00634903" w:rsidRDefault="0011048D" w:rsidP="001A26A3">
            <w:pPr>
              <w:rPr>
                <w:sz w:val="20"/>
                <w:szCs w:val="20"/>
              </w:rPr>
            </w:pPr>
            <w:r w:rsidRPr="00634903">
              <w:rPr>
                <w:sz w:val="20"/>
                <w:szCs w:val="20"/>
              </w:rPr>
              <w:t>Banteay Meanchey, Battambang</w:t>
            </w:r>
          </w:p>
        </w:tc>
        <w:tc>
          <w:tcPr>
            <w:tcW w:w="9214" w:type="dxa"/>
          </w:tcPr>
          <w:p w14:paraId="40FC892C" w14:textId="77777777" w:rsidR="0011048D" w:rsidRPr="00634903" w:rsidRDefault="0011048D" w:rsidP="001A26A3">
            <w:pPr>
              <w:rPr>
                <w:sz w:val="20"/>
                <w:szCs w:val="20"/>
              </w:rPr>
            </w:pPr>
            <w:r w:rsidRPr="00634903">
              <w:rPr>
                <w:sz w:val="20"/>
                <w:szCs w:val="20"/>
              </w:rPr>
              <w:t>Large provinces with low elevations. Very high population density and very low proportion of indigenous people. Very high levels of education, and relatively low proportion of workers in the primary and secondary sectors (suggesting higher proportions in the other sectors e.g., tertiary). High proportion of people with no farmland, and low levels of livestock ownership (suggesting very urban).  Low access to services, but this may be explained by the mean size of the provinces in this cluster (there is high access to garbage collection). Low crime per capita, but very high migration and very high rates of land conflict</w:t>
            </w:r>
          </w:p>
        </w:tc>
      </w:tr>
      <w:tr w:rsidR="0011048D" w:rsidRPr="00634903" w14:paraId="1DD3B37A" w14:textId="77777777" w:rsidTr="001A26A3">
        <w:tc>
          <w:tcPr>
            <w:tcW w:w="1413" w:type="dxa"/>
          </w:tcPr>
          <w:p w14:paraId="022CF14E" w14:textId="77777777" w:rsidR="0011048D" w:rsidRPr="00634903" w:rsidRDefault="0011048D" w:rsidP="001A26A3">
            <w:pPr>
              <w:rPr>
                <w:sz w:val="20"/>
                <w:szCs w:val="20"/>
              </w:rPr>
            </w:pPr>
            <w:r w:rsidRPr="00634903">
              <w:rPr>
                <w:sz w:val="20"/>
                <w:szCs w:val="20"/>
              </w:rPr>
              <w:t>5</w:t>
            </w:r>
          </w:p>
        </w:tc>
        <w:tc>
          <w:tcPr>
            <w:tcW w:w="3402" w:type="dxa"/>
          </w:tcPr>
          <w:p w14:paraId="1131DC0F" w14:textId="77777777" w:rsidR="0011048D" w:rsidRPr="00634903" w:rsidRDefault="0011048D" w:rsidP="001A26A3">
            <w:pPr>
              <w:rPr>
                <w:sz w:val="20"/>
                <w:szCs w:val="20"/>
              </w:rPr>
            </w:pPr>
            <w:r w:rsidRPr="00634903">
              <w:rPr>
                <w:sz w:val="20"/>
                <w:szCs w:val="20"/>
              </w:rPr>
              <w:t xml:space="preserve">Kampong Chhnang, Kampong </w:t>
            </w:r>
            <w:proofErr w:type="spellStart"/>
            <w:r w:rsidRPr="00634903">
              <w:rPr>
                <w:sz w:val="20"/>
                <w:szCs w:val="20"/>
              </w:rPr>
              <w:t>Speu</w:t>
            </w:r>
            <w:proofErr w:type="spellEnd"/>
            <w:r w:rsidRPr="00634903">
              <w:rPr>
                <w:sz w:val="20"/>
                <w:szCs w:val="20"/>
              </w:rPr>
              <w:t xml:space="preserve">, Kampong Thom, </w:t>
            </w:r>
            <w:proofErr w:type="spellStart"/>
            <w:r w:rsidRPr="00634903">
              <w:rPr>
                <w:sz w:val="20"/>
                <w:szCs w:val="20"/>
              </w:rPr>
              <w:t>Kampot</w:t>
            </w:r>
            <w:proofErr w:type="spellEnd"/>
            <w:r w:rsidRPr="00634903">
              <w:rPr>
                <w:sz w:val="20"/>
                <w:szCs w:val="20"/>
              </w:rPr>
              <w:t xml:space="preserve">, </w:t>
            </w:r>
            <w:proofErr w:type="spellStart"/>
            <w:r w:rsidRPr="00634903">
              <w:rPr>
                <w:sz w:val="20"/>
                <w:szCs w:val="20"/>
              </w:rPr>
              <w:t>Kep</w:t>
            </w:r>
            <w:proofErr w:type="spellEnd"/>
            <w:r w:rsidRPr="00634903">
              <w:rPr>
                <w:sz w:val="20"/>
                <w:szCs w:val="20"/>
              </w:rPr>
              <w:t xml:space="preserve">, Koh Kong, </w:t>
            </w:r>
            <w:proofErr w:type="spellStart"/>
            <w:r w:rsidRPr="00634903">
              <w:rPr>
                <w:sz w:val="20"/>
                <w:szCs w:val="20"/>
              </w:rPr>
              <w:t>Kracheh</w:t>
            </w:r>
            <w:proofErr w:type="spellEnd"/>
            <w:r w:rsidRPr="00634903">
              <w:rPr>
                <w:sz w:val="20"/>
                <w:szCs w:val="20"/>
              </w:rPr>
              <w:t xml:space="preserve">, </w:t>
            </w:r>
            <w:proofErr w:type="spellStart"/>
            <w:r w:rsidRPr="00634903">
              <w:rPr>
                <w:sz w:val="20"/>
                <w:szCs w:val="20"/>
              </w:rPr>
              <w:t>Otdar</w:t>
            </w:r>
            <w:proofErr w:type="spellEnd"/>
            <w:r w:rsidRPr="00634903">
              <w:rPr>
                <w:sz w:val="20"/>
                <w:szCs w:val="20"/>
              </w:rPr>
              <w:t xml:space="preserve"> Meanchey, Preah Sihanouk, Preah </w:t>
            </w:r>
            <w:proofErr w:type="spellStart"/>
            <w:r w:rsidRPr="00634903">
              <w:rPr>
                <w:sz w:val="20"/>
                <w:szCs w:val="20"/>
              </w:rPr>
              <w:t>Vihear</w:t>
            </w:r>
            <w:proofErr w:type="spellEnd"/>
            <w:r w:rsidRPr="00634903">
              <w:rPr>
                <w:sz w:val="20"/>
                <w:szCs w:val="20"/>
              </w:rPr>
              <w:t xml:space="preserve">, </w:t>
            </w:r>
            <w:proofErr w:type="spellStart"/>
            <w:r w:rsidRPr="00634903">
              <w:rPr>
                <w:sz w:val="20"/>
                <w:szCs w:val="20"/>
              </w:rPr>
              <w:t>Pursat</w:t>
            </w:r>
            <w:proofErr w:type="spellEnd"/>
            <w:r w:rsidRPr="00634903">
              <w:rPr>
                <w:sz w:val="20"/>
                <w:szCs w:val="20"/>
              </w:rPr>
              <w:t xml:space="preserve">, </w:t>
            </w:r>
            <w:proofErr w:type="spellStart"/>
            <w:r w:rsidRPr="00634903">
              <w:rPr>
                <w:sz w:val="20"/>
                <w:szCs w:val="20"/>
              </w:rPr>
              <w:t>Siem</w:t>
            </w:r>
            <w:proofErr w:type="spellEnd"/>
            <w:r w:rsidRPr="00634903">
              <w:rPr>
                <w:sz w:val="20"/>
                <w:szCs w:val="20"/>
              </w:rPr>
              <w:t xml:space="preserve"> Reap, Stung </w:t>
            </w:r>
            <w:proofErr w:type="spellStart"/>
            <w:r w:rsidRPr="00634903">
              <w:rPr>
                <w:sz w:val="20"/>
                <w:szCs w:val="20"/>
              </w:rPr>
              <w:t>Treng</w:t>
            </w:r>
            <w:proofErr w:type="spellEnd"/>
            <w:r w:rsidRPr="00634903">
              <w:rPr>
                <w:sz w:val="20"/>
                <w:szCs w:val="20"/>
              </w:rPr>
              <w:t xml:space="preserve">, </w:t>
            </w:r>
            <w:proofErr w:type="spellStart"/>
            <w:r w:rsidRPr="00634903">
              <w:rPr>
                <w:sz w:val="20"/>
                <w:szCs w:val="20"/>
              </w:rPr>
              <w:t>Svay</w:t>
            </w:r>
            <w:proofErr w:type="spellEnd"/>
            <w:r w:rsidRPr="00634903">
              <w:rPr>
                <w:sz w:val="20"/>
                <w:szCs w:val="20"/>
              </w:rPr>
              <w:t xml:space="preserve"> </w:t>
            </w:r>
            <w:proofErr w:type="spellStart"/>
            <w:r w:rsidRPr="00634903">
              <w:rPr>
                <w:sz w:val="20"/>
                <w:szCs w:val="20"/>
              </w:rPr>
              <w:t>Rieng</w:t>
            </w:r>
            <w:proofErr w:type="spellEnd"/>
          </w:p>
        </w:tc>
        <w:tc>
          <w:tcPr>
            <w:tcW w:w="9214" w:type="dxa"/>
          </w:tcPr>
          <w:p w14:paraId="40D3F10F" w14:textId="77777777" w:rsidR="0011048D" w:rsidRPr="00634903" w:rsidRDefault="0011048D" w:rsidP="001A26A3">
            <w:pPr>
              <w:rPr>
                <w:sz w:val="20"/>
                <w:szCs w:val="20"/>
              </w:rPr>
            </w:pPr>
            <w:r w:rsidRPr="00634903">
              <w:rPr>
                <w:sz w:val="20"/>
                <w:szCs w:val="20"/>
              </w:rPr>
              <w:t>Large provinces with high elevations. High population density and very high proportion of indigenous people. High levels of education, and a high proportion of workers in both primary and secondary sectors. Very high proportion of people with no farmland, but also very high proportion of people with livestock. Low access to services (although very high access to garbage collection) - this may be an artefact of the very large mean area of the provinces in this cluster. Very high crime rates, very high migration, and very high rates of land conflict.</w:t>
            </w:r>
          </w:p>
        </w:tc>
      </w:tr>
    </w:tbl>
    <w:p w14:paraId="10AE6EBC" w14:textId="77777777" w:rsidR="0011048D" w:rsidRDefault="0011048D" w:rsidP="0011048D"/>
    <w:p w14:paraId="5543745F" w14:textId="77777777" w:rsidR="0011048D" w:rsidRDefault="0011048D" w:rsidP="0011048D">
      <w:pPr>
        <w:tabs>
          <w:tab w:val="left" w:pos="924"/>
        </w:tabs>
        <w:sectPr w:rsidR="0011048D" w:rsidSect="005244E7">
          <w:pgSz w:w="16838" w:h="11906" w:orient="landscape"/>
          <w:pgMar w:top="1440" w:right="1440" w:bottom="1440" w:left="1440" w:header="708" w:footer="708" w:gutter="0"/>
          <w:cols w:space="708"/>
          <w:docGrid w:linePitch="360"/>
        </w:sectPr>
      </w:pPr>
      <w:r>
        <w:tab/>
      </w:r>
    </w:p>
    <w:p w14:paraId="7F053F0B" w14:textId="4A0FA540" w:rsidR="0011048D" w:rsidRDefault="0011048D" w:rsidP="0011048D">
      <w:pPr>
        <w:tabs>
          <w:tab w:val="left" w:pos="924"/>
        </w:tabs>
      </w:pPr>
    </w:p>
    <w:p w14:paraId="5D991FCB" w14:textId="075080A9" w:rsidR="0011048D" w:rsidRPr="0011048D" w:rsidRDefault="0011048D" w:rsidP="0011048D">
      <w:pPr>
        <w:tabs>
          <w:tab w:val="left" w:pos="924"/>
        </w:tabs>
        <w:sectPr w:rsidR="0011048D" w:rsidRPr="0011048D" w:rsidSect="0011048D">
          <w:pgSz w:w="11906" w:h="16838"/>
          <w:pgMar w:top="1440" w:right="1440" w:bottom="1440" w:left="1440" w:header="708" w:footer="708" w:gutter="0"/>
          <w:cols w:space="708"/>
          <w:docGrid w:linePitch="360"/>
        </w:sectPr>
      </w:pPr>
      <w:r>
        <w:tab/>
      </w:r>
    </w:p>
    <w:p w14:paraId="4289B339" w14:textId="7B414971" w:rsidR="0011048D" w:rsidRPr="0011048D" w:rsidRDefault="0011048D" w:rsidP="0011048D"/>
    <w:sectPr w:rsidR="0011048D" w:rsidRPr="0011048D" w:rsidSect="0011048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 McGowan" w:date="2021-09-23T20:29:00Z" w:initials="PM">
    <w:p w14:paraId="7D74B6CD" w14:textId="77777777" w:rsidR="00D6664E" w:rsidRDefault="00D6664E" w:rsidP="00D6664E">
      <w:pPr>
        <w:pStyle w:val="CommentText"/>
      </w:pPr>
      <w:r>
        <w:rPr>
          <w:rStyle w:val="CommentReference"/>
        </w:rPr>
        <w:annotationRef/>
      </w:r>
      <w:r>
        <w:t xml:space="preserve">Might be worth re-stating what the research question is here, rather than giving is an analytical subtitle. </w:t>
      </w:r>
    </w:p>
  </w:comment>
  <w:comment w:id="1" w:author="Matthew Nuttall" w:date="2021-07-23T13:30:00Z" w:initials="MN">
    <w:p w14:paraId="65883D35" w14:textId="77777777" w:rsidR="0011048D" w:rsidRDefault="0011048D" w:rsidP="0011048D">
      <w:pPr>
        <w:pStyle w:val="CommentText"/>
      </w:pPr>
      <w:r>
        <w:rPr>
          <w:rStyle w:val="CommentReference"/>
        </w:rPr>
        <w:annotationRef/>
      </w:r>
      <w:r>
        <w:t>Need to check/change y axis labels (can’t be both pixels and km2)</w:t>
      </w:r>
    </w:p>
  </w:comment>
  <w:comment w:id="2" w:author="Matthew Nuttall" w:date="2021-10-28T11:36:00Z" w:initials="MN">
    <w:p w14:paraId="1A0F7703" w14:textId="11F2CBA9" w:rsidR="00C73044" w:rsidRDefault="00C73044">
      <w:pPr>
        <w:pStyle w:val="CommentText"/>
      </w:pPr>
      <w:r>
        <w:rPr>
          <w:rStyle w:val="CommentReference"/>
        </w:rPr>
        <w:annotationRef/>
      </w:r>
      <w:r>
        <w:t>Check units for y axis for a, c, e, 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74B6CD" w15:done="0"/>
  <w15:commentEx w15:paraId="65883D35" w15:done="0"/>
  <w15:commentEx w15:paraId="1A0F77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DFF1" w16cex:dateUtc="2021-09-23T19:29:00Z"/>
  <w16cex:commentExtensible w16cex:durableId="24A542F3" w16cex:dateUtc="2021-07-23T12:30:00Z"/>
  <w16cex:commentExtensible w16cex:durableId="252509C9" w16cex:dateUtc="2021-10-2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74B6CD" w16cid:durableId="2522DFF1"/>
  <w16cid:commentId w16cid:paraId="65883D35" w16cid:durableId="24A542F3"/>
  <w16cid:commentId w16cid:paraId="1A0F7703" w16cid:durableId="252509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McGowan">
    <w15:presenceInfo w15:providerId="AD" w15:userId="S-1-5-21-1417001333-839522115-1801674531-175399"/>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4E"/>
    <w:rsid w:val="000111C4"/>
    <w:rsid w:val="000359C7"/>
    <w:rsid w:val="0005444F"/>
    <w:rsid w:val="00072256"/>
    <w:rsid w:val="00086943"/>
    <w:rsid w:val="000920A2"/>
    <w:rsid w:val="000A5C90"/>
    <w:rsid w:val="000A7573"/>
    <w:rsid w:val="0011048D"/>
    <w:rsid w:val="0011317E"/>
    <w:rsid w:val="00127FD8"/>
    <w:rsid w:val="0014759D"/>
    <w:rsid w:val="001A49B6"/>
    <w:rsid w:val="001C6CC0"/>
    <w:rsid w:val="001E29BB"/>
    <w:rsid w:val="00212B19"/>
    <w:rsid w:val="00285D11"/>
    <w:rsid w:val="002C711B"/>
    <w:rsid w:val="00316B6B"/>
    <w:rsid w:val="003B4CB2"/>
    <w:rsid w:val="003D2547"/>
    <w:rsid w:val="004022CF"/>
    <w:rsid w:val="004336C4"/>
    <w:rsid w:val="00451A01"/>
    <w:rsid w:val="004B2379"/>
    <w:rsid w:val="004E5487"/>
    <w:rsid w:val="00524C0E"/>
    <w:rsid w:val="00535B36"/>
    <w:rsid w:val="00567397"/>
    <w:rsid w:val="005744DE"/>
    <w:rsid w:val="005760C1"/>
    <w:rsid w:val="00592712"/>
    <w:rsid w:val="005B33C1"/>
    <w:rsid w:val="005C65BA"/>
    <w:rsid w:val="005D0E96"/>
    <w:rsid w:val="005D1F14"/>
    <w:rsid w:val="005F24FA"/>
    <w:rsid w:val="00663A82"/>
    <w:rsid w:val="006F0007"/>
    <w:rsid w:val="007173AE"/>
    <w:rsid w:val="00717426"/>
    <w:rsid w:val="00756D59"/>
    <w:rsid w:val="007723BD"/>
    <w:rsid w:val="007772FF"/>
    <w:rsid w:val="00780D5F"/>
    <w:rsid w:val="007E74E7"/>
    <w:rsid w:val="007F53DC"/>
    <w:rsid w:val="008542C1"/>
    <w:rsid w:val="00890C61"/>
    <w:rsid w:val="008B17DA"/>
    <w:rsid w:val="008B6ED5"/>
    <w:rsid w:val="008F5576"/>
    <w:rsid w:val="00900623"/>
    <w:rsid w:val="00902F41"/>
    <w:rsid w:val="009107F5"/>
    <w:rsid w:val="00A13D84"/>
    <w:rsid w:val="00A63D6A"/>
    <w:rsid w:val="00AF717F"/>
    <w:rsid w:val="00B0710D"/>
    <w:rsid w:val="00B30997"/>
    <w:rsid w:val="00B65CA2"/>
    <w:rsid w:val="00B91ACA"/>
    <w:rsid w:val="00BA0606"/>
    <w:rsid w:val="00BB17C1"/>
    <w:rsid w:val="00C51A4D"/>
    <w:rsid w:val="00C629EA"/>
    <w:rsid w:val="00C64B16"/>
    <w:rsid w:val="00C73044"/>
    <w:rsid w:val="00C769D9"/>
    <w:rsid w:val="00CD0112"/>
    <w:rsid w:val="00D1536D"/>
    <w:rsid w:val="00D25F20"/>
    <w:rsid w:val="00D6664E"/>
    <w:rsid w:val="00E62493"/>
    <w:rsid w:val="00E7333A"/>
    <w:rsid w:val="00E821FF"/>
    <w:rsid w:val="00F2715A"/>
    <w:rsid w:val="00F34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E407"/>
  <w15:chartTrackingRefBased/>
  <w15:docId w15:val="{8C8991C4-158C-4BC0-8DC5-6166767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64E"/>
    <w:rPr>
      <w:sz w:val="16"/>
      <w:szCs w:val="16"/>
    </w:rPr>
  </w:style>
  <w:style w:type="paragraph" w:styleId="CommentText">
    <w:name w:val="annotation text"/>
    <w:basedOn w:val="Normal"/>
    <w:link w:val="CommentTextChar"/>
    <w:uiPriority w:val="99"/>
    <w:unhideWhenUsed/>
    <w:rsid w:val="00D6664E"/>
    <w:pPr>
      <w:spacing w:line="240" w:lineRule="auto"/>
    </w:pPr>
    <w:rPr>
      <w:sz w:val="20"/>
      <w:szCs w:val="20"/>
    </w:rPr>
  </w:style>
  <w:style w:type="character" w:customStyle="1" w:styleId="CommentTextChar">
    <w:name w:val="Comment Text Char"/>
    <w:basedOn w:val="DefaultParagraphFont"/>
    <w:link w:val="CommentText"/>
    <w:uiPriority w:val="99"/>
    <w:rsid w:val="00D6664E"/>
    <w:rPr>
      <w:sz w:val="20"/>
      <w:szCs w:val="20"/>
    </w:rPr>
  </w:style>
  <w:style w:type="character" w:styleId="Hyperlink">
    <w:name w:val="Hyperlink"/>
    <w:basedOn w:val="DefaultParagraphFont"/>
    <w:uiPriority w:val="99"/>
    <w:unhideWhenUsed/>
    <w:rsid w:val="00D6664E"/>
    <w:rPr>
      <w:color w:val="0563C1" w:themeColor="hyperlink"/>
      <w:u w:val="single"/>
    </w:rPr>
  </w:style>
  <w:style w:type="character" w:styleId="UnresolvedMention">
    <w:name w:val="Unresolved Mention"/>
    <w:basedOn w:val="DefaultParagraphFont"/>
    <w:uiPriority w:val="99"/>
    <w:semiHidden/>
    <w:unhideWhenUsed/>
    <w:rsid w:val="00D6664E"/>
    <w:rPr>
      <w:color w:val="605E5C"/>
      <w:shd w:val="clear" w:color="auto" w:fill="E1DFDD"/>
    </w:rPr>
  </w:style>
  <w:style w:type="table" w:styleId="TableGrid">
    <w:name w:val="Table Grid"/>
    <w:basedOn w:val="TableNormal"/>
    <w:uiPriority w:val="39"/>
    <w:rsid w:val="00D66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3044"/>
    <w:rPr>
      <w:b/>
      <w:bCs/>
    </w:rPr>
  </w:style>
  <w:style w:type="character" w:customStyle="1" w:styleId="CommentSubjectChar">
    <w:name w:val="Comment Subject Char"/>
    <w:basedOn w:val="CommentTextChar"/>
    <w:link w:val="CommentSubject"/>
    <w:uiPriority w:val="99"/>
    <w:semiHidden/>
    <w:rsid w:val="00C73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www.opendevelopmentcambodia.net" TargetMode="Externa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2875-0DC1-4363-AB9E-8C71606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6991</TotalTime>
  <Pages>22</Pages>
  <Words>30360</Words>
  <Characters>173055</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23</cp:revision>
  <dcterms:created xsi:type="dcterms:W3CDTF">2021-10-26T19:13:00Z</dcterms:created>
  <dcterms:modified xsi:type="dcterms:W3CDTF">2021-11-08T09:45:00Z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id="DlLEKdlZ"/&gt;&lt;style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