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0D38A000"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 xml:space="preserve">of land use change and deforestation, and can be effective predictors of forest loss </w:t>
      </w:r>
      <w:r w:rsidR="007723BD">
        <w:fldChar w:fldCharType="begin"/>
      </w:r>
      <w:r w:rsidR="007723BD">
        <w:instrText xml:space="preserve"> ADDIN ZOTERO_ITEM CSL_CITATION {"citationID":"oEfpEEeC","properties":{"formattedCitation":"(Liu et al. 2017; Bonilla-Bedoya et al. 2018)","plainCitation":"(Liu et al. 2017; Bonilla-Bedoya et al. 2018)","noteIndex":0},"citationItems":[{"id":2927,"uris":["http://zotero.org/users/2170232/items/8EQ6DGVW"],"uri":["http://zotero.org/users/2170232/items/8EQ6DGVW"],"itemData":{"id":2927,"type":"article-journal","abstract":"Forest transition (FT) over the last three decades has attracted much academic attention. In this paper we present a comparative study of FT to assess regional variety in nine countries in Asia: China, Japan, the Republic of Korea, India, Indonesia, Malaysia, the Philippines, Laos and Vietnam, using data covering the years 1960–2010. This study's examination of changes in forest area demonstrates that Korea and Japan achieved FT before the 1980s, and that China, Vietnam, India and the Philippines achieved FT more recently, while Indonesia, Malaysia and Laos still experience forest cover decline. Economic development pathway and state forest policy pathway are most common in these nine countries. The globalization pathway is also found to contribute to FT, primarily in countries that are net importers of forest products. The land use intensification pathway is not identified in any of the nine countries. This study also observed that four countries (China, Vietnam, India and the Philippines) tend to achieve FT at relatively low income levels, which may point to the significance of state intervention in the region's countries via forest protection laws, national forest planning and afforestation programs.","collection-title":"Forest transition in Asia","container-title":"Forest Policy and Economics","DOI":"10.1016/j.forpol.2016.03.007","ISSN":"1389-9341","journalAbbreviation":"Forest Policy and Economics","language":"en","page":"25-34","source":"ScienceDirect","title":"Comparative study of the forest transition pathways of nine Asia-Pacific countries","volume":"76","author":[{"family":"Liu","given":"Jinlong"},{"family":"Liang","given":"Ming"},{"family":"Li","given":"Lingchao"},{"family":"Long","given":"Hexing"},{"family":"De Jong","given":"Wil"}],"issued":{"date-parts":[["2017",3,1]]}}},{"id":179,"uris":["http://zotero.org/users/2170232/items/WZLMGHYE"],"uri":["http://zotero.org/users/2170232/items/WZLMGHYE"],"itemData":{"id":179,"type":"article-journal","abstract":"The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7723BD" w:rsidRPr="007723BD">
        <w:rPr>
          <w:rFonts w:ascii="Calibri" w:hAnsi="Calibri" w:cs="Calibri"/>
        </w:rPr>
        <w:t>(Liu et al. 2017;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(Geist &amp; Lambin 2002; Khuc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62005430" w14:textId="41AA9CD7" w:rsidR="006F0007" w:rsidRDefault="006F0007"/>
    <w:p w14:paraId="494FB10E" w14:textId="25B842F0" w:rsidR="006F0007" w:rsidRDefault="006F0007">
      <w:r>
        <w:t xml:space="preserve">Poverty </w:t>
      </w:r>
      <w:r w:rsidR="00285D11">
        <w:t>– traditional view was that it caused defor (Lomborg). Now we understand its more complicated (Geist &amp; Lambin 2003). But some local examples of where poverty is still a good predictor (Khuc et al 2018, Bonilla-</w:t>
      </w:r>
      <w:r w:rsidR="000A5C90">
        <w:t>Bedoya 2019</w:t>
      </w:r>
      <w:r w:rsidR="00285D11">
        <w:t xml:space="preserve">). </w:t>
      </w:r>
    </w:p>
    <w:p w14:paraId="43803515" w14:textId="70DB81C6" w:rsidR="00285D11" w:rsidRDefault="00285D11">
      <w:r>
        <w:t>Link between poverty/inequality and proximate drivers - Inequality increases agric expansion</w:t>
      </w:r>
      <w:r w:rsidR="000A5C90">
        <w:t xml:space="preserve"> (Ceddia 2019)</w:t>
      </w:r>
      <w:r>
        <w:t xml:space="preserve">. </w:t>
      </w:r>
    </w:p>
    <w:p w14:paraId="528C0217" w14:textId="5BC72A63" w:rsidR="00285D11" w:rsidRDefault="00285D11">
      <w:r>
        <w:t>Local economic drivers important. Can play out in unexpected ways depending on other factors (Gatto et al 2015).</w:t>
      </w:r>
    </w:p>
    <w:p w14:paraId="012B91ED" w14:textId="77777777" w:rsidR="00285D11" w:rsidRDefault="00285D11"/>
    <w:p w14:paraId="48EA68E1" w14:textId="505EDAE5" w:rsidR="004E5487" w:rsidRDefault="004E5487">
      <w:r w:rsidRPr="004E5487">
        <w:t xml:space="preserve">Deforestation is accentuated in low income countries where poverty, debt, and overpopulation are high, and thus so are the demands for economic growth via agricultural commodities and other natural resource-based products </w:t>
      </w:r>
      <w:r w:rsidRPr="004E5487">
        <w:fldChar w:fldCharType="begin"/>
      </w:r>
      <w:r w:rsidR="000111C4">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Pr="004E5487">
        <w:fldChar w:fldCharType="separate"/>
      </w:r>
      <w:r w:rsidR="000111C4" w:rsidRPr="000111C4">
        <w:rPr>
          <w:rFonts w:ascii="Calibri" w:hAnsi="Calibri" w:cs="Calibri"/>
        </w:rPr>
        <w:t>(Culas 2012)</w:t>
      </w:r>
      <w:r w:rsidRPr="004E5487">
        <w:fldChar w:fldCharType="end"/>
      </w:r>
      <w:r w:rsidRPr="004E5487">
        <w:t>.</w:t>
      </w:r>
    </w:p>
    <w:p w14:paraId="783AA03A" w14:textId="050937F7" w:rsidR="004E5487" w:rsidRDefault="004E5487">
      <w:r w:rsidRPr="004E5487">
        <w:t>Successfully isolating the signals of these relationships is however, challenging, due to the complexity of social-ecological systems, the non-linear feedback loops, and the heterogeneity in system dynamics at different scales</w:t>
      </w:r>
      <w:proofErr w:type="gramStart"/>
      <w:r w:rsidRPr="004E5487">
        <w:t xml:space="preserve">.  </w:t>
      </w:r>
      <w:proofErr w:type="gramEnd"/>
      <w:r w:rsidRPr="004E5487">
        <w:t xml:space="preserve"> </w:t>
      </w:r>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lastRenderedPageBreak/>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w:t>
      </w:r>
      <w:r w:rsidRPr="001E05DC">
        <w:lastRenderedPageBreak/>
        <w:t xml:space="preserve">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‘MuMIn’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Table Sx</w:t>
      </w:r>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w:t>
      </w:r>
      <w:r w:rsidRPr="001E05DC">
        <w:lastRenderedPageBreak/>
        <w:t xml:space="preserve">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(Kenessey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(Kenessey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(masl)</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“v.low” if the mean (across provinces within that cluster) was below the 25% quantile for that variable across the whole country, “low” if the mean was above 25 and below 50%, “high” if the mean was above 50% but below 75%, and “</w:t>
      </w:r>
      <w:proofErr w:type="gramStart"/>
      <w:r w:rsidRPr="001168E7">
        <w:rPr>
          <w:b/>
          <w:bCs/>
          <w:sz w:val="20"/>
          <w:szCs w:val="20"/>
        </w:rPr>
        <w:t>v.high</w:t>
      </w:r>
      <w:proofErr w:type="gramEnd"/>
      <w:r w:rsidRPr="001168E7">
        <w:rPr>
          <w:b/>
          <w:bCs/>
          <w:sz w:val="20"/>
          <w:szCs w:val="20"/>
        </w:rPr>
        <w:t xml:space="preserve">” if the mean was above the 75% quantile. Pax_migt_out = numbers of out-migrants, Pax_migt_in = numbers of in-migrants, land_confl = number of land conflicts, crim_case = criminal cases per capita, KM_Comm = distance to commune office, garbage = proportion of families with access to waste collection, dist_school = distance to nearest school, pig_fam = proportion of families who keep pigs, Les1_R_Land = proportion of families with no rice land, propSecSec = proportion of adults employed in the secondary sector, propPrimSec = proportion of adults employed in the primary sector, M6_24_sch = proportion of males aged 6-24 in education, prop_ind = proportion of the population that is indigenous, pop_den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(masl),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r w:rsidRPr="00634903">
              <w:rPr>
                <w:sz w:val="20"/>
                <w:szCs w:val="20"/>
              </w:rPr>
              <w:t>Mondulkiri, Ratanikiri</w:t>
            </w:r>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r w:rsidRPr="00634903">
              <w:rPr>
                <w:sz w:val="20"/>
                <w:szCs w:val="20"/>
              </w:rPr>
              <w:t>Pailin</w:t>
            </w:r>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Kampong Chhnang, Kampong Speu, Kampong Thom, Kampot, Kep, Koh Kong, Kracheh, Otdar Meanchey, Preah Sihanouk, Preah Vihear, Pursat, Siem Reap, Stung Treng, Svay Rieng</w:t>
            </w:r>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920A2"/>
    <w:rsid w:val="000A5C90"/>
    <w:rsid w:val="0011048D"/>
    <w:rsid w:val="00127FD8"/>
    <w:rsid w:val="001A49B6"/>
    <w:rsid w:val="001C6CC0"/>
    <w:rsid w:val="00285D11"/>
    <w:rsid w:val="003D2547"/>
    <w:rsid w:val="004B2379"/>
    <w:rsid w:val="004E5487"/>
    <w:rsid w:val="00524C0E"/>
    <w:rsid w:val="00535B36"/>
    <w:rsid w:val="00567397"/>
    <w:rsid w:val="005760C1"/>
    <w:rsid w:val="005B33C1"/>
    <w:rsid w:val="005C65BA"/>
    <w:rsid w:val="005D1F14"/>
    <w:rsid w:val="005F24FA"/>
    <w:rsid w:val="00663A82"/>
    <w:rsid w:val="006F0007"/>
    <w:rsid w:val="007173AE"/>
    <w:rsid w:val="00717426"/>
    <w:rsid w:val="00756D59"/>
    <w:rsid w:val="007723BD"/>
    <w:rsid w:val="007772FF"/>
    <w:rsid w:val="007E74E7"/>
    <w:rsid w:val="008B6ED5"/>
    <w:rsid w:val="00A13D84"/>
    <w:rsid w:val="00B0710D"/>
    <w:rsid w:val="00B65CA2"/>
    <w:rsid w:val="00B91ACA"/>
    <w:rsid w:val="00BB17C1"/>
    <w:rsid w:val="00C51A4D"/>
    <w:rsid w:val="00C629EA"/>
    <w:rsid w:val="00C73044"/>
    <w:rsid w:val="00C769D9"/>
    <w:rsid w:val="00D6664E"/>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21</Pages>
  <Words>16679</Words>
  <Characters>95074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10</cp:revision>
  <dcterms:created xsi:type="dcterms:W3CDTF">2021-10-26T19:13:00Z</dcterms:created>
  <dcterms:modified xsi:type="dcterms:W3CDTF">2021-11-04T21:17:00Z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