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02C4" w14:textId="1D0A8B5F" w:rsidR="00612128" w:rsidRDefault="005B33C1">
      <w:pPr>
        <w:rPr>
          <w:b/>
          <w:bCs/>
        </w:rPr>
      </w:pPr>
      <w:r>
        <w:rPr>
          <w:b/>
          <w:bCs/>
        </w:rPr>
        <w:t xml:space="preserve">Introduction </w:t>
      </w:r>
    </w:p>
    <w:p w14:paraId="2ACEAE47" w14:textId="3D265B5A" w:rsidR="004E5487" w:rsidRDefault="000111C4">
      <w:r>
        <w:t xml:space="preserve">Tropical deforestation is a significant threat to biodiversity, ecosystem processes, and local people </w:t>
      </w:r>
      <w:r>
        <w:fldChar w:fldCharType="begin"/>
      </w:r>
      <w:r>
        <w:instrText xml:space="preserve"> ADDIN ZOTERO_ITEM CSL_CITATION {"citationID":"IQD5xEzv","properties":{"formattedCitation":"(Frewer &amp; Chan 2014; Estoque et al. 2019)","plainCitation":"(Frewer &amp; Chan 2014; Estoque et al. 2019)","noteIndex":0},"citationItems":[{"id":1667,"uris":["http://zotero.org/users/2170232/items/W5KFBHFU"],"uri":["http://zotero.org/users/2170232/items/W5KFBHFU"],"itemData":{"id":1667,"type":"article-journal","abstract":"GIS-RS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fldChar w:fldCharType="separate"/>
      </w:r>
      <w:r w:rsidRPr="000111C4">
        <w:rPr>
          <w:rFonts w:ascii="Calibri" w:hAnsi="Calibri" w:cs="Calibri"/>
        </w:rPr>
        <w:t>(Frewer &amp; Chan 2014; Estoque et al. 2019)</w:t>
      </w:r>
      <w:r>
        <w:fldChar w:fldCharType="end"/>
      </w:r>
      <w:r>
        <w:t xml:space="preserve">, and is particularly insidious in its complexity </w:t>
      </w:r>
      <w:r>
        <w:fldChar w:fldCharType="begin"/>
      </w:r>
      <w:r>
        <w:instrText xml:space="preserve"> ADDIN ZOTERO_ITEM CSL_CITATION {"citationID":"4Nk3K687","properties":{"formattedCitation":"(Mena et al. 2006; Rowcroft 2008; Kong et al. 2019)","plainCitation":"(Mena et al. 2006; Rowcroft 2008; Kong et al. 2019)","noteIndex":0},"citationItems":[{"id":2260,"uris":["http://zotero.org/users/2170232/items/BTIITC3E"],"uri":["http://zotero.org/users/2170232/items/BTIITC3E"],"itemData":{"id":2260,"type":"article-journal","abstract":"Investigations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fldChar w:fldCharType="separate"/>
      </w:r>
      <w:r w:rsidRPr="000111C4">
        <w:rPr>
          <w:rFonts w:ascii="Calibri" w:hAnsi="Calibri" w:cs="Calibri"/>
        </w:rPr>
        <w:t>(Mena et al. 2006; Rowcroft 2008; Kong et al. 2019)</w:t>
      </w:r>
      <w:r>
        <w:fldChar w:fldCharType="end"/>
      </w:r>
      <w:r>
        <w:t xml:space="preserve">. </w:t>
      </w:r>
      <w:r w:rsidR="004B2379">
        <w:t xml:space="preserve">The drivers of forest loss in the tropics are not only numerous and multifaceted, but they operate at multiple scales and are comprised of complex feedback loops between ecological, biophysical, social, </w:t>
      </w:r>
      <w:r w:rsidR="00B91ACA">
        <w:t xml:space="preserve">cultural, </w:t>
      </w:r>
      <w:r w:rsidR="004B2379">
        <w:t xml:space="preserve">political, and economic factors </w:t>
      </w:r>
      <w:r w:rsidR="004B2379">
        <w:fldChar w:fldCharType="begin"/>
      </w:r>
      <w:r w:rsidR="00B91ACA">
        <w:instrText xml:space="preserve"> ADDIN ZOTERO_ITEM CSL_CITATION {"citationID":"TdqqAGpI","properties":{"formattedCitation":"(Geist &amp; Lambin 2002, 2003; Shrestha et al. 2018; Xu et al. 2019; Mannan et al. 2019)","plainCitation":"(Geist &amp; Lambin 2002, 2003; Shrestha et al. 2018; Xu et al. 2019; Mannan et al. 2019)","noteIndex":0},"citationItems":[{"id":1947,"uris":["http://zotero.org/users/2170232/items/HNTSNFG3"],"uri":["http://zotero.org/users/2170232/items/HNTSNFG3"],"itemData":{"id":1947,"type":"article-journal","abstract":"One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F."}],"issued":{"date-parts":[["2002",2,1]]}}},{"id":2941,"uris":["http://zotero.org/users/2170232/items/PAZIGWER"],"uri":["http://zotero.org/users/2170232/items/PAZIGWER"],"itemData":{"id":2941,"type":"article-journal","container-title":"The International Forestry Review","ISSN":"1465-5489","issue":"1","note":"publisher: Commonwealth Forestry Association","page":"64-67","source":"JSTOR","title":"Is poverty the cause of tropical deforestation?","volume":"5","author":[{"family":"Geist","given":"H."},{"family":"Lambin","given":"E."}],"issued":{"date-parts":[["2003"]]}}},{"id":2103,"uris":["http://zotero.org/users/2170232/items/QKT7ZI6Q"],"uri":["http://zotero.org/users/2170232/items/QKT7ZI6Q"],"itemData":{"id":2103,"type":"article-journal","abstract":"Despite the local and global importance of forests, deforestation is driven by various socio-economic and biophysical factors continues in many countries. In Nepal, in response to massive deforestation, the community forestry program has been implemented to reduce deforestation and support livelihoods. After four decades of its inception, the effectiveness of this program on forest cover change remains mostly unknown. This study analyses the spatial and temporal patterns of tree cover change along with a few socio-economic drivers of tree cover change to examine the effectiveness of the community forestry program for conserving forests or in reducing deforestation. We also investigate the socio-economic factors and policy responses as manifested through the community forestry program responsible for the tree cover change at the district level. The total tree cover area in the year 2000 in Nepal was </w:instrText>
      </w:r>
      <w:r w:rsidR="00B91ACA">
        <w:rPr>
          <w:rFonts w:ascii="Cambria Math" w:hAnsi="Cambria Math" w:cs="Cambria Math"/>
        </w:rPr>
        <w:instrText>∼</w:instrText>
      </w:r>
      <w:r w:rsidR="00B91ACA">
        <w:instrText xml:space="preserve">4,746,000 hectares, and our analysis reveals that between 2001 and 2016, Nepal has lost </w:instrText>
      </w:r>
      <w:r w:rsidR="00B91ACA">
        <w:rPr>
          <w:rFonts w:ascii="Cambria Math" w:hAnsi="Cambria Math" w:cs="Cambria Math"/>
        </w:rPr>
        <w:instrText>∼</w:instrText>
      </w:r>
      <w:r w:rsidR="00B91ACA">
        <w:instrText xml:space="preserve">46,000 ha and gained </w:instrText>
      </w:r>
      <w:r w:rsidR="00B91ACA">
        <w:rPr>
          <w:rFonts w:ascii="Cambria Math" w:hAnsi="Cambria Math" w:cs="Cambria Math"/>
        </w:rPr>
        <w:instrText>∼</w:instrText>
      </w:r>
      <w:r w:rsidR="00B91ACA">
        <w:instrText xml:space="preserve">12,200 ha of areas covered by trees with a substantial spatial and temporal variations. After accounting socio-economic drivers of forest cover change, our analysis showed that districts with the larger number of community forests had a minimum loss in tree cover, while districts with the higher proportion of vegetation covered by community forests had a maximum gain in tree cover. This indicates a positive contribution of the community forestry program to reducing deforestation and increasing tree cover.","container-title":"PeerJ","DOI":"10.7717/peerj.4855","ISSN":"2167-8359","journalAbbreviation":"PeerJ","language":"en","page":"e4855","source":"peerj.com","title":"Socio-economic factors and management regimes as drivers of tree cover change in Nepal","volume":"6","author":[{"family":"Shrestha","given":"Sujata"},{"family":"Shrestha","given":"Uttam B."},{"family":"Bawa","given":"Kamal"}],"issued":{"date-parts":[["2018",5,29]]}}},{"id":2021,"uris":["http://zotero.org/users/2170232/items/ABVWHT2J"],"uri":["http://zotero.org/users/2170232/items/ABVWHT2J"],"itemData":{"id":2021,"type":"article-journal","abstract":"South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V."}],"issued":{"date-parts":[["2019"]]}}},{"id":2007,"uris":["http://zotero.org/users/2170232/items/SMNGBI44"],"uri":["http://zotero.org/users/2170232/items/SMNGBI44"],"itemData":{"id":2007,"type":"article-journal","abstract":"Located at the foothills of the Himalayan Mountains, subtropical and moist temperate forests of Pakistan are very rich in flora and fauna. However, due to increased illegal and uncontrolled harvesting of wood, agricultural activities, and urbanization, these forests are fast disappearing. The recent expansion of human activities resulting illegal and uncontrolled harvesting, agricultural activities, and urbanization is a cause for concern. Using Landsat imagery, Markov Chain and Cellular Automata, this study focused on the quantitative assessment of spatiotemporal land use and land cover changes during 1998, 2008, 2018 and a simulation of 2028. In addition, a forest inventory survey of biomass and carbon sink were respectively calculated for these subtropical broad-leaved evergreen, subtropical chirpine and moist temperate forests. Results showed biomass was 560.56 ± 104.33 Mg ha−1, 350.95 ± 104.33 Mg ha−1 and 153.63 ± 104.33 Mg ha−1 in moist temperate, subtropical chirpine and subtropical broad-leaved forests respectively. Meanwhile, carbon was 313.94 ± 44.78 Mg C ha−1, 221.34 ± 44.78 Mg C ha−1 and 131.77 ± 44.78 Mg C ha−1 in moist temperate, subtropical chirpine and subtropical broad-leaved forests respectively. During the study period, land-use and land cover changes showed forest land changed from 40936.77 ha to 36709.23 ha, agricultural land from 4220.46 to 10374.64 ha, and built-up area from 1497.60 to 5395.12 ha. The average annual biomass and carbon loss were respectively 50.34 Gg ha−1yr−1 and 31.33 Gg C ha−1 yr−1. The information derived from this study could assist in the development of appropriate sustainable forest management policies in Pakistan.","container-title":"Global Ecology and Conservation","DOI":"10.1016/j.gecco.2019.e00535","ISSN":"2351-9894","journalAbbreviation":"Global Ecology and Conservation","page":"e00535","source":"ScienceDirect","title":"Application of land-use/land cover changes in monitoring and projecting forest biomass carbon loss in Pakistan","volume":"17","author":[{"family":"Mannan","given":"Abdul"},{"family":"Liu","given":"Jincheng"},{"family":"Zhongke","given":"Feng"},{"family":"Khan","given":"Tauheed Ullah"},{"family":"Saeed","given":"Sajjad"},{"family":"Mukete","given":"Beckline"},{"family":"ChaoYong","given":"Shen"},{"family":"Yongxiang","given":"Fan"},{"family":"Ahmad","given":"Adnan"},{"family":"Amir","given":"Muhammad"},{"family":"Ahmad","given":"Shahid"},{"family":"Shah","given":"Sher"}],"issued":{"date-parts":[["2019",1,1]]}}}],"schema":"https://github.com/citation-style-language/schema/raw/master/csl-citation.json"} </w:instrText>
      </w:r>
      <w:r w:rsidR="004B2379">
        <w:fldChar w:fldCharType="separate"/>
      </w:r>
      <w:r w:rsidR="00B91ACA" w:rsidRPr="00B91ACA">
        <w:rPr>
          <w:rFonts w:ascii="Calibri" w:hAnsi="Calibri" w:cs="Calibri"/>
        </w:rPr>
        <w:t>(Geist &amp; Lambin 2002, 2003; Shrestha et al. 2018; Xu et al. 2019; Mannan et al. 2019)</w:t>
      </w:r>
      <w:r w:rsidR="004B2379">
        <w:fldChar w:fldCharType="end"/>
      </w:r>
      <w:r w:rsidR="00B91ACA">
        <w:t xml:space="preserve">. This complexity means that underlying drivers operating at national, regional, or even global scales manifest themselves in a variety of proximate causes, which themselves are governed and shaped by local conditions </w:t>
      </w:r>
      <w:r w:rsidR="00B91ACA">
        <w:fldChar w:fldCharType="begin"/>
      </w:r>
      <w:r w:rsidR="00C769D9">
        <w:instrText xml:space="preserve"> ADDIN ZOTERO_ITEM CSL_CITATION {"citationID":"d38DZeYY","properties":{"formattedCitation":"(Geist &amp; Lambin 2002; Fox &amp; Vogler 2005; Van Den Hoek et al. 2014)","plainCitation":"(Geist &amp; Lambin 2002; Fox &amp; Vogler 2005; Van Den Hoek et al. 2014)","noteIndex":0},"citationItems":[{"id":1947,"uris":["http://zotero.org/users/2170232/items/HNTSNFG3"],"uri":["http://zotero.org/users/2170232/items/HNTSNFG3"],"itemData":{"id":1947,"type":"article-journal","abstract":"One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F."}],"issued":{"date-parts":[["2002",2,1]]}}},{"id":1674,"uris":["http://zotero.org/users/2170232/items/J5LKSCXA"],"uri":["http://zotero.org/users/2170232/items/J5LKSCXA"],"itemData":{"id":1674,"type":"article-journal","abstract":"This paper summarizes land-cover and land-use change at eight sites in Thailand, Yunnan (China), Vietnam, Cambodia, and Laos over the last 50 years. Project methodology included incorporating information collected from a combination of semiformal, key informant, and formal household interviews with the development of spatial databases based on aerial photographs, satellite images, topographic maps, and GPS data. Results suggest that land use (e.g. swidden cultivation) and land cover (e.g. secondary vegetation) have remained stable and the minor amount of land-use change that has occurred has been a change from swidden to monocultural cash crops. Results suggest that two forces will increasingly determine land-use systems in this region. First, national land tenure policies—the nationalization of forest lands and efforts to increase control over upland resources by central governments—will provide a push factor making it increasingly difficult for farmers to maintain their traditional swidden land-use practices. Second, market pressures—the commercialization of subsistence resources and the substitution of commercial crops for subsistence crops—will provide a pull factor encouraging farmers to engage in new and different forms of commercial agriculture. These results appear to be robust as they come from eight studies conducted over the last decade. But important questions remain in terms of what research protocols are needed, if any, when linking social science data with remotely sensed data for understanding human-environment interactions.","container-title":"Environmental Management","DOI":"10.1007/s00267-003-0288-7","ISSN":"0364-152X, 1432-1009","issue":"3","journalAbbreviation":"Environmental Management","language":"en","page":"394-403","source":"link.springer.com","title":"Land-Use and Land-Cover Change in Montane Mainland Southeast Asia","volume":"36","author":[{"family":"Fox","given":"Jefferson"},{"family":"Vogler","given":"John B."}],"issued":{"date-parts":[["2005",9,1]]}}},{"id":2944,"uris":["http://zotero.org/users/2170232/items/2KHAFC44"],"uri":["http://zotero.org/users/2170232/items/2KHAFC44"],"itemData":{"id":2944,"type":"article-journal","abstract":"China's Natural Forest Protection Program (NFPP) and Sloping Land Conversion Program (SLCP), introduced in 1998 and 1999, respectively, are integral parts of the world's largest reforestation effort. State-reported forest cover data indicate effective policy implementation through net forest cover expansion but overlook the scale-dependence of and spatial variation in forest cover change patterns and also lack reliable data on small-scale and illegal logging. As a result, there is considerable uncertainty over the spatial distribution of forest cover change and ultimately the policies' effectiveness at increasing forest cover. This research uses Landsat Thematic Mapper imagery-derived multitemporal Tasseled Cap variables and a decision tree classifier to map short- and long-term forest cover change across three administrative levels in the priority conservation area of Diqing Tibetan Autonomous Prefecture in Yunnan Province. Results indicate a 73% reduction in the rate of forest cover loss and a more than doubled rate of forest cover gain from 1990–1999 to 1999–2009 across the prefecture, both of which support a positive assessment of policy implementation. However, prefectural results are countered by spatially disparate forest cover gain and loss trends at the county- and township-level in the decade following the policies' introductions. Further, more than half of Diqing's townships, mainly those in the prefecture's south where tourism has been rapidly developing, saw continued net forest cover loss attributable to small-scale timber harvesting for tourism-driven construction. This research thus exposes cross-scale spatially disparate forest cover change indicative of highly differentiated policy implementation effectiveness, and shows the pattern by which regional development has redirected, rather than reduced, forest cover loss, contrary to the goals of the NFPP and SLCP.","container-title":"Applied Geography","DOI":"10.1016/j.apgeog.2013.12.010","ISSN":"0143-6228","journalAbbreviation":"Applied Geography","language":"en","page":"177-189","source":"ScienceDirect","title":"Evaluating forest policy implementation effectiveness with a cross-scale remote sensing analysis in a priority conservation area of Southwest China","volume":"47","author":[{"family":"Van Den Hoek","given":"Jamon"},{"family":"Ozdogan","given":"Mutlu"},{"family":"Burnicki","given":"Amy"},{"family":"Zhu","given":"A-Xing"}],"issued":{"date-parts":[["2014",2,1]]}}}],"schema":"https://github.com/citation-style-language/schema/raw/master/csl-citation.json"} </w:instrText>
      </w:r>
      <w:r w:rsidR="00B91ACA">
        <w:fldChar w:fldCharType="separate"/>
      </w:r>
      <w:r w:rsidR="00C769D9" w:rsidRPr="00C769D9">
        <w:rPr>
          <w:rFonts w:ascii="Calibri" w:hAnsi="Calibri" w:cs="Calibri"/>
        </w:rPr>
        <w:t>(Geist &amp; Lambin 2002; Fox &amp; Vogler 2005; Van Den Hoek et al. 2014)</w:t>
      </w:r>
      <w:r w:rsidR="00B91ACA">
        <w:fldChar w:fldCharType="end"/>
      </w:r>
      <w:r w:rsidR="00C769D9">
        <w:t>. The dynamics between drivers at different scales makes disentangling the causes of deforestation highly contextual – both global and local…?</w:t>
      </w:r>
    </w:p>
    <w:p w14:paraId="48EA68E1" w14:textId="72A0ACC3" w:rsidR="004E5487" w:rsidRDefault="004E5487">
      <w:r w:rsidRPr="004E5487">
        <w:t xml:space="preserve">Deforestation is accentuated in low income countries where poverty, debt, and overpopulation are high, and thus so are the demands for economic growth via agricultural commodities and other natural resource-based products </w:t>
      </w:r>
      <w:r w:rsidRPr="004E5487">
        <w:fldChar w:fldCharType="begin"/>
      </w:r>
      <w:r w:rsidR="000111C4">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Pr="004E5487">
        <w:fldChar w:fldCharType="separate"/>
      </w:r>
      <w:r w:rsidR="000111C4" w:rsidRPr="000111C4">
        <w:rPr>
          <w:rFonts w:ascii="Calibri" w:hAnsi="Calibri" w:cs="Calibri"/>
        </w:rPr>
        <w:t>(Culas 2012)</w:t>
      </w:r>
      <w:r w:rsidRPr="004E5487">
        <w:fldChar w:fldCharType="end"/>
      </w:r>
      <w:r w:rsidRPr="004E5487">
        <w:t>.</w:t>
      </w:r>
    </w:p>
    <w:p w14:paraId="14B5FFC9" w14:textId="36566135" w:rsidR="004E5487" w:rsidRDefault="004E5487">
      <w:r w:rsidRPr="004E5487">
        <w:t xml:space="preserve">Describing relationships between forest cover and macroeconomic and socioeconomic variables, rather than simply biophysical variables, is particularly important in developing countries that are undergoing social transition, as these are the conditions under which deforestation is often accelerated </w:t>
      </w:r>
      <w:r w:rsidRPr="004E5487">
        <w:fldChar w:fldCharType="begin"/>
      </w:r>
      <w:r w:rsidR="000111C4">
        <w:instrText xml:space="preserve"> ADDIN ZOTERO_ITEM CSL_CITATION {"citationID":"tlFKF8HG","properties":{"formattedCitation":"(Imai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Pr="004E5487">
        <w:fldChar w:fldCharType="separate"/>
      </w:r>
      <w:r w:rsidR="000111C4" w:rsidRPr="000111C4">
        <w:rPr>
          <w:rFonts w:ascii="Calibri" w:hAnsi="Calibri" w:cs="Calibri"/>
        </w:rPr>
        <w:t>(Imai et al. 2018)</w:t>
      </w:r>
      <w:r w:rsidRPr="004E5487">
        <w:fldChar w:fldCharType="end"/>
      </w:r>
      <w:r w:rsidRPr="004E5487">
        <w:t>.</w:t>
      </w:r>
    </w:p>
    <w:p w14:paraId="783AA03A" w14:textId="050937F7" w:rsidR="004E5487" w:rsidRDefault="004E5487">
      <w:r w:rsidRPr="004E5487">
        <w:t xml:space="preserve">Successfully isolating the signals of these relationships is however, challenging, due to the complexity of social-ecological systems, the non-linear feedback loops, and the heterogeneity in system dynamics at different scales.   </w:t>
      </w:r>
      <w:r>
        <w:tab/>
      </w:r>
    </w:p>
    <w:p w14:paraId="4AC09BF0" w14:textId="77777777" w:rsidR="004E5487" w:rsidRDefault="004E5487"/>
    <w:p w14:paraId="38B3E0EB" w14:textId="63C6553B" w:rsidR="00D6664E" w:rsidRDefault="00BB17C1">
      <w:r>
        <w:t>Opening para – deforestation = bad. Drivers are complex, multifaceted and operate at different scales. Difficult to make generalisations so need specific studies to be able to make good policies and strategies.</w:t>
      </w:r>
    </w:p>
    <w:p w14:paraId="361FD827" w14:textId="73DE49EF" w:rsidR="00BB17C1" w:rsidRDefault="00BB17C1">
      <w:r>
        <w:t xml:space="preserve">Wider literature – socioeconomics and deforestation around the world, then focused on SEA and Cambodia. </w:t>
      </w:r>
    </w:p>
    <w:p w14:paraId="0D373ECB" w14:textId="0D4995C6" w:rsidR="00BB17C1" w:rsidRDefault="00BB17C1">
      <w:r>
        <w:t>Cambodia – history, economic and socioeconomic development.</w:t>
      </w:r>
    </w:p>
    <w:p w14:paraId="4DC9B2FF" w14:textId="7B9E314E" w:rsidR="00BB17C1" w:rsidRDefault="001A49B6">
      <w:r>
        <w:t>This study…</w:t>
      </w:r>
    </w:p>
    <w:p w14:paraId="5B3FE714" w14:textId="77777777" w:rsidR="00BB17C1" w:rsidRDefault="00BB17C1"/>
    <w:p w14:paraId="0D0B548E" w14:textId="5CA370EE" w:rsidR="00D6664E" w:rsidRDefault="00D6664E">
      <w:pPr>
        <w:rPr>
          <w:b/>
          <w:bCs/>
        </w:rPr>
      </w:pPr>
      <w:r>
        <w:rPr>
          <w:b/>
          <w:bCs/>
        </w:rPr>
        <w:t xml:space="preserve">Methods </w:t>
      </w:r>
    </w:p>
    <w:p w14:paraId="05304B88" w14:textId="0317184E" w:rsidR="00D6664E" w:rsidRDefault="00D6664E">
      <w:r>
        <w:t>Study area?</w:t>
      </w:r>
    </w:p>
    <w:p w14:paraId="68093268" w14:textId="77777777" w:rsidR="00D6664E" w:rsidRDefault="00D6664E">
      <w:pPr>
        <w:rPr>
          <w:b/>
          <w:bCs/>
        </w:rPr>
      </w:pPr>
    </w:p>
    <w:p w14:paraId="0248F79B" w14:textId="77777777" w:rsidR="000920A2" w:rsidRPr="00D6664E" w:rsidRDefault="000920A2" w:rsidP="000920A2">
      <w:pPr>
        <w:rPr>
          <w:i/>
          <w:iCs/>
        </w:rPr>
      </w:pPr>
      <w:r w:rsidRPr="00D6664E">
        <w:rPr>
          <w:i/>
          <w:iCs/>
        </w:rPr>
        <w:t>Data sources</w:t>
      </w:r>
    </w:p>
    <w:p w14:paraId="78A445ED" w14:textId="1AEB1664" w:rsidR="00D6664E" w:rsidRPr="000920A2" w:rsidRDefault="000920A2">
      <w:r>
        <w:t>S</w:t>
      </w:r>
      <w:r w:rsidRPr="00D6664E">
        <w:t xml:space="preserve">ocioeconomic variables were extracted from the Cambodian Commune Database for the years 2007 – 2012 (Table </w:t>
      </w:r>
      <w:r>
        <w:t>1</w:t>
      </w:r>
      <w:r w:rsidRPr="00D6664E">
        <w:t>) which are available from Open Development Cambodia (</w:t>
      </w:r>
      <w:hyperlink r:id="rId5" w:history="1">
        <w:r w:rsidRPr="00D6664E">
          <w:rPr>
            <w:rStyle w:val="Hyperlink"/>
          </w:rPr>
          <w:t>www.opendevelopmentcambodia.net</w:t>
        </w:r>
      </w:hyperlink>
      <w:r w:rsidRPr="00D6664E">
        <w:t xml:space="preserve">). Data on economic land concessions, protected areas, and elevation (digital elevation model), and shapefiles for the country, provinces, and communes were </w:t>
      </w:r>
      <w:r w:rsidRPr="00D6664E">
        <w:lastRenderedPageBreak/>
        <w:t>provided by the</w:t>
      </w:r>
      <w:r>
        <w:t xml:space="preserve"> Royal Government of Cambodia (via the</w:t>
      </w:r>
      <w:r w:rsidRPr="00D6664E">
        <w:t xml:space="preserve"> Wildlife Conservation Society</w:t>
      </w:r>
      <w:r>
        <w:t>)</w:t>
      </w:r>
      <w:r w:rsidRPr="00D6664E">
        <w:t>. Forest cover layers were taken from the publicly available European Space Agency Climate Change Initiative (ESACCI) satellite data.</w:t>
      </w:r>
    </w:p>
    <w:p w14:paraId="280C0928" w14:textId="43DFB80B" w:rsidR="00D6664E" w:rsidRPr="000920A2" w:rsidRDefault="00D6664E">
      <w:pPr>
        <w:rPr>
          <w:i/>
          <w:iCs/>
        </w:rPr>
      </w:pPr>
      <w:r w:rsidRPr="000920A2">
        <w:rPr>
          <w:i/>
          <w:iCs/>
        </w:rPr>
        <w:t>Variable selection</w:t>
      </w:r>
    </w:p>
    <w:p w14:paraId="1E4EC5AA" w14:textId="65555761" w:rsidR="00D6664E" w:rsidRPr="00D6664E" w:rsidRDefault="00D6664E" w:rsidP="00D6664E">
      <w:r w:rsidRPr="00D6664E">
        <w:t>The response variable was forest cover area</w:t>
      </w:r>
      <w:r w:rsidR="000920A2">
        <w:t xml:space="preserve"> and was calculated using the ESACCI data product (see ‘data processing’ below)</w:t>
      </w:r>
      <w:r w:rsidRPr="00D6664E">
        <w:t xml:space="preserve">. </w:t>
      </w:r>
      <w:r w:rsidR="000920A2">
        <w:t>S</w:t>
      </w:r>
      <w:r w:rsidRPr="00D6664E">
        <w:t>ocioeconomic and control variables were selected based on a combination of previous studies, data availability, and the authors’ knowledge of Cambodia.</w:t>
      </w:r>
      <w:r w:rsidR="000920A2">
        <w:t xml:space="preserve"> </w:t>
      </w:r>
      <w:r w:rsidRPr="00D6664E">
        <w:t xml:space="preserve">Socioeconomic variables were selected to create 8 variable sets reflecting different aspects of socioeconomic status and development, each of which was hypothesised to be either a driver or predictor of forest cover </w:t>
      </w:r>
      <w:r w:rsidRPr="00D6664E">
        <w:fldChar w:fldCharType="begin"/>
      </w:r>
      <w:r w:rsidR="00B0710D">
        <w:instrText xml:space="preserve"> ADDIN ZOTERO_ITEM CSL_CITATION {"citationID":"YrLq4LLp","properties":{"formattedCitation":"(Dasgupta et al. 2005; Mena et al. 2006; Rowcroft 2008; Luck et al. 2009; Ty et al. 2012; Kristensen et al. 2016; Bonilla-Bedoya et al. 2018)","plainCitation":"(Dasgupta et al. 2005; Mena et al. 2006; Rowcroft 2008; Luck et al. 2009; Ty et al. 2012; Kristensen et al. 2016; Bonilla-Bedoya et al. 2018)","noteIndex":0},"citationItems":[{"id":2258,"uris":["http://zotero.org/users/2170232/items/GW5M54UX"],"uri":["http://zotero.org/users/2170232/items/GW5M54UX"],"itemData":{"id":2258,"type":"article-journal","abstract":"Summary\nThis paper investigates the poverty–environment nexus at the provincial and district levels in Cambodia, Lao PDR, and Vietnam. The analysis focuses on spatial associations between poverty populations and five environmental problems: deforestation, fragile soils, indoor air pollution, contaminated water, and outdoor air pollution. The results suggest that the nexus is quite different in each country. We conclude that the nexus concept can provide a useful catalyst for country-specific work, but not a general formula for program design. Joint implementation of poverty and environment strategies may be cost effective for some environmental problems, but independent implementation may be preferable in many cases as well.","container-title":"World Development","DOI":"10.1016/j.worlddev.2004.10.003","ISSN":"0305-750X","issue":"4","journalAbbreviation":"World Development","page":"617-638","source":"ScienceDirect","title":"Where is the Poverty–Environment Nexus? Evidence from Cambodia, Lao PDR, and Vietnam","title-short":"Where is the Poverty–Environment Nexus?","volume":"33","author":[{"family":"Dasgupta","given":"Susmita"},{"family":"Deichmann","given":"Uwe"},{"family":"Meisner","given":"Craig"},{"family":"Wheeler","given":"David"}],"issued":{"date-parts":[["2005",4,1]]}}},{"id":2260,"uris":["http://zotero.org/users/2170232/items/BTIITC3E"],"uri":["http://zotero.org/users/2170232/items/BTIITC3E"],"itemData":{"id":2260,"type":"article-journal","abstract":"Investigations of land use/land cover (LULC) change and forest management are limited by a lack of understanding of how socioeconomic factors affect land use. This lack also constrains the predictions of future deforestation, which is especially important in the Amazon basin, where large tracts of natural forest are being converted to managed uses. Research presented in this article was conducted to address this lack of understanding. Its objectives are (a) to quantify deforestation in the Northern Ecuadorian Amazon (NEA) during the periods 1986–1996 and 1996–2002; and (b) to determine the significance and magnitude of the effects of socioeconomic factors on deforestation rates at both the parroquia (parish) and finca (farm) levels. Annual deforestation rates were quantified via satellite image processing and geographic information systems. Linear spatial lag regression analyses were then used to explore relationships between socioeconomic factors and deforestation. Socioeconomic factors were obtained, at the finca level, from a detailed household survey carried out in 1990 and 1999, and at the parroquia level from data in the 1990 and 2001 Ecuadorian censuses of population. We found that the average annual deforestation rate was 2.5% and 1.8%/year for 1986–1996 and 1996–2002, respectively. At the parroquia level, variables representing demographic factors (i.e., population density) and accessibility factors (i.e., road density), among others, were found to be significantly related to deforestation. At the farm level, the factors related to deforestation were household size, distance by road to main cities, education, and hired labor. The findings of this research demonstrate both the severity of deforestation in the Northern Ecuadorian Amazon and the array of factors affecting deforestation in the tropics.","container-title":"Environmental Management","DOI":"10.1007/s00267-003-0230-z","ISSN":"1432-1009","issue":"6","journalAbbreviation":"Environmental Management","language":"en","page":"802-815","source":"Springer Link","title":"Socioeconomic Drivers of Deforestation in the Northern Ecuadorian Amazon","volume":"37","author":[{"family":"Mena","given":"Carlos F."},{"family":"Bilsborrow","given":"Richard E."},{"family":"McClain","given":"Michael E."}],"issued":{"date-parts":[["2006",6,1]]}}},{"id":2942,"uris":["http://zotero.org/users/2170232/items/V6APMHVL"],"uri":["http://zotero.org/users/2170232/items/V6APMHVL"],"itemData":{"id":2942,"type":"article-journal","abstract":"Land-use change processes are commonly understood as simplified cause-effect relationships, which, in turn, support many environment-development policies. This paper uses wide-ranging evidence from a number of global case studies to challenge some of the prevailing “myths” around land-use change in the Mekong Basin and supports the conclusion that the simple explanations found in population growth, poverty, and infrastructure studies rarely provide an adequate understanding of land-use change.","container-title":"AMBIO: A Journal of the Human Environment","DOI":"10.1579/0044-7447(2008)37[213:FOCTRB]2.0.CO;2","ISSN":"0044-7447, 1654-7209","issue":"3","journalAbbreviation":"ambi","note":"publisher: Royal Swedish Academy of Sciences","page":"213-218","source":"bioone.org","title":"Frontiers of Change: The Reasons Behind Land-use Change in the Mekong Basin","title-short":"Frontiers of Change","volume":"37","author":[{"family":"Rowcroft","given":"Petrina"}],"issued":{"date-parts":[["2008",5]]}}},{"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B0710D" w:rsidRPr="00B0710D">
        <w:rPr>
          <w:rFonts w:ascii="Calibri" w:hAnsi="Calibri" w:cs="Calibri"/>
          <w:highlight w:val="yellow"/>
        </w:rPr>
        <w:t>(Table x</w:t>
      </w:r>
      <w:r w:rsidR="00B0710D">
        <w:rPr>
          <w:rFonts w:ascii="Calibri" w:hAnsi="Calibri" w:cs="Calibri"/>
        </w:rPr>
        <w:t xml:space="preserve">, </w:t>
      </w:r>
      <w:r w:rsidR="00B0710D" w:rsidRPr="00B0710D">
        <w:rPr>
          <w:rFonts w:ascii="Calibri" w:hAnsi="Calibri" w:cs="Calibri"/>
        </w:rPr>
        <w:t>Dasgupta et al. 2005; Mena et al. 2006; Rowcroft 2008; Luck et al. 2009; Ty et al. 2012; Kristensen et al. 2016; Bonilla-Bedoya et al. 2018)</w:t>
      </w:r>
      <w:r w:rsidRPr="00D6664E">
        <w:fldChar w:fldCharType="end"/>
      </w:r>
      <w:r w:rsidRPr="00D6664E">
        <w:t xml:space="preserve">. The variable sets were population demographics (n=8), education (n=4), employment (n=5), economic security (n=2), access to services (n=4), social justice (n=2), migration (n=2), and control variables (n=6). Control variables were included to account for the effects of environmental and other human factors including economic land concessions </w:t>
      </w:r>
      <w:r w:rsidRPr="00D6664E">
        <w:fldChar w:fldCharType="begin"/>
      </w:r>
      <w:r w:rsidR="00F34C45">
        <w:instrText xml:space="preserve"> ADDIN ZOTERO_ITEM CSL_CITATION {"citationID":"EOmyQ158","properties":{"formattedCitation":"(Abdullah &amp; Nakagoshi 2007; Davis et al. 2015; Xu et al. 2019)","plainCitation":"(Abdullah &amp; Nakagoshi 2007; Davis et al. 2015; Xu et al. 2019)","noteIndex":0},"citationItems":[{"id":2636,"uris":["http://zotero.org/users/2170232/items/BW7PN9QB"],"uri":["http://zotero.org/users/2170232/items/BW7PN9QB"],"itemData":{"id":2636,"type":"article-journal","abstract":"In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2021,"uris":["http://zotero.org/users/2170232/items/ABVWHT2J"],"uri":["http://zotero.org/users/2170232/items/ABVWHT2J"],"itemData":{"id":2021,"type":"article-journal","abstract":"South and Southeast Asia (SSEA) has been a hotspot for land use and land cover change (LULCC) in the past few decades. The identification and quantification of the drivers of LULCC are crucial for improving our understanding of LULCC trends. So far, the biophysical and socioeconomic drivers of forest change have not been quantified at the regional scale, particularly for SSEA. In this study, we quantify the biophysical and socioeconomic drivers of forest change on a country-by-country basis in SSEA using an integrated quantitative methodology, which systematically accounts for previously published driver information and regional datasets. We synthesize more than 200 publications to identify the drivers of the forest change at different spatial scales in SSEA. Subsequently, we collect spatially explicit proxy data to represent the identified drivers. We quantify the dynamics of forest and agricultural land from 1992 to 2015 using the Climate Change Initiative (CCI) land cover data developed by the European Space Agency (ESA). A geographically weighted regression method is employed to quantify the spatially heterogeneous drivers of forest change. Our results show that socioeconomic drivers are more important than biophysical drivers for the conversion of forest to agricultural land in South Asia and maritime Southeast Asia. In contrast, biophysical drivers are more important than socioeconomic drivers for the conversion of agricultural land to forest in maritime Southeast Asia and less important in South Asia. Both biophysical and socioeconomic drivers contribute approximately equally to both changes in the mainland Southeast Asia region. By quantifying the dynamics of forest and agricultural land and the spatially explicit drivers of their changes in SSEA, this study provides a solid foundation for LULCC modeling and projection.","container-title":"Global Change Biology","DOI":"10.1111/gcb.14611","ISSN":"1365-2486","issue":"6","language":"en","page":"2137-2151","source":"Wiley Online Library","title":"Quantifying the biophysical and socioeconomic drivers of changes in forest and agricultural land in South and Southeast Asia","volume":"25","author":[{"family":"Xu","given":"Xiaoming"},{"family":"Jain","given":"Atul K."},{"family":"Calvin","given":"Katherine V."}],"issued":{"date-parts":[["2019"]]}}}],"schema":"https://github.com/citation-style-language/schema/raw/master/csl-citation.json"} </w:instrText>
      </w:r>
      <w:r w:rsidRPr="00D6664E">
        <w:fldChar w:fldCharType="separate"/>
      </w:r>
      <w:r w:rsidR="00F34C45" w:rsidRPr="00F34C45">
        <w:rPr>
          <w:rFonts w:ascii="Calibri" w:hAnsi="Calibri" w:cs="Calibri"/>
        </w:rPr>
        <w:t>(Abdullah &amp; Nakagoshi 2007; Davis et al. 2015; Xu et al. 2019)</w:t>
      </w:r>
      <w:r w:rsidRPr="00D6664E">
        <w:fldChar w:fldCharType="end"/>
      </w:r>
      <w:r w:rsidRPr="00D6664E">
        <w:t xml:space="preserve">, protected areas </w:t>
      </w:r>
      <w:r w:rsidRPr="00D6664E">
        <w:fldChar w:fldCharType="begin"/>
      </w:r>
      <w:r w:rsidR="000359C7">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D6664E">
        <w:fldChar w:fldCharType="separate"/>
      </w:r>
      <w:r w:rsidR="000359C7" w:rsidRPr="000359C7">
        <w:rPr>
          <w:rFonts w:ascii="Calibri" w:hAnsi="Calibri" w:cs="Calibri"/>
        </w:rPr>
        <w:t>(Bonilla-Bedoya et al. 2018)</w:t>
      </w:r>
      <w:r w:rsidRPr="00D6664E">
        <w:fldChar w:fldCharType="end"/>
      </w:r>
      <w:r w:rsidRPr="00D6664E">
        <w:t xml:space="preserve">, elevation </w:t>
      </w:r>
      <w:r w:rsidRPr="00D6664E">
        <w:fldChar w:fldCharType="begin"/>
      </w:r>
      <w:r w:rsidR="000359C7">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and distance to human infrastructure </w:t>
      </w:r>
      <w:r w:rsidRPr="00D6664E">
        <w:fldChar w:fldCharType="begin"/>
      </w:r>
      <w:r w:rsidR="000359C7">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Pr="00D6664E">
        <w:fldChar w:fldCharType="separate"/>
      </w:r>
      <w:r w:rsidR="000359C7" w:rsidRPr="000359C7">
        <w:rPr>
          <w:rFonts w:ascii="Calibri" w:hAnsi="Calibri" w:cs="Calibri"/>
        </w:rPr>
        <w:t>(Ty et al. 2012)</w:t>
      </w:r>
      <w:r w:rsidRPr="00D6664E">
        <w:fldChar w:fldCharType="end"/>
      </w:r>
      <w:r w:rsidRPr="00D6664E">
        <w:t xml:space="preserve">. A habitat control variable was excluded because the response variable (forest cover) was extracted from a land cover layer and represented a specific type of habitat, resulting in non-independence between the response and habitat. </w:t>
      </w:r>
    </w:p>
    <w:p w14:paraId="47BC75BD" w14:textId="77777777" w:rsidR="00D6664E" w:rsidRPr="000920A2" w:rsidRDefault="00D6664E" w:rsidP="00D6664E">
      <w:pPr>
        <w:rPr>
          <w:i/>
          <w:iCs/>
        </w:rPr>
      </w:pPr>
      <w:r w:rsidRPr="000920A2">
        <w:rPr>
          <w:i/>
          <w:iCs/>
        </w:rPr>
        <w:t>Data processing</w:t>
      </w:r>
    </w:p>
    <w:p w14:paraId="05110FED" w14:textId="579C4094" w:rsidR="00D6664E" w:rsidRDefault="00D6664E">
      <w:r w:rsidRPr="00D6664E">
        <w:t>The forest cover response</w:t>
      </w:r>
      <w:r w:rsidR="00535B36">
        <w:t xml:space="preserve"> variable</w:t>
      </w:r>
      <w:r w:rsidRPr="00D6664E">
        <w:t xml:space="preserve"> was extracted from the ESACCI product by totalling the number of pixels (1 Pixel = 0.09km</w:t>
      </w:r>
      <w:r w:rsidRPr="00D6664E">
        <w:rPr>
          <w:vertAlign w:val="superscript"/>
        </w:rPr>
        <w:t>2</w:t>
      </w:r>
      <w:r w:rsidRPr="00D6664E">
        <w:t>) in each year classified as bands 50, 60, 61, 62, 70, 71, 72, 80, 81, 82, 90, and 100 (</w:t>
      </w:r>
      <w:r w:rsidRPr="00535B36">
        <w:rPr>
          <w:highlight w:val="yellow"/>
        </w:rPr>
        <w:t>Table S4</w:t>
      </w:r>
      <w:r w:rsidRPr="00D6664E">
        <w:t xml:space="preserve">). </w:t>
      </w:r>
      <w:r w:rsidR="00535B36">
        <w:t>T</w:t>
      </w:r>
      <w:r w:rsidRPr="00D6664E">
        <w:t xml:space="preserve">he forest cover layer was stratified into forest cover per commune and forest cover per province. Forest cover data processing was done in QGIS </w:t>
      </w:r>
      <w:r w:rsidRPr="00D6664E">
        <w:fldChar w:fldCharType="begin"/>
      </w:r>
      <w:r w:rsidRPr="00D6664E">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D6664E">
        <w:fldChar w:fldCharType="separate"/>
      </w:r>
      <w:r w:rsidRPr="00D6664E">
        <w:t>(QGIS Geographic Information System v3.16)</w:t>
      </w:r>
      <w:r w:rsidRPr="00D6664E">
        <w:fldChar w:fldCharType="end"/>
      </w:r>
      <w:r w:rsidRPr="00D6664E">
        <w:t xml:space="preserve">. </w:t>
      </w:r>
      <w:r w:rsidR="00535B36">
        <w:t>P</w:t>
      </w:r>
      <w:r w:rsidRPr="00D6664E">
        <w:t xml:space="preserve">redictor variables were checked for collinearity, and if two variables in the same set had a correlation coefficient of &gt;0.6 then generally one was removed (Supporting Information).  </w:t>
      </w:r>
    </w:p>
    <w:p w14:paraId="2ABF225F" w14:textId="6C8A6CBE" w:rsidR="00D6664E" w:rsidRPr="001E05DC" w:rsidRDefault="00D6664E" w:rsidP="00D6664E">
      <w:r w:rsidRPr="001E05DC">
        <w:t xml:space="preserve">Data from the Commune Database were at the resolution of individual village, and so the selected variables (Table </w:t>
      </w:r>
      <w:r w:rsidR="00535B36">
        <w:t>1</w:t>
      </w:r>
      <w:r w:rsidRPr="001E05DC">
        <w:t xml:space="preserve">) were aggregated to the commune and province level after error checking and cleaning (Supporting Information). This resulted in between 1,317 and 1,512 communes, and 23 Provinces (excluding Phnom Penh). The number of communes changed between years due to administrative changes. Some variables were converted from raw values to proportional data to account for large differences in commune and province size and human population (Table </w:t>
      </w:r>
      <w:r w:rsidR="00535B36">
        <w:t>1</w:t>
      </w:r>
      <w:r w:rsidRPr="001E05DC">
        <w:t xml:space="preserve">). Data were checked for errors in R (Supporting Information, R Core Team, version 4.0). </w:t>
      </w:r>
    </w:p>
    <w:p w14:paraId="7FEBA632" w14:textId="77777777" w:rsidR="00D6664E" w:rsidRPr="000920A2" w:rsidRDefault="00D6664E" w:rsidP="00D6664E">
      <w:pPr>
        <w:rPr>
          <w:i/>
          <w:iCs/>
        </w:rPr>
      </w:pPr>
      <w:r w:rsidRPr="000920A2">
        <w:rPr>
          <w:i/>
          <w:iCs/>
        </w:rPr>
        <w:t xml:space="preserve">Modelling </w:t>
      </w:r>
    </w:p>
    <w:p w14:paraId="7DCA6B4D" w14:textId="77777777" w:rsidR="00D6664E" w:rsidRPr="001E05DC" w:rsidRDefault="00D6664E" w:rsidP="00D6664E">
      <w:r w:rsidRPr="001E05DC">
        <w:t xml:space="preserve">This analysis aimed to model the relationships between forest cover and socioeconomic variables within communes between 2007 – 2012. The results of initial commune-level modelling prompted further aggregation of the data to the province-level and models were built to investigate the relationships between forest cover and socioeconomic variables within provinces for the same time period. </w:t>
      </w:r>
    </w:p>
    <w:p w14:paraId="59835B50" w14:textId="77777777" w:rsidR="00D6664E" w:rsidRPr="000920A2" w:rsidRDefault="00D6664E" w:rsidP="000920A2">
      <w:pPr>
        <w:rPr>
          <w:u w:val="single"/>
        </w:rPr>
      </w:pPr>
      <w:r w:rsidRPr="000920A2">
        <w:rPr>
          <w:u w:val="single"/>
        </w:rPr>
        <w:t>Commune-level models</w:t>
      </w:r>
    </w:p>
    <w:p w14:paraId="1F52ED19" w14:textId="3767CE48" w:rsidR="00D6664E" w:rsidRPr="001E05DC" w:rsidRDefault="00D6664E" w:rsidP="00D6664E">
      <w:r w:rsidRPr="001E05DC">
        <w:t xml:space="preserve">Generalised linear mixed models (GLMM) with Poisson errors were </w:t>
      </w:r>
      <w:r w:rsidR="00535B36">
        <w:t>built</w:t>
      </w:r>
      <w:r w:rsidRPr="001E05DC">
        <w:t xml:space="preserve"> with commune nested within province as random intercept terms to account for repeat measurements and the hierarchical data structure, and year as a random slope term to account for temporal autocorrelation </w:t>
      </w:r>
      <w:r w:rsidRPr="001E05DC">
        <w:fldChar w:fldCharType="begin"/>
      </w:r>
      <w:r w:rsidR="000359C7">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Pr="001E05DC">
        <w:fldChar w:fldCharType="separate"/>
      </w:r>
      <w:r w:rsidR="000359C7" w:rsidRPr="000359C7">
        <w:rPr>
          <w:rFonts w:ascii="Calibri" w:hAnsi="Calibri" w:cs="Calibri"/>
        </w:rPr>
        <w:t xml:space="preserve">(Zuur et al. </w:t>
      </w:r>
      <w:r w:rsidR="000359C7" w:rsidRPr="000359C7">
        <w:rPr>
          <w:rFonts w:ascii="Calibri" w:hAnsi="Calibri" w:cs="Calibri"/>
        </w:rPr>
        <w:lastRenderedPageBreak/>
        <w:t>2009)</w:t>
      </w:r>
      <w:r w:rsidRPr="001E05DC">
        <w:fldChar w:fldCharType="end"/>
      </w:r>
      <w:r w:rsidRPr="001E05DC">
        <w:t>. The natural logarithm of commune area (km</w:t>
      </w:r>
      <w:r w:rsidRPr="001E05DC">
        <w:rPr>
          <w:vertAlign w:val="superscript"/>
        </w:rPr>
        <w:t>2</w:t>
      </w:r>
      <w:r w:rsidRPr="001E05DC">
        <w:t>) was used as an offset term in all models to account for large variation in commune size. Due to the large number of available predictor variables, maximal within-set models were run first for each of the 8 variable sets (</w:t>
      </w:r>
      <w:r w:rsidRPr="00535B36">
        <w:rPr>
          <w:highlight w:val="yellow"/>
        </w:rPr>
        <w:t>Table S8</w:t>
      </w:r>
      <w:r w:rsidRPr="001E05DC">
        <w:t>), and variables with very weak, or no effect were dropped. Simplified models were compared with maximal models using likelihood ratio tests and analysis of variance tests. If a variable set had only one variable, this was automatically taken forward. Because assessment of term significance in GLMMs is complex, predictions and plots were made for all terms before being dropped to ensure noteworthy effects were not being missed. This process resulted in a final set of 13 variables which were used to create a candidate set of 10 models (</w:t>
      </w:r>
      <w:r w:rsidRPr="00535B36">
        <w:rPr>
          <w:highlight w:val="yellow"/>
        </w:rPr>
        <w:t>Table S19</w:t>
      </w:r>
      <w:r w:rsidRPr="001E05DC">
        <w:t xml:space="preserve">). Following an information theoretic approach </w:t>
      </w:r>
      <w:r w:rsidRPr="001E05DC">
        <w:fldChar w:fldCharType="begin"/>
      </w:r>
      <w:r w:rsidR="000359C7">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0359C7" w:rsidRPr="000359C7">
        <w:rPr>
          <w:rFonts w:ascii="Calibri" w:hAnsi="Calibri" w:cs="Calibri"/>
        </w:rPr>
        <w:t>(Burnham &amp; Anderson 2007)</w:t>
      </w:r>
      <w:r w:rsidRPr="001E05DC">
        <w:fldChar w:fldCharType="end"/>
      </w:r>
      <w:r w:rsidRPr="001E05DC">
        <w:t xml:space="preserve"> models were compared via AIC to select the top model or models. The resulting final model fit was assessed via diagnostic plots (residuals versus fitted, quantile-quantile of random effects, Supporting Information, </w:t>
      </w:r>
      <w:r w:rsidRPr="001E05DC">
        <w:fldChar w:fldCharType="begin"/>
      </w:r>
      <w:r w:rsidRPr="001E05DC">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Pr="001E05DC">
        <w:fldChar w:fldCharType="separate"/>
      </w:r>
      <w:r w:rsidRPr="001E05DC">
        <w:t>Harrison et al (2018)</w:t>
      </w:r>
      <w:r w:rsidRPr="001E05DC">
        <w:fldChar w:fldCharType="end"/>
      </w:r>
      <w:r w:rsidRPr="001E05DC">
        <w:t>).  Marginal (fixed effects only) and conditional (fixed and random effects) pseudo-R</w:t>
      </w:r>
      <w:r w:rsidRPr="001E05DC">
        <w:rPr>
          <w:vertAlign w:val="superscript"/>
        </w:rPr>
        <w:t>2</w:t>
      </w:r>
      <w:r w:rsidRPr="001E05DC">
        <w:t xml:space="preserve"> values were calculated based on </w:t>
      </w:r>
      <w:r w:rsidRPr="001E05DC">
        <w:fldChar w:fldCharType="begin"/>
      </w:r>
      <w:r w:rsidRPr="001E05DC">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Pr="001E05DC">
        <w:fldChar w:fldCharType="separate"/>
      </w:r>
      <w:r w:rsidRPr="001E05DC">
        <w:t>Nakagawa &amp; Schielzeth (2017)</w:t>
      </w:r>
      <w:r w:rsidRPr="001E05DC">
        <w:fldChar w:fldCharType="end"/>
      </w:r>
      <w:r w:rsidRPr="001E05DC">
        <w:t xml:space="preserve"> using the R package ‘MuMIn’ </w:t>
      </w:r>
      <w:r w:rsidRPr="001E05DC">
        <w:fldChar w:fldCharType="begin"/>
      </w:r>
      <w:r w:rsidR="000359C7">
        <w:instrText xml:space="preserve"> ADDIN ZOTERO_ITEM CSL_CITATION {"citationID":"aNENcyHk","properties":{"formattedCitation":"(Barto\\uc0\\u324{} 2020)","plainCitation":"(Bartoń 2020)","noteIndex":0},"citationItems":[{"id":2704,"uris":["http://zotero.org/users/2170232/items/TVZKJH5U"],"uri":["http://zotero.org/users/2170232/items/TVZKJH5U"],"itemData":{"id":2704,"type":"book","abstract":"Tools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000359C7" w:rsidRPr="000359C7">
        <w:rPr>
          <w:rFonts w:ascii="Calibri" w:hAnsi="Calibri" w:cs="Calibri"/>
          <w:szCs w:val="24"/>
        </w:rPr>
        <w:t>(Bartoń 2020)</w:t>
      </w:r>
      <w:r w:rsidRPr="001E05DC">
        <w:fldChar w:fldCharType="end"/>
      </w:r>
      <w:r w:rsidRPr="001E05DC">
        <w:t>. To investigate the variation in effects between provinces, predictions were made for each variable within each commune and the 50% quantile</w:t>
      </w:r>
      <w:r w:rsidR="00535B36">
        <w:t xml:space="preserve"> (median)</w:t>
      </w:r>
      <w:r w:rsidRPr="001E05DC">
        <w:t xml:space="preserve"> from all commune-level predictions within each province was extracted as the provincial mean prediction. </w:t>
      </w:r>
    </w:p>
    <w:p w14:paraId="4B5E942D" w14:textId="18FD7A0E" w:rsidR="00D6664E" w:rsidRPr="000920A2" w:rsidRDefault="00D6664E" w:rsidP="00D6664E">
      <w:pPr>
        <w:rPr>
          <w:u w:val="single"/>
        </w:rPr>
      </w:pPr>
      <w:r w:rsidRPr="000920A2">
        <w:rPr>
          <w:u w:val="single"/>
        </w:rPr>
        <w:t>Province-level models</w:t>
      </w:r>
    </w:p>
    <w:p w14:paraId="06674FC1" w14:textId="112C4022" w:rsidR="00D6664E" w:rsidRPr="001E05DC" w:rsidRDefault="00D6664E" w:rsidP="00D6664E">
      <w:r w:rsidRPr="001E05DC">
        <w:t xml:space="preserve">The same GLMM model formulation was used for the province-level models except that commune was removed from the random effects structure. Based on provincial-level histograms of predictor variables, 14 predictors were converted to categorical variables by splitting the data by the mean, resulting in “high” and “low” values (Table </w:t>
      </w:r>
      <w:r w:rsidR="00535B36">
        <w:t>1</w:t>
      </w:r>
      <w:r w:rsidRPr="001E05DC">
        <w:t>). Following an information theoretic approach, a candidate set of models was created (</w:t>
      </w:r>
      <w:r w:rsidRPr="00535B36">
        <w:rPr>
          <w:highlight w:val="yellow"/>
        </w:rPr>
        <w:t>Table Sx</w:t>
      </w:r>
      <w:r w:rsidRPr="001E05DC">
        <w:t>) and model comparison was done using AIC.</w:t>
      </w:r>
    </w:p>
    <w:p w14:paraId="446B4494" w14:textId="77777777" w:rsidR="00D6664E" w:rsidRPr="000920A2" w:rsidRDefault="00D6664E" w:rsidP="00D6664E">
      <w:r w:rsidRPr="000920A2">
        <w:rPr>
          <w:i/>
          <w:iCs/>
        </w:rPr>
        <w:t>Cluster analysis</w:t>
      </w:r>
    </w:p>
    <w:p w14:paraId="6232B4B6" w14:textId="0DC78A97" w:rsidR="00D6664E" w:rsidRPr="001E05DC" w:rsidRDefault="00D6664E" w:rsidP="00D6664E">
      <w:r w:rsidRPr="001E05DC">
        <w:t>Agglomerative clustering was conducted to create a typology for provinces based on the socioeconomic variables used in the analysis above. Several agglomerative clustering approaches were assessed. These were single linkage, complete linkage, unweighted pair-group using arithmetic averages (UPGMA), unweighted pair-group using centroids (UPGMC), Ward’s minimum variance, and flexible clustering. The methods were compared using cophenetic correlation and Gower distance metrics, and the appropriate number of clusters (</w:t>
      </w:r>
      <w:r w:rsidRPr="00535B36">
        <w:rPr>
          <w:i/>
          <w:iCs/>
        </w:rPr>
        <w:t>k</w:t>
      </w:r>
      <w:r w:rsidRPr="001E05DC">
        <w:t xml:space="preserve">) was selected using the matrix correlation statistics </w:t>
      </w:r>
      <w:r w:rsidRPr="001E05DC">
        <w:fldChar w:fldCharType="begin"/>
      </w:r>
      <w:r w:rsidR="000359C7">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rsidRPr="001E05DC">
        <w:fldChar w:fldCharType="separate"/>
      </w:r>
      <w:r w:rsidR="000359C7" w:rsidRPr="000359C7">
        <w:rPr>
          <w:rFonts w:ascii="Calibri" w:hAnsi="Calibri" w:cs="Calibri"/>
        </w:rPr>
        <w:t>(Borcard et al. 2018)</w:t>
      </w:r>
      <w:r w:rsidRPr="001E05DC">
        <w:fldChar w:fldCharType="end"/>
      </w:r>
      <w:r w:rsidRPr="001E05DC">
        <w:t xml:space="preserve">. The capital city of Phnom Penh, which is technically a province in itself, was removed prior to clustering because it has extreme values for many of the variables and is thus an outlier that affects the clustering. </w:t>
      </w:r>
    </w:p>
    <w:p w14:paraId="702A8863" w14:textId="77777777" w:rsidR="00D6664E" w:rsidRDefault="00D6664E"/>
    <w:p w14:paraId="2B1DFFCE" w14:textId="38EB4187" w:rsidR="00D6664E" w:rsidRDefault="00D6664E"/>
    <w:p w14:paraId="343D9AA8" w14:textId="3A62E4DD" w:rsidR="00D6664E" w:rsidRDefault="00D6664E"/>
    <w:p w14:paraId="7EF2D736" w14:textId="45372628" w:rsidR="00D6664E" w:rsidRDefault="00D6664E"/>
    <w:p w14:paraId="6FBFA9F7" w14:textId="26E855FA" w:rsidR="00D6664E" w:rsidRDefault="00D6664E"/>
    <w:p w14:paraId="3A372B5E" w14:textId="71877CED" w:rsidR="00D6664E" w:rsidRDefault="00D6664E"/>
    <w:p w14:paraId="113B0DA0" w14:textId="77777777" w:rsidR="00D6664E" w:rsidRDefault="00D6664E">
      <w:pPr>
        <w:sectPr w:rsidR="00D6664E">
          <w:pgSz w:w="11906" w:h="16838"/>
          <w:pgMar w:top="1440" w:right="1440" w:bottom="1440" w:left="1440" w:header="708" w:footer="708" w:gutter="0"/>
          <w:cols w:space="708"/>
          <w:docGrid w:linePitch="360"/>
        </w:sectPr>
      </w:pPr>
    </w:p>
    <w:p w14:paraId="21866016" w14:textId="0334312A" w:rsidR="00D6664E" w:rsidRPr="001E05DC" w:rsidRDefault="00D6664E" w:rsidP="00D6664E">
      <w:pPr>
        <w:rPr>
          <w:b/>
          <w:bCs/>
        </w:rPr>
      </w:pPr>
      <w:r w:rsidRPr="001E05DC">
        <w:rPr>
          <w:b/>
          <w:bCs/>
        </w:rPr>
        <w:lastRenderedPageBreak/>
        <w:t xml:space="preserve">Table </w:t>
      </w:r>
      <w:r w:rsidR="000920A2">
        <w:rPr>
          <w:b/>
          <w:bCs/>
        </w:rPr>
        <w:t>1</w:t>
      </w:r>
      <w:r w:rsidRPr="001E05DC">
        <w:rPr>
          <w:b/>
          <w:bCs/>
        </w:rPr>
        <w:t xml:space="preserve">. Variables selected for the socioeconomic analysis. Variables range from 2007 – 2012.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3"/>
        <w:gridCol w:w="2977"/>
        <w:gridCol w:w="2126"/>
        <w:gridCol w:w="4309"/>
      </w:tblGrid>
      <w:tr w:rsidR="00D6664E" w:rsidRPr="001E05DC" w14:paraId="458B49BD" w14:textId="77777777" w:rsidTr="001A26A3">
        <w:tc>
          <w:tcPr>
            <w:tcW w:w="1843" w:type="dxa"/>
            <w:tcBorders>
              <w:top w:val="single" w:sz="12" w:space="0" w:color="auto"/>
              <w:bottom w:val="single" w:sz="12" w:space="0" w:color="auto"/>
            </w:tcBorders>
          </w:tcPr>
          <w:p w14:paraId="3B20DEDE" w14:textId="77777777" w:rsidR="00D6664E" w:rsidRPr="001E05DC" w:rsidRDefault="00D6664E" w:rsidP="001A26A3">
            <w:pPr>
              <w:spacing w:after="160" w:line="259" w:lineRule="auto"/>
              <w:rPr>
                <w:b/>
                <w:bCs/>
              </w:rPr>
            </w:pPr>
            <w:r w:rsidRPr="001E05DC">
              <w:rPr>
                <w:b/>
                <w:bCs/>
              </w:rPr>
              <w:t>Set</w:t>
            </w:r>
          </w:p>
        </w:tc>
        <w:tc>
          <w:tcPr>
            <w:tcW w:w="2693" w:type="dxa"/>
            <w:tcBorders>
              <w:top w:val="single" w:sz="12" w:space="0" w:color="auto"/>
              <w:bottom w:val="single" w:sz="12" w:space="0" w:color="auto"/>
            </w:tcBorders>
          </w:tcPr>
          <w:p w14:paraId="7712D14C" w14:textId="77777777" w:rsidR="00D6664E" w:rsidRPr="001E05DC" w:rsidRDefault="00D6664E" w:rsidP="001A26A3">
            <w:pPr>
              <w:spacing w:after="160" w:line="259" w:lineRule="auto"/>
              <w:rPr>
                <w:b/>
                <w:bCs/>
              </w:rPr>
            </w:pPr>
            <w:r w:rsidRPr="001E05DC">
              <w:rPr>
                <w:b/>
                <w:bCs/>
              </w:rPr>
              <w:t>Variable</w:t>
            </w:r>
          </w:p>
        </w:tc>
        <w:tc>
          <w:tcPr>
            <w:tcW w:w="2977" w:type="dxa"/>
            <w:tcBorders>
              <w:top w:val="single" w:sz="12" w:space="0" w:color="auto"/>
              <w:bottom w:val="single" w:sz="12" w:space="0" w:color="auto"/>
            </w:tcBorders>
          </w:tcPr>
          <w:p w14:paraId="27F44AF8" w14:textId="77777777" w:rsidR="00D6664E" w:rsidRPr="001E05DC" w:rsidRDefault="00D6664E" w:rsidP="001A26A3">
            <w:pPr>
              <w:spacing w:after="160" w:line="259" w:lineRule="auto"/>
              <w:rPr>
                <w:b/>
                <w:bCs/>
              </w:rPr>
            </w:pPr>
            <w:r w:rsidRPr="001E05DC">
              <w:rPr>
                <w:b/>
                <w:bCs/>
              </w:rPr>
              <w:t>Transformation for analysis</w:t>
            </w:r>
          </w:p>
        </w:tc>
        <w:tc>
          <w:tcPr>
            <w:tcW w:w="2126" w:type="dxa"/>
            <w:tcBorders>
              <w:top w:val="single" w:sz="12" w:space="0" w:color="auto"/>
              <w:bottom w:val="single" w:sz="12" w:space="0" w:color="auto"/>
            </w:tcBorders>
          </w:tcPr>
          <w:p w14:paraId="61ECD765" w14:textId="77777777" w:rsidR="00D6664E" w:rsidRPr="001E05DC" w:rsidRDefault="00D6664E" w:rsidP="001A26A3">
            <w:pPr>
              <w:spacing w:after="160" w:line="259" w:lineRule="auto"/>
              <w:rPr>
                <w:b/>
                <w:bCs/>
              </w:rPr>
            </w:pPr>
            <w:r w:rsidRPr="001E05DC">
              <w:rPr>
                <w:b/>
                <w:bCs/>
              </w:rPr>
              <w:t>Province-level class</w:t>
            </w:r>
          </w:p>
        </w:tc>
        <w:tc>
          <w:tcPr>
            <w:tcW w:w="4309" w:type="dxa"/>
            <w:tcBorders>
              <w:top w:val="single" w:sz="12" w:space="0" w:color="auto"/>
              <w:bottom w:val="single" w:sz="12" w:space="0" w:color="auto"/>
            </w:tcBorders>
          </w:tcPr>
          <w:p w14:paraId="56102C96" w14:textId="77777777" w:rsidR="00D6664E" w:rsidRPr="001E05DC" w:rsidRDefault="00D6664E" w:rsidP="001A26A3">
            <w:pPr>
              <w:spacing w:after="160" w:line="259" w:lineRule="auto"/>
              <w:rPr>
                <w:b/>
                <w:bCs/>
              </w:rPr>
            </w:pPr>
            <w:r w:rsidRPr="001E05DC">
              <w:rPr>
                <w:b/>
                <w:bCs/>
              </w:rPr>
              <w:t>Details</w:t>
            </w:r>
          </w:p>
        </w:tc>
      </w:tr>
      <w:tr w:rsidR="00D6664E" w:rsidRPr="001E05DC" w14:paraId="50B9E2F4" w14:textId="77777777" w:rsidTr="001A26A3">
        <w:tc>
          <w:tcPr>
            <w:tcW w:w="1843" w:type="dxa"/>
            <w:tcBorders>
              <w:top w:val="single" w:sz="12" w:space="0" w:color="auto"/>
            </w:tcBorders>
          </w:tcPr>
          <w:p w14:paraId="0B98A9EF" w14:textId="77777777" w:rsidR="00D6664E" w:rsidRPr="001E05DC" w:rsidRDefault="00D6664E" w:rsidP="001A26A3">
            <w:pPr>
              <w:spacing w:after="160" w:line="259" w:lineRule="auto"/>
            </w:pPr>
            <w:r w:rsidRPr="001E05DC">
              <w:t>Demographics</w:t>
            </w:r>
          </w:p>
        </w:tc>
        <w:tc>
          <w:tcPr>
            <w:tcW w:w="2693" w:type="dxa"/>
            <w:tcBorders>
              <w:top w:val="single" w:sz="12" w:space="0" w:color="auto"/>
            </w:tcBorders>
          </w:tcPr>
          <w:p w14:paraId="7ABBFA3B" w14:textId="77777777" w:rsidR="00D6664E" w:rsidRPr="001E05DC" w:rsidRDefault="00D6664E" w:rsidP="001A26A3">
            <w:pPr>
              <w:spacing w:after="160" w:line="259" w:lineRule="auto"/>
            </w:pPr>
            <w:r w:rsidRPr="001E05DC">
              <w:t>Total population</w:t>
            </w:r>
          </w:p>
        </w:tc>
        <w:tc>
          <w:tcPr>
            <w:tcW w:w="2977" w:type="dxa"/>
            <w:tcBorders>
              <w:top w:val="single" w:sz="12" w:space="0" w:color="auto"/>
            </w:tcBorders>
          </w:tcPr>
          <w:p w14:paraId="187BA36B" w14:textId="77777777" w:rsidR="00D6664E" w:rsidRPr="001E05DC" w:rsidRDefault="00D6664E" w:rsidP="001A26A3">
            <w:pPr>
              <w:spacing w:after="160" w:line="259" w:lineRule="auto"/>
            </w:pPr>
          </w:p>
        </w:tc>
        <w:tc>
          <w:tcPr>
            <w:tcW w:w="2126" w:type="dxa"/>
            <w:tcBorders>
              <w:top w:val="single" w:sz="12" w:space="0" w:color="auto"/>
            </w:tcBorders>
          </w:tcPr>
          <w:p w14:paraId="5A390E9F" w14:textId="77777777" w:rsidR="00D6664E" w:rsidRPr="001E05DC" w:rsidRDefault="00D6664E" w:rsidP="001A26A3">
            <w:pPr>
              <w:spacing w:after="160" w:line="259" w:lineRule="auto"/>
            </w:pPr>
            <w:r w:rsidRPr="001E05DC">
              <w:t>NA</w:t>
            </w:r>
          </w:p>
        </w:tc>
        <w:tc>
          <w:tcPr>
            <w:tcW w:w="4309" w:type="dxa"/>
            <w:tcBorders>
              <w:top w:val="single" w:sz="12" w:space="0" w:color="auto"/>
            </w:tcBorders>
          </w:tcPr>
          <w:p w14:paraId="59F2BFEE" w14:textId="77777777" w:rsidR="00D6664E" w:rsidRPr="001E05DC" w:rsidRDefault="00D6664E" w:rsidP="001A26A3">
            <w:pPr>
              <w:spacing w:after="160" w:line="259" w:lineRule="auto"/>
            </w:pPr>
            <w:r w:rsidRPr="001E05DC">
              <w:t>Includes women, men, and children of all ages</w:t>
            </w:r>
          </w:p>
        </w:tc>
      </w:tr>
      <w:tr w:rsidR="00D6664E" w:rsidRPr="001E05DC" w14:paraId="3E36A5CF" w14:textId="77777777" w:rsidTr="001A26A3">
        <w:tc>
          <w:tcPr>
            <w:tcW w:w="1843" w:type="dxa"/>
          </w:tcPr>
          <w:p w14:paraId="06448E26" w14:textId="77777777" w:rsidR="00D6664E" w:rsidRPr="001E05DC" w:rsidRDefault="00D6664E" w:rsidP="001A26A3">
            <w:pPr>
              <w:spacing w:after="160" w:line="259" w:lineRule="auto"/>
            </w:pPr>
          </w:p>
        </w:tc>
        <w:tc>
          <w:tcPr>
            <w:tcW w:w="2693" w:type="dxa"/>
          </w:tcPr>
          <w:p w14:paraId="0F0E03AD" w14:textId="77777777" w:rsidR="00D6664E" w:rsidRPr="001E05DC" w:rsidRDefault="00D6664E" w:rsidP="001A26A3">
            <w:pPr>
              <w:spacing w:after="160" w:line="259" w:lineRule="auto"/>
            </w:pPr>
            <w:r w:rsidRPr="001E05DC">
              <w:t>Population density</w:t>
            </w:r>
          </w:p>
        </w:tc>
        <w:tc>
          <w:tcPr>
            <w:tcW w:w="2977" w:type="dxa"/>
          </w:tcPr>
          <w:p w14:paraId="27AFBC58" w14:textId="77777777" w:rsidR="00D6664E" w:rsidRPr="001E05DC" w:rsidRDefault="00D6664E" w:rsidP="001A26A3">
            <w:pPr>
              <w:spacing w:after="160" w:line="259" w:lineRule="auto"/>
            </w:pPr>
          </w:p>
        </w:tc>
        <w:tc>
          <w:tcPr>
            <w:tcW w:w="2126" w:type="dxa"/>
          </w:tcPr>
          <w:p w14:paraId="1BD95429" w14:textId="77777777" w:rsidR="00D6664E" w:rsidRPr="001E05DC" w:rsidRDefault="00D6664E" w:rsidP="001A26A3">
            <w:pPr>
              <w:spacing w:after="160" w:line="259" w:lineRule="auto"/>
            </w:pPr>
          </w:p>
        </w:tc>
        <w:tc>
          <w:tcPr>
            <w:tcW w:w="4309" w:type="dxa"/>
          </w:tcPr>
          <w:p w14:paraId="7B7E7AB7" w14:textId="77777777" w:rsidR="00D6664E" w:rsidRPr="001E05DC" w:rsidRDefault="00D6664E" w:rsidP="001A26A3">
            <w:pPr>
              <w:spacing w:after="160" w:line="259" w:lineRule="auto"/>
            </w:pPr>
          </w:p>
        </w:tc>
      </w:tr>
      <w:tr w:rsidR="00D6664E" w:rsidRPr="001E05DC" w14:paraId="6881E709" w14:textId="77777777" w:rsidTr="001A26A3">
        <w:tc>
          <w:tcPr>
            <w:tcW w:w="1843" w:type="dxa"/>
            <w:tcBorders>
              <w:bottom w:val="single" w:sz="6" w:space="0" w:color="auto"/>
            </w:tcBorders>
          </w:tcPr>
          <w:p w14:paraId="5183BC42" w14:textId="77777777" w:rsidR="00D6664E" w:rsidRPr="001E05DC" w:rsidRDefault="00D6664E" w:rsidP="001A26A3">
            <w:pPr>
              <w:spacing w:after="160" w:line="259" w:lineRule="auto"/>
            </w:pPr>
          </w:p>
        </w:tc>
        <w:tc>
          <w:tcPr>
            <w:tcW w:w="2693" w:type="dxa"/>
            <w:tcBorders>
              <w:bottom w:val="single" w:sz="6" w:space="0" w:color="auto"/>
            </w:tcBorders>
          </w:tcPr>
          <w:p w14:paraId="45DA0372" w14:textId="77777777" w:rsidR="00D6664E" w:rsidRPr="001E05DC" w:rsidRDefault="00D6664E" w:rsidP="001A26A3">
            <w:pPr>
              <w:spacing w:after="160" w:line="259" w:lineRule="auto"/>
            </w:pPr>
            <w:r w:rsidRPr="001E05DC">
              <w:t xml:space="preserve">Number indigenous </w:t>
            </w:r>
          </w:p>
        </w:tc>
        <w:tc>
          <w:tcPr>
            <w:tcW w:w="2977" w:type="dxa"/>
            <w:tcBorders>
              <w:bottom w:val="single" w:sz="6" w:space="0" w:color="auto"/>
            </w:tcBorders>
          </w:tcPr>
          <w:p w14:paraId="57C31397" w14:textId="77777777" w:rsidR="00D6664E" w:rsidRPr="001E05DC" w:rsidRDefault="00D6664E" w:rsidP="001A26A3">
            <w:pPr>
              <w:spacing w:after="160" w:line="259" w:lineRule="auto"/>
            </w:pPr>
            <w:r w:rsidRPr="001E05DC">
              <w:t>Proportion of total population</w:t>
            </w:r>
          </w:p>
        </w:tc>
        <w:tc>
          <w:tcPr>
            <w:tcW w:w="2126" w:type="dxa"/>
            <w:tcBorders>
              <w:bottom w:val="single" w:sz="6" w:space="0" w:color="auto"/>
            </w:tcBorders>
          </w:tcPr>
          <w:p w14:paraId="71D36643"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56071372" w14:textId="77777777" w:rsidR="00D6664E" w:rsidRPr="001E05DC" w:rsidRDefault="00D6664E" w:rsidP="001A26A3">
            <w:pPr>
              <w:spacing w:after="160" w:line="259" w:lineRule="auto"/>
            </w:pPr>
            <w:r w:rsidRPr="001E05DC">
              <w:t>Total number of people who are indigenous/ethnic minority</w:t>
            </w:r>
          </w:p>
        </w:tc>
      </w:tr>
      <w:tr w:rsidR="00D6664E" w:rsidRPr="001E05DC" w14:paraId="2C82E758" w14:textId="77777777" w:rsidTr="001A26A3">
        <w:tc>
          <w:tcPr>
            <w:tcW w:w="1843" w:type="dxa"/>
            <w:tcBorders>
              <w:top w:val="single" w:sz="6" w:space="0" w:color="auto"/>
              <w:bottom w:val="single" w:sz="6" w:space="0" w:color="auto"/>
            </w:tcBorders>
          </w:tcPr>
          <w:p w14:paraId="5A893051" w14:textId="77777777" w:rsidR="00D6664E" w:rsidRPr="001E05DC" w:rsidRDefault="00D6664E" w:rsidP="001A26A3">
            <w:pPr>
              <w:spacing w:after="160" w:line="259" w:lineRule="auto"/>
            </w:pPr>
            <w:r w:rsidRPr="001E05DC">
              <w:t>Education</w:t>
            </w:r>
          </w:p>
        </w:tc>
        <w:tc>
          <w:tcPr>
            <w:tcW w:w="2693" w:type="dxa"/>
            <w:tcBorders>
              <w:top w:val="single" w:sz="6" w:space="0" w:color="auto"/>
              <w:bottom w:val="single" w:sz="6" w:space="0" w:color="auto"/>
            </w:tcBorders>
          </w:tcPr>
          <w:p w14:paraId="5C0F6A6B" w14:textId="77777777" w:rsidR="00D6664E" w:rsidRPr="001E05DC" w:rsidRDefault="00D6664E" w:rsidP="001A26A3">
            <w:pPr>
              <w:spacing w:after="160" w:line="259" w:lineRule="auto"/>
            </w:pPr>
            <w:r w:rsidRPr="001E05DC">
              <w:t>Males aged 6 – 24 in school</w:t>
            </w:r>
          </w:p>
        </w:tc>
        <w:tc>
          <w:tcPr>
            <w:tcW w:w="2977" w:type="dxa"/>
            <w:tcBorders>
              <w:top w:val="single" w:sz="6" w:space="0" w:color="auto"/>
              <w:bottom w:val="single" w:sz="6" w:space="0" w:color="auto"/>
            </w:tcBorders>
          </w:tcPr>
          <w:p w14:paraId="5672604A" w14:textId="77777777" w:rsidR="00D6664E" w:rsidRPr="001E05DC" w:rsidRDefault="00D6664E" w:rsidP="001A26A3">
            <w:pPr>
              <w:spacing w:after="160" w:line="259" w:lineRule="auto"/>
            </w:pPr>
            <w:r w:rsidRPr="001E05DC">
              <w:t>Proportion of total number of males aged 6 - 24</w:t>
            </w:r>
          </w:p>
        </w:tc>
        <w:tc>
          <w:tcPr>
            <w:tcW w:w="2126" w:type="dxa"/>
            <w:tcBorders>
              <w:top w:val="single" w:sz="6" w:space="0" w:color="auto"/>
              <w:bottom w:val="single" w:sz="6" w:space="0" w:color="auto"/>
            </w:tcBorders>
          </w:tcPr>
          <w:p w14:paraId="7CE4D36A" w14:textId="77777777" w:rsidR="00D6664E" w:rsidRPr="001E05DC" w:rsidRDefault="00D6664E" w:rsidP="001A26A3">
            <w:pPr>
              <w:spacing w:after="160" w:line="259" w:lineRule="auto"/>
            </w:pPr>
          </w:p>
        </w:tc>
        <w:tc>
          <w:tcPr>
            <w:tcW w:w="4309" w:type="dxa"/>
            <w:tcBorders>
              <w:top w:val="single" w:sz="6" w:space="0" w:color="auto"/>
              <w:bottom w:val="single" w:sz="6" w:space="0" w:color="auto"/>
            </w:tcBorders>
          </w:tcPr>
          <w:p w14:paraId="718F9638" w14:textId="77777777" w:rsidR="00D6664E" w:rsidRPr="001E05DC" w:rsidRDefault="00D6664E" w:rsidP="001A26A3">
            <w:pPr>
              <w:spacing w:after="160" w:line="259" w:lineRule="auto"/>
            </w:pPr>
            <w:r w:rsidRPr="001E05DC">
              <w:t>Number of males aged 6 - 24 in full time education</w:t>
            </w:r>
          </w:p>
        </w:tc>
      </w:tr>
      <w:tr w:rsidR="00D6664E" w:rsidRPr="001E05DC" w14:paraId="2CFF4035" w14:textId="77777777" w:rsidTr="001A26A3">
        <w:tc>
          <w:tcPr>
            <w:tcW w:w="1843" w:type="dxa"/>
            <w:tcBorders>
              <w:top w:val="single" w:sz="6" w:space="0" w:color="auto"/>
            </w:tcBorders>
          </w:tcPr>
          <w:p w14:paraId="34F1DE55" w14:textId="77777777" w:rsidR="00D6664E" w:rsidRPr="001E05DC" w:rsidRDefault="00D6664E" w:rsidP="001A26A3">
            <w:pPr>
              <w:spacing w:after="160" w:line="259" w:lineRule="auto"/>
            </w:pPr>
            <w:r w:rsidRPr="001E05DC">
              <w:t>Employment</w:t>
            </w:r>
          </w:p>
        </w:tc>
        <w:tc>
          <w:tcPr>
            <w:tcW w:w="2693" w:type="dxa"/>
            <w:tcBorders>
              <w:top w:val="single" w:sz="6" w:space="0" w:color="auto"/>
            </w:tcBorders>
          </w:tcPr>
          <w:p w14:paraId="3DEB21AB" w14:textId="77777777" w:rsidR="00D6664E" w:rsidRPr="001E05DC" w:rsidRDefault="00D6664E" w:rsidP="001A26A3">
            <w:pPr>
              <w:spacing w:after="160" w:line="259" w:lineRule="auto"/>
            </w:pPr>
            <w:r w:rsidRPr="001E05DC">
              <w:t>Number of adults employed in primary sector</w:t>
            </w:r>
          </w:p>
        </w:tc>
        <w:tc>
          <w:tcPr>
            <w:tcW w:w="2977" w:type="dxa"/>
            <w:tcBorders>
              <w:top w:val="single" w:sz="6" w:space="0" w:color="auto"/>
            </w:tcBorders>
          </w:tcPr>
          <w:p w14:paraId="00777F35" w14:textId="77777777" w:rsidR="00D6664E" w:rsidRPr="001E05DC" w:rsidRDefault="00D6664E" w:rsidP="001A26A3">
            <w:pPr>
              <w:spacing w:after="160" w:line="259" w:lineRule="auto"/>
            </w:pPr>
            <w:r w:rsidRPr="001E05DC">
              <w:t>Proportion of total adult population</w:t>
            </w:r>
          </w:p>
        </w:tc>
        <w:tc>
          <w:tcPr>
            <w:tcW w:w="2126" w:type="dxa"/>
            <w:tcBorders>
              <w:top w:val="single" w:sz="6" w:space="0" w:color="auto"/>
            </w:tcBorders>
          </w:tcPr>
          <w:p w14:paraId="0357BED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84011FF" w14:textId="77777777" w:rsidR="00D6664E" w:rsidRPr="001E05DC" w:rsidRDefault="00D6664E" w:rsidP="001A26A3">
            <w:pPr>
              <w:spacing w:after="160" w:line="259" w:lineRule="auto"/>
            </w:pPr>
            <w:r w:rsidRPr="001E05DC">
              <w:t>The primary sector includes agriculture (rice and other crop farming), fishing, livestock farming, forestry, and non-timber forest product collection (Kenessey 1987)</w:t>
            </w:r>
          </w:p>
        </w:tc>
      </w:tr>
      <w:tr w:rsidR="00D6664E" w:rsidRPr="001E05DC" w14:paraId="267937B3" w14:textId="77777777" w:rsidTr="001A26A3">
        <w:tc>
          <w:tcPr>
            <w:tcW w:w="1843" w:type="dxa"/>
            <w:tcBorders>
              <w:bottom w:val="single" w:sz="6" w:space="0" w:color="auto"/>
            </w:tcBorders>
          </w:tcPr>
          <w:p w14:paraId="574F004D" w14:textId="77777777" w:rsidR="00D6664E" w:rsidRPr="001E05DC" w:rsidRDefault="00D6664E" w:rsidP="001A26A3">
            <w:pPr>
              <w:spacing w:after="160" w:line="259" w:lineRule="auto"/>
            </w:pPr>
          </w:p>
        </w:tc>
        <w:tc>
          <w:tcPr>
            <w:tcW w:w="2693" w:type="dxa"/>
            <w:tcBorders>
              <w:bottom w:val="single" w:sz="6" w:space="0" w:color="auto"/>
            </w:tcBorders>
          </w:tcPr>
          <w:p w14:paraId="0CCB7C04" w14:textId="77777777" w:rsidR="00D6664E" w:rsidRPr="001E05DC" w:rsidRDefault="00D6664E" w:rsidP="001A26A3">
            <w:pPr>
              <w:spacing w:after="160" w:line="259" w:lineRule="auto"/>
            </w:pPr>
            <w:r w:rsidRPr="001E05DC">
              <w:t>Number of adults employed in secondary sector</w:t>
            </w:r>
          </w:p>
        </w:tc>
        <w:tc>
          <w:tcPr>
            <w:tcW w:w="2977" w:type="dxa"/>
            <w:tcBorders>
              <w:bottom w:val="single" w:sz="6" w:space="0" w:color="auto"/>
            </w:tcBorders>
          </w:tcPr>
          <w:p w14:paraId="75616A76" w14:textId="77777777" w:rsidR="00D6664E" w:rsidRPr="001E05DC" w:rsidRDefault="00D6664E" w:rsidP="001A26A3">
            <w:pPr>
              <w:spacing w:after="160" w:line="259" w:lineRule="auto"/>
            </w:pPr>
            <w:r w:rsidRPr="001E05DC">
              <w:t>Proportion of total adult population</w:t>
            </w:r>
          </w:p>
        </w:tc>
        <w:tc>
          <w:tcPr>
            <w:tcW w:w="2126" w:type="dxa"/>
            <w:tcBorders>
              <w:bottom w:val="single" w:sz="6" w:space="0" w:color="auto"/>
            </w:tcBorders>
          </w:tcPr>
          <w:p w14:paraId="353E15D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9D9E028" w14:textId="77777777" w:rsidR="00D6664E" w:rsidRPr="001E05DC" w:rsidRDefault="00D6664E" w:rsidP="001A26A3">
            <w:pPr>
              <w:spacing w:after="160" w:line="259" w:lineRule="auto"/>
            </w:pPr>
            <w:r w:rsidRPr="001E05DC">
              <w:t>The secondary sector includes wood-based production (e.g. furniture), metal- and glass-based production, foodstuff production, plastic- and rubber-based production, textiles production (Kenessey 1987)</w:t>
            </w:r>
          </w:p>
        </w:tc>
      </w:tr>
      <w:tr w:rsidR="00D6664E" w:rsidRPr="001E05DC" w14:paraId="1516F823" w14:textId="77777777" w:rsidTr="001A26A3">
        <w:tc>
          <w:tcPr>
            <w:tcW w:w="1843" w:type="dxa"/>
            <w:tcBorders>
              <w:top w:val="single" w:sz="6" w:space="0" w:color="auto"/>
            </w:tcBorders>
          </w:tcPr>
          <w:p w14:paraId="135A875A" w14:textId="77777777" w:rsidR="00D6664E" w:rsidRPr="001E05DC" w:rsidRDefault="00D6664E" w:rsidP="001A26A3">
            <w:pPr>
              <w:spacing w:after="160" w:line="259" w:lineRule="auto"/>
            </w:pPr>
            <w:r w:rsidRPr="001E05DC">
              <w:t>Economic security</w:t>
            </w:r>
          </w:p>
        </w:tc>
        <w:tc>
          <w:tcPr>
            <w:tcW w:w="2693" w:type="dxa"/>
            <w:tcBorders>
              <w:top w:val="single" w:sz="6" w:space="0" w:color="auto"/>
            </w:tcBorders>
          </w:tcPr>
          <w:p w14:paraId="13073973" w14:textId="77777777" w:rsidR="00D6664E" w:rsidRPr="001E05DC" w:rsidRDefault="00D6664E" w:rsidP="001A26A3">
            <w:pPr>
              <w:spacing w:after="160" w:line="259" w:lineRule="auto"/>
            </w:pPr>
            <w:r w:rsidRPr="001E05DC">
              <w:t>Number of families with &lt;1ha rice land (including no rice land)</w:t>
            </w:r>
          </w:p>
        </w:tc>
        <w:tc>
          <w:tcPr>
            <w:tcW w:w="2977" w:type="dxa"/>
            <w:tcBorders>
              <w:top w:val="single" w:sz="6" w:space="0" w:color="auto"/>
            </w:tcBorders>
          </w:tcPr>
          <w:p w14:paraId="1733BBA2" w14:textId="77777777" w:rsidR="00D6664E" w:rsidRPr="001E05DC" w:rsidRDefault="00D6664E" w:rsidP="001A26A3">
            <w:pPr>
              <w:spacing w:after="160" w:line="259" w:lineRule="auto"/>
            </w:pPr>
            <w:r w:rsidRPr="001E05DC">
              <w:t>Proportion of total number of families</w:t>
            </w:r>
          </w:p>
        </w:tc>
        <w:tc>
          <w:tcPr>
            <w:tcW w:w="2126" w:type="dxa"/>
            <w:tcBorders>
              <w:top w:val="single" w:sz="6" w:space="0" w:color="auto"/>
            </w:tcBorders>
          </w:tcPr>
          <w:p w14:paraId="36B1FAF0"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64F48ECB" w14:textId="77777777" w:rsidR="00D6664E" w:rsidRPr="001E05DC" w:rsidRDefault="00D6664E" w:rsidP="001A26A3">
            <w:pPr>
              <w:spacing w:after="160" w:line="259" w:lineRule="auto"/>
            </w:pPr>
          </w:p>
        </w:tc>
      </w:tr>
      <w:tr w:rsidR="00D6664E" w:rsidRPr="001E05DC" w14:paraId="184854BF" w14:textId="77777777" w:rsidTr="001A26A3">
        <w:tc>
          <w:tcPr>
            <w:tcW w:w="1843" w:type="dxa"/>
            <w:tcBorders>
              <w:bottom w:val="single" w:sz="6" w:space="0" w:color="auto"/>
            </w:tcBorders>
          </w:tcPr>
          <w:p w14:paraId="2D3A09E4" w14:textId="77777777" w:rsidR="00D6664E" w:rsidRPr="001E05DC" w:rsidRDefault="00D6664E" w:rsidP="001A26A3">
            <w:pPr>
              <w:spacing w:after="160" w:line="259" w:lineRule="auto"/>
            </w:pPr>
          </w:p>
        </w:tc>
        <w:tc>
          <w:tcPr>
            <w:tcW w:w="2693" w:type="dxa"/>
            <w:tcBorders>
              <w:bottom w:val="single" w:sz="6" w:space="0" w:color="auto"/>
            </w:tcBorders>
          </w:tcPr>
          <w:p w14:paraId="269A4BFE" w14:textId="77777777" w:rsidR="00D6664E" w:rsidRPr="001E05DC" w:rsidRDefault="00D6664E" w:rsidP="001A26A3">
            <w:pPr>
              <w:spacing w:after="160" w:line="259" w:lineRule="auto"/>
            </w:pPr>
            <w:r w:rsidRPr="001E05DC">
              <w:t>Number of families who keep pigs</w:t>
            </w:r>
          </w:p>
        </w:tc>
        <w:tc>
          <w:tcPr>
            <w:tcW w:w="2977" w:type="dxa"/>
            <w:tcBorders>
              <w:bottom w:val="single" w:sz="6" w:space="0" w:color="auto"/>
            </w:tcBorders>
          </w:tcPr>
          <w:p w14:paraId="086212CA" w14:textId="77777777" w:rsidR="00D6664E" w:rsidRPr="001E05DC" w:rsidRDefault="00D6664E" w:rsidP="001A26A3">
            <w:pPr>
              <w:spacing w:after="160" w:line="259" w:lineRule="auto"/>
            </w:pPr>
            <w:r w:rsidRPr="001E05DC">
              <w:t>Proportion of total number of families</w:t>
            </w:r>
          </w:p>
        </w:tc>
        <w:tc>
          <w:tcPr>
            <w:tcW w:w="2126" w:type="dxa"/>
            <w:tcBorders>
              <w:bottom w:val="single" w:sz="6" w:space="0" w:color="auto"/>
            </w:tcBorders>
          </w:tcPr>
          <w:p w14:paraId="357775BF"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42ECFA3A" w14:textId="77777777" w:rsidR="00D6664E" w:rsidRPr="001E05DC" w:rsidRDefault="00D6664E" w:rsidP="001A26A3">
            <w:pPr>
              <w:spacing w:after="160" w:line="259" w:lineRule="auto"/>
            </w:pPr>
          </w:p>
        </w:tc>
      </w:tr>
      <w:tr w:rsidR="00D6664E" w:rsidRPr="001E05DC" w14:paraId="5F9E59E7" w14:textId="77777777" w:rsidTr="001A26A3">
        <w:tc>
          <w:tcPr>
            <w:tcW w:w="1843" w:type="dxa"/>
            <w:tcBorders>
              <w:top w:val="single" w:sz="6" w:space="0" w:color="auto"/>
            </w:tcBorders>
          </w:tcPr>
          <w:p w14:paraId="29E7D66A" w14:textId="77777777" w:rsidR="00D6664E" w:rsidRPr="001E05DC" w:rsidRDefault="00D6664E" w:rsidP="001A26A3">
            <w:pPr>
              <w:spacing w:after="160" w:line="259" w:lineRule="auto"/>
            </w:pPr>
            <w:r w:rsidRPr="001E05DC">
              <w:lastRenderedPageBreak/>
              <w:t>Access to services</w:t>
            </w:r>
          </w:p>
        </w:tc>
        <w:tc>
          <w:tcPr>
            <w:tcW w:w="2693" w:type="dxa"/>
            <w:tcBorders>
              <w:top w:val="single" w:sz="6" w:space="0" w:color="auto"/>
            </w:tcBorders>
          </w:tcPr>
          <w:p w14:paraId="3E196EBC" w14:textId="77777777" w:rsidR="00D6664E" w:rsidRPr="001E05DC" w:rsidRDefault="00D6664E" w:rsidP="001A26A3">
            <w:pPr>
              <w:spacing w:after="160" w:line="259" w:lineRule="auto"/>
            </w:pPr>
            <w:r w:rsidRPr="001E05DC">
              <w:t>Distance to nearest school</w:t>
            </w:r>
          </w:p>
        </w:tc>
        <w:tc>
          <w:tcPr>
            <w:tcW w:w="2977" w:type="dxa"/>
            <w:tcBorders>
              <w:top w:val="single" w:sz="6" w:space="0" w:color="auto"/>
            </w:tcBorders>
          </w:tcPr>
          <w:p w14:paraId="70B9EE0C" w14:textId="77777777" w:rsidR="00D6664E" w:rsidRPr="001E05DC" w:rsidRDefault="00D6664E" w:rsidP="001A26A3">
            <w:pPr>
              <w:spacing w:after="160" w:line="259" w:lineRule="auto"/>
            </w:pPr>
          </w:p>
        </w:tc>
        <w:tc>
          <w:tcPr>
            <w:tcW w:w="2126" w:type="dxa"/>
            <w:tcBorders>
              <w:top w:val="single" w:sz="6" w:space="0" w:color="auto"/>
            </w:tcBorders>
          </w:tcPr>
          <w:p w14:paraId="27EE34B4"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7868980E" w14:textId="77777777" w:rsidR="00D6664E" w:rsidRPr="001E05DC" w:rsidRDefault="00D6664E" w:rsidP="001A26A3">
            <w:pPr>
              <w:spacing w:after="160" w:line="259" w:lineRule="auto"/>
            </w:pPr>
            <w:r w:rsidRPr="001E05DC">
              <w:t>Median distance from any village in the commune to the nearest school (primary or secondary)</w:t>
            </w:r>
          </w:p>
        </w:tc>
      </w:tr>
      <w:tr w:rsidR="00D6664E" w:rsidRPr="001E05DC" w14:paraId="212C59F1" w14:textId="77777777" w:rsidTr="001A26A3">
        <w:tc>
          <w:tcPr>
            <w:tcW w:w="1843" w:type="dxa"/>
          </w:tcPr>
          <w:p w14:paraId="58EBE6D5" w14:textId="77777777" w:rsidR="00D6664E" w:rsidRPr="001E05DC" w:rsidRDefault="00D6664E" w:rsidP="001A26A3">
            <w:pPr>
              <w:spacing w:after="160" w:line="259" w:lineRule="auto"/>
            </w:pPr>
          </w:p>
        </w:tc>
        <w:tc>
          <w:tcPr>
            <w:tcW w:w="2693" w:type="dxa"/>
          </w:tcPr>
          <w:p w14:paraId="6D035324" w14:textId="77777777" w:rsidR="00D6664E" w:rsidRPr="001E05DC" w:rsidRDefault="00D6664E" w:rsidP="001A26A3">
            <w:pPr>
              <w:spacing w:after="160" w:line="259" w:lineRule="auto"/>
            </w:pPr>
            <w:r w:rsidRPr="001E05DC">
              <w:t>Number of families with access to waste collection</w:t>
            </w:r>
          </w:p>
        </w:tc>
        <w:tc>
          <w:tcPr>
            <w:tcW w:w="2977" w:type="dxa"/>
          </w:tcPr>
          <w:p w14:paraId="33997D25" w14:textId="77777777" w:rsidR="00D6664E" w:rsidRPr="001E05DC" w:rsidRDefault="00D6664E" w:rsidP="001A26A3">
            <w:pPr>
              <w:spacing w:after="160" w:line="259" w:lineRule="auto"/>
            </w:pPr>
            <w:r w:rsidRPr="001E05DC">
              <w:t>Proportion of total number of families</w:t>
            </w:r>
          </w:p>
        </w:tc>
        <w:tc>
          <w:tcPr>
            <w:tcW w:w="2126" w:type="dxa"/>
          </w:tcPr>
          <w:p w14:paraId="2262D207" w14:textId="77777777" w:rsidR="00D6664E" w:rsidRPr="001E05DC" w:rsidRDefault="00D6664E" w:rsidP="001A26A3">
            <w:pPr>
              <w:spacing w:after="160" w:line="259" w:lineRule="auto"/>
            </w:pPr>
          </w:p>
        </w:tc>
        <w:tc>
          <w:tcPr>
            <w:tcW w:w="4309" w:type="dxa"/>
          </w:tcPr>
          <w:p w14:paraId="44202B5D" w14:textId="77777777" w:rsidR="00D6664E" w:rsidRPr="001E05DC" w:rsidRDefault="00D6664E" w:rsidP="001A26A3">
            <w:pPr>
              <w:spacing w:after="160" w:line="259" w:lineRule="auto"/>
            </w:pPr>
          </w:p>
        </w:tc>
      </w:tr>
      <w:tr w:rsidR="00D6664E" w:rsidRPr="001E05DC" w14:paraId="1D682199" w14:textId="77777777" w:rsidTr="001A26A3">
        <w:tc>
          <w:tcPr>
            <w:tcW w:w="1843" w:type="dxa"/>
          </w:tcPr>
          <w:p w14:paraId="3D832D25" w14:textId="77777777" w:rsidR="00D6664E" w:rsidRPr="001E05DC" w:rsidRDefault="00D6664E" w:rsidP="001A26A3">
            <w:pPr>
              <w:spacing w:after="160" w:line="259" w:lineRule="auto"/>
            </w:pPr>
          </w:p>
        </w:tc>
        <w:tc>
          <w:tcPr>
            <w:tcW w:w="2693" w:type="dxa"/>
          </w:tcPr>
          <w:p w14:paraId="6C67BFED" w14:textId="77777777" w:rsidR="00D6664E" w:rsidRPr="001E05DC" w:rsidRDefault="00D6664E" w:rsidP="001A26A3">
            <w:pPr>
              <w:spacing w:after="160" w:line="259" w:lineRule="auto"/>
            </w:pPr>
            <w:r w:rsidRPr="001E05DC">
              <w:t>Distance to the Commune Office</w:t>
            </w:r>
          </w:p>
        </w:tc>
        <w:tc>
          <w:tcPr>
            <w:tcW w:w="2977" w:type="dxa"/>
          </w:tcPr>
          <w:p w14:paraId="633ADEFB" w14:textId="77777777" w:rsidR="00D6664E" w:rsidRPr="001E05DC" w:rsidRDefault="00D6664E" w:rsidP="001A26A3">
            <w:pPr>
              <w:spacing w:after="160" w:line="259" w:lineRule="auto"/>
            </w:pPr>
          </w:p>
        </w:tc>
        <w:tc>
          <w:tcPr>
            <w:tcW w:w="2126" w:type="dxa"/>
          </w:tcPr>
          <w:p w14:paraId="648934FF" w14:textId="77777777" w:rsidR="00D6664E" w:rsidRPr="001E05DC" w:rsidRDefault="00D6664E" w:rsidP="001A26A3">
            <w:pPr>
              <w:spacing w:after="160" w:line="259" w:lineRule="auto"/>
            </w:pPr>
          </w:p>
        </w:tc>
        <w:tc>
          <w:tcPr>
            <w:tcW w:w="4309" w:type="dxa"/>
          </w:tcPr>
          <w:p w14:paraId="7EC31777" w14:textId="77777777" w:rsidR="00D6664E" w:rsidRPr="001E05DC" w:rsidRDefault="00D6664E" w:rsidP="001A26A3">
            <w:pPr>
              <w:spacing w:after="160" w:line="259" w:lineRule="auto"/>
            </w:pPr>
            <w:r w:rsidRPr="001E05DC">
              <w:t>Median distance from any village in the commune to the Commune Office (government administration office)</w:t>
            </w:r>
          </w:p>
        </w:tc>
      </w:tr>
      <w:tr w:rsidR="00D6664E" w:rsidRPr="001E05DC" w14:paraId="665E9768" w14:textId="77777777" w:rsidTr="001A26A3">
        <w:tc>
          <w:tcPr>
            <w:tcW w:w="1843" w:type="dxa"/>
            <w:tcBorders>
              <w:top w:val="single" w:sz="6" w:space="0" w:color="auto"/>
            </w:tcBorders>
          </w:tcPr>
          <w:p w14:paraId="3EDDBDAE" w14:textId="77777777" w:rsidR="00D6664E" w:rsidRPr="001E05DC" w:rsidRDefault="00D6664E" w:rsidP="001A26A3">
            <w:pPr>
              <w:spacing w:after="160" w:line="259" w:lineRule="auto"/>
            </w:pPr>
            <w:r w:rsidRPr="001E05DC">
              <w:t xml:space="preserve">Social justice </w:t>
            </w:r>
          </w:p>
        </w:tc>
        <w:tc>
          <w:tcPr>
            <w:tcW w:w="2693" w:type="dxa"/>
            <w:tcBorders>
              <w:top w:val="single" w:sz="6" w:space="0" w:color="auto"/>
            </w:tcBorders>
          </w:tcPr>
          <w:p w14:paraId="5BC2808B" w14:textId="77777777" w:rsidR="00D6664E" w:rsidRPr="001E05DC" w:rsidRDefault="00D6664E" w:rsidP="001A26A3">
            <w:pPr>
              <w:spacing w:after="160" w:line="259" w:lineRule="auto"/>
            </w:pPr>
            <w:r w:rsidRPr="001E05DC">
              <w:t>Number of criminal cases</w:t>
            </w:r>
          </w:p>
        </w:tc>
        <w:tc>
          <w:tcPr>
            <w:tcW w:w="2977" w:type="dxa"/>
            <w:tcBorders>
              <w:top w:val="single" w:sz="6" w:space="0" w:color="auto"/>
            </w:tcBorders>
          </w:tcPr>
          <w:p w14:paraId="4FCA4783" w14:textId="77777777" w:rsidR="00D6664E" w:rsidRPr="001E05DC" w:rsidRDefault="00D6664E" w:rsidP="001A26A3">
            <w:pPr>
              <w:spacing w:after="160" w:line="259" w:lineRule="auto"/>
            </w:pPr>
            <w:r w:rsidRPr="001E05DC">
              <w:t>Criminal cases per capita</w:t>
            </w:r>
          </w:p>
        </w:tc>
        <w:tc>
          <w:tcPr>
            <w:tcW w:w="2126" w:type="dxa"/>
            <w:tcBorders>
              <w:top w:val="single" w:sz="6" w:space="0" w:color="auto"/>
            </w:tcBorders>
          </w:tcPr>
          <w:p w14:paraId="1E263F77"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C5D67A9" w14:textId="77777777" w:rsidR="00D6664E" w:rsidRPr="001E05DC" w:rsidRDefault="00D6664E" w:rsidP="001A26A3">
            <w:pPr>
              <w:spacing w:after="160" w:line="259" w:lineRule="auto"/>
            </w:pPr>
            <w:r w:rsidRPr="001E05DC">
              <w:t>Includes murder, theft, and other criminal cases</w:t>
            </w:r>
          </w:p>
        </w:tc>
      </w:tr>
      <w:tr w:rsidR="00D6664E" w:rsidRPr="001E05DC" w14:paraId="24086468" w14:textId="77777777" w:rsidTr="001A26A3">
        <w:tc>
          <w:tcPr>
            <w:tcW w:w="1843" w:type="dxa"/>
          </w:tcPr>
          <w:p w14:paraId="55E368E4" w14:textId="77777777" w:rsidR="00D6664E" w:rsidRPr="001E05DC" w:rsidRDefault="00D6664E" w:rsidP="001A26A3">
            <w:pPr>
              <w:spacing w:after="160" w:line="259" w:lineRule="auto"/>
            </w:pPr>
          </w:p>
        </w:tc>
        <w:tc>
          <w:tcPr>
            <w:tcW w:w="2693" w:type="dxa"/>
          </w:tcPr>
          <w:p w14:paraId="103BD330" w14:textId="77777777" w:rsidR="00D6664E" w:rsidRPr="001E05DC" w:rsidRDefault="00D6664E" w:rsidP="001A26A3">
            <w:pPr>
              <w:spacing w:after="160" w:line="259" w:lineRule="auto"/>
            </w:pPr>
          </w:p>
        </w:tc>
        <w:tc>
          <w:tcPr>
            <w:tcW w:w="2977" w:type="dxa"/>
          </w:tcPr>
          <w:p w14:paraId="6221A28A" w14:textId="77777777" w:rsidR="00D6664E" w:rsidRPr="001E05DC" w:rsidRDefault="00D6664E" w:rsidP="001A26A3">
            <w:pPr>
              <w:spacing w:after="160" w:line="259" w:lineRule="auto"/>
            </w:pPr>
          </w:p>
        </w:tc>
        <w:tc>
          <w:tcPr>
            <w:tcW w:w="2126" w:type="dxa"/>
          </w:tcPr>
          <w:p w14:paraId="3F657AA0" w14:textId="77777777" w:rsidR="00D6664E" w:rsidRPr="001E05DC" w:rsidRDefault="00D6664E" w:rsidP="001A26A3">
            <w:pPr>
              <w:spacing w:after="160" w:line="259" w:lineRule="auto"/>
            </w:pPr>
          </w:p>
        </w:tc>
        <w:tc>
          <w:tcPr>
            <w:tcW w:w="4309" w:type="dxa"/>
          </w:tcPr>
          <w:p w14:paraId="331E1495" w14:textId="77777777" w:rsidR="00D6664E" w:rsidRPr="001E05DC" w:rsidRDefault="00D6664E" w:rsidP="001A26A3">
            <w:pPr>
              <w:spacing w:after="160" w:line="259" w:lineRule="auto"/>
            </w:pPr>
          </w:p>
        </w:tc>
      </w:tr>
      <w:tr w:rsidR="00D6664E" w:rsidRPr="001E05DC" w14:paraId="5D6BCD82" w14:textId="77777777" w:rsidTr="001A26A3">
        <w:tc>
          <w:tcPr>
            <w:tcW w:w="1843" w:type="dxa"/>
            <w:tcBorders>
              <w:bottom w:val="single" w:sz="6" w:space="0" w:color="auto"/>
            </w:tcBorders>
          </w:tcPr>
          <w:p w14:paraId="7100C02C" w14:textId="77777777" w:rsidR="00D6664E" w:rsidRPr="001E05DC" w:rsidRDefault="00D6664E" w:rsidP="001A26A3">
            <w:pPr>
              <w:spacing w:after="160" w:line="259" w:lineRule="auto"/>
            </w:pPr>
          </w:p>
        </w:tc>
        <w:tc>
          <w:tcPr>
            <w:tcW w:w="2693" w:type="dxa"/>
            <w:tcBorders>
              <w:bottom w:val="single" w:sz="6" w:space="0" w:color="auto"/>
            </w:tcBorders>
          </w:tcPr>
          <w:p w14:paraId="44D94262" w14:textId="77777777" w:rsidR="00D6664E" w:rsidRPr="001E05DC" w:rsidRDefault="00D6664E" w:rsidP="001A26A3">
            <w:pPr>
              <w:spacing w:after="160" w:line="259" w:lineRule="auto"/>
            </w:pPr>
            <w:r w:rsidRPr="001E05DC">
              <w:t>Number of land conflict cases</w:t>
            </w:r>
          </w:p>
        </w:tc>
        <w:tc>
          <w:tcPr>
            <w:tcW w:w="2977" w:type="dxa"/>
            <w:tcBorders>
              <w:bottom w:val="single" w:sz="6" w:space="0" w:color="auto"/>
            </w:tcBorders>
          </w:tcPr>
          <w:p w14:paraId="5DD480BE" w14:textId="77777777" w:rsidR="00D6664E" w:rsidRPr="001E05DC" w:rsidRDefault="00D6664E" w:rsidP="001A26A3">
            <w:pPr>
              <w:spacing w:after="160" w:line="259" w:lineRule="auto"/>
            </w:pPr>
          </w:p>
        </w:tc>
        <w:tc>
          <w:tcPr>
            <w:tcW w:w="2126" w:type="dxa"/>
            <w:tcBorders>
              <w:bottom w:val="single" w:sz="6" w:space="0" w:color="auto"/>
            </w:tcBorders>
          </w:tcPr>
          <w:p w14:paraId="3C5BDC61"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2B224989" w14:textId="77777777" w:rsidR="00D6664E" w:rsidRPr="001E05DC" w:rsidRDefault="00D6664E" w:rsidP="001A26A3">
            <w:pPr>
              <w:spacing w:after="160" w:line="259" w:lineRule="auto"/>
            </w:pPr>
            <w:r w:rsidRPr="001E05DC">
              <w:t>In the previous 12 months</w:t>
            </w:r>
          </w:p>
        </w:tc>
      </w:tr>
      <w:tr w:rsidR="00D6664E" w:rsidRPr="001E05DC" w14:paraId="059FD9BE" w14:textId="77777777" w:rsidTr="001A26A3">
        <w:tc>
          <w:tcPr>
            <w:tcW w:w="1843" w:type="dxa"/>
            <w:tcBorders>
              <w:top w:val="single" w:sz="6" w:space="0" w:color="auto"/>
            </w:tcBorders>
          </w:tcPr>
          <w:p w14:paraId="0BB7CBAC" w14:textId="77777777" w:rsidR="00D6664E" w:rsidRPr="001E05DC" w:rsidRDefault="00D6664E" w:rsidP="001A26A3">
            <w:pPr>
              <w:spacing w:after="160" w:line="259" w:lineRule="auto"/>
            </w:pPr>
            <w:r w:rsidRPr="001E05DC">
              <w:t>Migration</w:t>
            </w:r>
          </w:p>
        </w:tc>
        <w:tc>
          <w:tcPr>
            <w:tcW w:w="2693" w:type="dxa"/>
            <w:tcBorders>
              <w:top w:val="single" w:sz="6" w:space="0" w:color="auto"/>
            </w:tcBorders>
          </w:tcPr>
          <w:p w14:paraId="250D37FD" w14:textId="77777777" w:rsidR="00D6664E" w:rsidRPr="001E05DC" w:rsidRDefault="00D6664E" w:rsidP="001A26A3">
            <w:pPr>
              <w:spacing w:after="160" w:line="259" w:lineRule="auto"/>
            </w:pPr>
            <w:r w:rsidRPr="001E05DC">
              <w:t>Number of in-migrants</w:t>
            </w:r>
          </w:p>
        </w:tc>
        <w:tc>
          <w:tcPr>
            <w:tcW w:w="2977" w:type="dxa"/>
            <w:tcBorders>
              <w:top w:val="single" w:sz="6" w:space="0" w:color="auto"/>
            </w:tcBorders>
          </w:tcPr>
          <w:p w14:paraId="0729A8B9" w14:textId="77777777" w:rsidR="00D6664E" w:rsidRPr="001E05DC" w:rsidRDefault="00D6664E" w:rsidP="001A26A3">
            <w:pPr>
              <w:spacing w:after="160" w:line="259" w:lineRule="auto"/>
            </w:pPr>
          </w:p>
        </w:tc>
        <w:tc>
          <w:tcPr>
            <w:tcW w:w="2126" w:type="dxa"/>
            <w:tcBorders>
              <w:top w:val="single" w:sz="6" w:space="0" w:color="auto"/>
            </w:tcBorders>
          </w:tcPr>
          <w:p w14:paraId="643A8371"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33D175C5" w14:textId="77777777" w:rsidR="00D6664E" w:rsidRPr="001E05DC" w:rsidRDefault="00D6664E" w:rsidP="001A26A3">
            <w:pPr>
              <w:spacing w:after="160" w:line="259" w:lineRule="auto"/>
            </w:pPr>
            <w:r w:rsidRPr="001E05DC">
              <w:t>Migration into the commune</w:t>
            </w:r>
          </w:p>
        </w:tc>
      </w:tr>
      <w:tr w:rsidR="00D6664E" w:rsidRPr="001E05DC" w14:paraId="4A95A4A8" w14:textId="77777777" w:rsidTr="001A26A3">
        <w:tc>
          <w:tcPr>
            <w:tcW w:w="1843" w:type="dxa"/>
            <w:tcBorders>
              <w:bottom w:val="single" w:sz="6" w:space="0" w:color="auto"/>
            </w:tcBorders>
          </w:tcPr>
          <w:p w14:paraId="6070F2F6" w14:textId="77777777" w:rsidR="00D6664E" w:rsidRPr="001E05DC" w:rsidRDefault="00D6664E" w:rsidP="001A26A3">
            <w:pPr>
              <w:spacing w:after="160" w:line="259" w:lineRule="auto"/>
            </w:pPr>
          </w:p>
        </w:tc>
        <w:tc>
          <w:tcPr>
            <w:tcW w:w="2693" w:type="dxa"/>
            <w:tcBorders>
              <w:bottom w:val="single" w:sz="6" w:space="0" w:color="auto"/>
            </w:tcBorders>
          </w:tcPr>
          <w:p w14:paraId="6825B642" w14:textId="77777777" w:rsidR="00D6664E" w:rsidRPr="001E05DC" w:rsidRDefault="00D6664E" w:rsidP="001A26A3">
            <w:pPr>
              <w:spacing w:after="160" w:line="259" w:lineRule="auto"/>
            </w:pPr>
            <w:r w:rsidRPr="001E05DC">
              <w:t>Number of out-migrants</w:t>
            </w:r>
          </w:p>
        </w:tc>
        <w:tc>
          <w:tcPr>
            <w:tcW w:w="2977" w:type="dxa"/>
            <w:tcBorders>
              <w:bottom w:val="single" w:sz="6" w:space="0" w:color="auto"/>
            </w:tcBorders>
          </w:tcPr>
          <w:p w14:paraId="09CDFB97" w14:textId="77777777" w:rsidR="00D6664E" w:rsidRPr="001E05DC" w:rsidRDefault="00D6664E" w:rsidP="001A26A3">
            <w:pPr>
              <w:spacing w:after="160" w:line="259" w:lineRule="auto"/>
            </w:pPr>
          </w:p>
        </w:tc>
        <w:tc>
          <w:tcPr>
            <w:tcW w:w="2126" w:type="dxa"/>
            <w:tcBorders>
              <w:bottom w:val="single" w:sz="6" w:space="0" w:color="auto"/>
            </w:tcBorders>
          </w:tcPr>
          <w:p w14:paraId="3E397BC4" w14:textId="77777777" w:rsidR="00D6664E" w:rsidRPr="001E05DC" w:rsidRDefault="00D6664E" w:rsidP="001A26A3">
            <w:pPr>
              <w:spacing w:after="160" w:line="259" w:lineRule="auto"/>
            </w:pPr>
            <w:r w:rsidRPr="001E05DC">
              <w:t>Categorical</w:t>
            </w:r>
          </w:p>
        </w:tc>
        <w:tc>
          <w:tcPr>
            <w:tcW w:w="4309" w:type="dxa"/>
            <w:tcBorders>
              <w:bottom w:val="single" w:sz="6" w:space="0" w:color="auto"/>
            </w:tcBorders>
          </w:tcPr>
          <w:p w14:paraId="3E4DD29D" w14:textId="77777777" w:rsidR="00D6664E" w:rsidRPr="001E05DC" w:rsidRDefault="00D6664E" w:rsidP="001A26A3">
            <w:pPr>
              <w:spacing w:after="160" w:line="259" w:lineRule="auto"/>
            </w:pPr>
            <w:r w:rsidRPr="001E05DC">
              <w:t>Migration out of the commune</w:t>
            </w:r>
          </w:p>
        </w:tc>
      </w:tr>
      <w:tr w:rsidR="00D6664E" w:rsidRPr="001E05DC" w14:paraId="6FA71762" w14:textId="77777777" w:rsidTr="001A26A3">
        <w:tc>
          <w:tcPr>
            <w:tcW w:w="1843" w:type="dxa"/>
            <w:tcBorders>
              <w:top w:val="single" w:sz="6" w:space="0" w:color="auto"/>
            </w:tcBorders>
          </w:tcPr>
          <w:p w14:paraId="69DA8FC7" w14:textId="77777777" w:rsidR="00D6664E" w:rsidRPr="001E05DC" w:rsidRDefault="00D6664E" w:rsidP="001A26A3">
            <w:pPr>
              <w:spacing w:after="160" w:line="259" w:lineRule="auto"/>
            </w:pPr>
            <w:r w:rsidRPr="001E05DC">
              <w:t>Control</w:t>
            </w:r>
          </w:p>
        </w:tc>
        <w:tc>
          <w:tcPr>
            <w:tcW w:w="2693" w:type="dxa"/>
            <w:tcBorders>
              <w:top w:val="single" w:sz="6" w:space="0" w:color="auto"/>
            </w:tcBorders>
          </w:tcPr>
          <w:p w14:paraId="00CAC1D4" w14:textId="77777777" w:rsidR="00D6664E" w:rsidRPr="001E05DC" w:rsidRDefault="00D6664E" w:rsidP="001A26A3">
            <w:pPr>
              <w:spacing w:after="160" w:line="259" w:lineRule="auto"/>
            </w:pPr>
            <w:r w:rsidRPr="001E05DC">
              <w:t>Mean elevation (masl)</w:t>
            </w:r>
          </w:p>
        </w:tc>
        <w:tc>
          <w:tcPr>
            <w:tcW w:w="2977" w:type="dxa"/>
            <w:tcBorders>
              <w:top w:val="single" w:sz="6" w:space="0" w:color="auto"/>
            </w:tcBorders>
          </w:tcPr>
          <w:p w14:paraId="7D7A9124" w14:textId="77777777" w:rsidR="00D6664E" w:rsidRPr="001E05DC" w:rsidRDefault="00D6664E" w:rsidP="001A26A3">
            <w:pPr>
              <w:spacing w:after="160" w:line="259" w:lineRule="auto"/>
            </w:pPr>
          </w:p>
        </w:tc>
        <w:tc>
          <w:tcPr>
            <w:tcW w:w="2126" w:type="dxa"/>
            <w:tcBorders>
              <w:top w:val="single" w:sz="6" w:space="0" w:color="auto"/>
            </w:tcBorders>
          </w:tcPr>
          <w:p w14:paraId="621F1BF2" w14:textId="77777777" w:rsidR="00D6664E" w:rsidRPr="001E05DC" w:rsidRDefault="00D6664E" w:rsidP="001A26A3">
            <w:pPr>
              <w:spacing w:after="160" w:line="259" w:lineRule="auto"/>
            </w:pPr>
            <w:r w:rsidRPr="001E05DC">
              <w:t>Categorical</w:t>
            </w:r>
          </w:p>
        </w:tc>
        <w:tc>
          <w:tcPr>
            <w:tcW w:w="4309" w:type="dxa"/>
            <w:tcBorders>
              <w:top w:val="single" w:sz="6" w:space="0" w:color="auto"/>
            </w:tcBorders>
          </w:tcPr>
          <w:p w14:paraId="5E8000AF" w14:textId="77777777" w:rsidR="00D6664E" w:rsidRPr="001E05DC" w:rsidRDefault="00D6664E" w:rsidP="001A26A3">
            <w:pPr>
              <w:spacing w:after="160" w:line="259" w:lineRule="auto"/>
            </w:pPr>
            <w:r w:rsidRPr="001E05DC">
              <w:t>Mean elevation for the commune</w:t>
            </w:r>
          </w:p>
        </w:tc>
      </w:tr>
      <w:tr w:rsidR="00D6664E" w:rsidRPr="001E05DC" w14:paraId="6634FD5A" w14:textId="77777777" w:rsidTr="001A26A3">
        <w:tc>
          <w:tcPr>
            <w:tcW w:w="1843" w:type="dxa"/>
          </w:tcPr>
          <w:p w14:paraId="7838F453" w14:textId="77777777" w:rsidR="00D6664E" w:rsidRPr="001E05DC" w:rsidRDefault="00D6664E" w:rsidP="001A26A3">
            <w:pPr>
              <w:spacing w:after="160" w:line="259" w:lineRule="auto"/>
            </w:pPr>
          </w:p>
        </w:tc>
        <w:tc>
          <w:tcPr>
            <w:tcW w:w="2693" w:type="dxa"/>
          </w:tcPr>
          <w:p w14:paraId="3C01F962" w14:textId="77777777" w:rsidR="00D6664E" w:rsidRPr="001E05DC" w:rsidRDefault="00D6664E" w:rsidP="001A26A3">
            <w:pPr>
              <w:spacing w:after="160" w:line="259" w:lineRule="auto"/>
            </w:pPr>
            <w:r w:rsidRPr="001E05DC">
              <w:t>Distance to international border (km)</w:t>
            </w:r>
          </w:p>
        </w:tc>
        <w:tc>
          <w:tcPr>
            <w:tcW w:w="2977" w:type="dxa"/>
          </w:tcPr>
          <w:p w14:paraId="32C8E75D" w14:textId="77777777" w:rsidR="00D6664E" w:rsidRPr="001E05DC" w:rsidRDefault="00D6664E" w:rsidP="001A26A3">
            <w:pPr>
              <w:spacing w:after="160" w:line="259" w:lineRule="auto"/>
            </w:pPr>
          </w:p>
        </w:tc>
        <w:tc>
          <w:tcPr>
            <w:tcW w:w="2126" w:type="dxa"/>
          </w:tcPr>
          <w:p w14:paraId="6060AE8E" w14:textId="77777777" w:rsidR="00D6664E" w:rsidRPr="001E05DC" w:rsidRDefault="00D6664E" w:rsidP="001A26A3">
            <w:pPr>
              <w:spacing w:after="160" w:line="259" w:lineRule="auto"/>
            </w:pPr>
            <w:r w:rsidRPr="001E05DC">
              <w:t>Categorical</w:t>
            </w:r>
          </w:p>
        </w:tc>
        <w:tc>
          <w:tcPr>
            <w:tcW w:w="4309" w:type="dxa"/>
          </w:tcPr>
          <w:p w14:paraId="78155A45" w14:textId="77777777" w:rsidR="00D6664E" w:rsidRPr="001E05DC" w:rsidRDefault="00D6664E" w:rsidP="001A26A3">
            <w:pPr>
              <w:spacing w:after="160" w:line="259" w:lineRule="auto"/>
            </w:pPr>
            <w:r w:rsidRPr="001E05DC">
              <w:t>Distance from the centre of the commune to the nearest international border</w:t>
            </w:r>
          </w:p>
        </w:tc>
      </w:tr>
      <w:tr w:rsidR="00D6664E" w:rsidRPr="001E05DC" w14:paraId="1CF11FB9" w14:textId="77777777" w:rsidTr="001A26A3">
        <w:tc>
          <w:tcPr>
            <w:tcW w:w="1843" w:type="dxa"/>
          </w:tcPr>
          <w:p w14:paraId="19E8624E" w14:textId="77777777" w:rsidR="00D6664E" w:rsidRPr="001E05DC" w:rsidRDefault="00D6664E" w:rsidP="001A26A3">
            <w:pPr>
              <w:spacing w:after="160" w:line="259" w:lineRule="auto"/>
            </w:pPr>
          </w:p>
        </w:tc>
        <w:tc>
          <w:tcPr>
            <w:tcW w:w="2693" w:type="dxa"/>
          </w:tcPr>
          <w:p w14:paraId="03100070" w14:textId="77777777" w:rsidR="00D6664E" w:rsidRPr="001E05DC" w:rsidRDefault="00D6664E" w:rsidP="001A26A3">
            <w:pPr>
              <w:spacing w:after="160" w:line="259" w:lineRule="auto"/>
            </w:pPr>
            <w:r w:rsidRPr="001E05DC">
              <w:t>Distance to Provincial Capital (km)</w:t>
            </w:r>
          </w:p>
        </w:tc>
        <w:tc>
          <w:tcPr>
            <w:tcW w:w="2977" w:type="dxa"/>
          </w:tcPr>
          <w:p w14:paraId="17ED81B6" w14:textId="77777777" w:rsidR="00D6664E" w:rsidRPr="001E05DC" w:rsidRDefault="00D6664E" w:rsidP="001A26A3">
            <w:pPr>
              <w:spacing w:after="160" w:line="259" w:lineRule="auto"/>
            </w:pPr>
          </w:p>
        </w:tc>
        <w:tc>
          <w:tcPr>
            <w:tcW w:w="2126" w:type="dxa"/>
          </w:tcPr>
          <w:p w14:paraId="0D95DF5E" w14:textId="77777777" w:rsidR="00D6664E" w:rsidRPr="001E05DC" w:rsidRDefault="00D6664E" w:rsidP="001A26A3">
            <w:pPr>
              <w:spacing w:after="160" w:line="259" w:lineRule="auto"/>
            </w:pPr>
            <w:r w:rsidRPr="001E05DC">
              <w:t>Categorical</w:t>
            </w:r>
          </w:p>
        </w:tc>
        <w:tc>
          <w:tcPr>
            <w:tcW w:w="4309" w:type="dxa"/>
          </w:tcPr>
          <w:p w14:paraId="49A6BEC3" w14:textId="77777777" w:rsidR="00D6664E" w:rsidRPr="001E05DC" w:rsidRDefault="00D6664E" w:rsidP="001A26A3">
            <w:pPr>
              <w:spacing w:after="160" w:line="259" w:lineRule="auto"/>
            </w:pPr>
            <w:r w:rsidRPr="001E05DC">
              <w:t>Distance from the centre of the commune to the centre of the provincial capital (town or city)</w:t>
            </w:r>
          </w:p>
        </w:tc>
      </w:tr>
      <w:tr w:rsidR="00D6664E" w:rsidRPr="001E05DC" w14:paraId="0F733FB5" w14:textId="77777777" w:rsidTr="001A26A3">
        <w:tc>
          <w:tcPr>
            <w:tcW w:w="1843" w:type="dxa"/>
          </w:tcPr>
          <w:p w14:paraId="695AD0B9" w14:textId="77777777" w:rsidR="00D6664E" w:rsidRPr="001E05DC" w:rsidRDefault="00D6664E" w:rsidP="001A26A3">
            <w:pPr>
              <w:spacing w:after="160" w:line="259" w:lineRule="auto"/>
            </w:pPr>
          </w:p>
        </w:tc>
        <w:tc>
          <w:tcPr>
            <w:tcW w:w="2693" w:type="dxa"/>
          </w:tcPr>
          <w:p w14:paraId="5C064536" w14:textId="77777777" w:rsidR="00D6664E" w:rsidRPr="001E05DC" w:rsidRDefault="00D6664E" w:rsidP="001A26A3">
            <w:pPr>
              <w:spacing w:after="160" w:line="259" w:lineRule="auto"/>
            </w:pPr>
            <w:r w:rsidRPr="001E05DC">
              <w:t>Presence of economic land concessions</w:t>
            </w:r>
          </w:p>
        </w:tc>
        <w:tc>
          <w:tcPr>
            <w:tcW w:w="2977" w:type="dxa"/>
          </w:tcPr>
          <w:p w14:paraId="779A1A0E" w14:textId="77777777" w:rsidR="00D6664E" w:rsidRPr="001E05DC" w:rsidRDefault="00D6664E" w:rsidP="001A26A3">
            <w:pPr>
              <w:spacing w:after="160" w:line="259" w:lineRule="auto"/>
            </w:pPr>
          </w:p>
        </w:tc>
        <w:tc>
          <w:tcPr>
            <w:tcW w:w="2126" w:type="dxa"/>
          </w:tcPr>
          <w:p w14:paraId="6DE68B70" w14:textId="77777777" w:rsidR="00D6664E" w:rsidRPr="001E05DC" w:rsidRDefault="00D6664E" w:rsidP="001A26A3">
            <w:pPr>
              <w:spacing w:after="160" w:line="259" w:lineRule="auto"/>
            </w:pPr>
          </w:p>
        </w:tc>
        <w:tc>
          <w:tcPr>
            <w:tcW w:w="4309" w:type="dxa"/>
          </w:tcPr>
          <w:p w14:paraId="4080275F" w14:textId="77777777" w:rsidR="00D6664E" w:rsidRPr="001E05DC" w:rsidRDefault="00D6664E" w:rsidP="001A26A3">
            <w:pPr>
              <w:spacing w:after="160" w:line="259" w:lineRule="auto"/>
            </w:pPr>
            <w:r w:rsidRPr="001E05DC">
              <w:t xml:space="preserve">Binary. 1 = part or all of an economic land concession falls within the boundary of the </w:t>
            </w:r>
            <w:r w:rsidRPr="001E05DC">
              <w:lastRenderedPageBreak/>
              <w:t>commune, 0 = no economic land concession falls within the commune boundary</w:t>
            </w:r>
          </w:p>
        </w:tc>
      </w:tr>
      <w:tr w:rsidR="00D6664E" w:rsidRPr="001E05DC" w14:paraId="6B29E681" w14:textId="77777777" w:rsidTr="001A26A3">
        <w:tc>
          <w:tcPr>
            <w:tcW w:w="1843" w:type="dxa"/>
          </w:tcPr>
          <w:p w14:paraId="535FAE36" w14:textId="77777777" w:rsidR="00D6664E" w:rsidRPr="001E05DC" w:rsidRDefault="00D6664E" w:rsidP="001A26A3">
            <w:pPr>
              <w:spacing w:after="160" w:line="259" w:lineRule="auto"/>
            </w:pPr>
          </w:p>
        </w:tc>
        <w:tc>
          <w:tcPr>
            <w:tcW w:w="2693" w:type="dxa"/>
          </w:tcPr>
          <w:p w14:paraId="18AB34F2" w14:textId="77777777" w:rsidR="00D6664E" w:rsidRPr="001E05DC" w:rsidRDefault="00D6664E" w:rsidP="001A26A3">
            <w:pPr>
              <w:spacing w:after="160" w:line="259" w:lineRule="auto"/>
            </w:pPr>
            <w:r w:rsidRPr="001E05DC">
              <w:t>Presence of protected area</w:t>
            </w:r>
          </w:p>
        </w:tc>
        <w:tc>
          <w:tcPr>
            <w:tcW w:w="2977" w:type="dxa"/>
          </w:tcPr>
          <w:p w14:paraId="7B1AEDE5" w14:textId="77777777" w:rsidR="00D6664E" w:rsidRPr="001E05DC" w:rsidRDefault="00D6664E" w:rsidP="001A26A3">
            <w:pPr>
              <w:spacing w:after="160" w:line="259" w:lineRule="auto"/>
            </w:pPr>
          </w:p>
        </w:tc>
        <w:tc>
          <w:tcPr>
            <w:tcW w:w="2126" w:type="dxa"/>
          </w:tcPr>
          <w:p w14:paraId="53255D0E" w14:textId="77777777" w:rsidR="00D6664E" w:rsidRPr="001E05DC" w:rsidRDefault="00D6664E" w:rsidP="001A26A3">
            <w:pPr>
              <w:spacing w:after="160" w:line="259" w:lineRule="auto"/>
            </w:pPr>
          </w:p>
        </w:tc>
        <w:tc>
          <w:tcPr>
            <w:tcW w:w="4309" w:type="dxa"/>
          </w:tcPr>
          <w:p w14:paraId="5B6FCD75" w14:textId="77777777" w:rsidR="00D6664E" w:rsidRPr="001E05DC" w:rsidRDefault="00D6664E" w:rsidP="001A26A3">
            <w:pPr>
              <w:spacing w:after="160" w:line="259" w:lineRule="auto"/>
            </w:pPr>
            <w:r w:rsidRPr="001E05DC">
              <w:t>Binary. 1 = part or all of an protected area falls within the boundary of the commune, 0 = no protected area falls within the commune boundary. "Protected area" includes Wildlife Sanctuary, National Park, Protected Landscapes, Multiple-use areas, RAMSAR sites</w:t>
            </w:r>
          </w:p>
        </w:tc>
      </w:tr>
      <w:tr w:rsidR="00D6664E" w:rsidRPr="001E05DC" w14:paraId="401D55E0" w14:textId="77777777" w:rsidTr="001A26A3">
        <w:tc>
          <w:tcPr>
            <w:tcW w:w="1843" w:type="dxa"/>
            <w:tcBorders>
              <w:bottom w:val="single" w:sz="12" w:space="0" w:color="auto"/>
            </w:tcBorders>
          </w:tcPr>
          <w:p w14:paraId="417CDD5F" w14:textId="77777777" w:rsidR="00D6664E" w:rsidRPr="001E05DC" w:rsidRDefault="00D6664E" w:rsidP="001A26A3">
            <w:pPr>
              <w:spacing w:after="160" w:line="259" w:lineRule="auto"/>
            </w:pPr>
          </w:p>
        </w:tc>
        <w:tc>
          <w:tcPr>
            <w:tcW w:w="2693" w:type="dxa"/>
            <w:tcBorders>
              <w:bottom w:val="single" w:sz="12" w:space="0" w:color="auto"/>
            </w:tcBorders>
          </w:tcPr>
          <w:p w14:paraId="6E455EC0" w14:textId="77777777" w:rsidR="00D6664E" w:rsidRPr="001E05DC" w:rsidRDefault="00D6664E" w:rsidP="001A26A3">
            <w:pPr>
              <w:spacing w:after="160" w:line="259" w:lineRule="auto"/>
            </w:pPr>
            <w:r w:rsidRPr="001E05DC">
              <w:t>Protected area category</w:t>
            </w:r>
          </w:p>
        </w:tc>
        <w:tc>
          <w:tcPr>
            <w:tcW w:w="2977" w:type="dxa"/>
            <w:tcBorders>
              <w:bottom w:val="single" w:sz="12" w:space="0" w:color="auto"/>
            </w:tcBorders>
          </w:tcPr>
          <w:p w14:paraId="7650D266" w14:textId="77777777" w:rsidR="00D6664E" w:rsidRPr="001E05DC" w:rsidRDefault="00D6664E" w:rsidP="001A26A3">
            <w:pPr>
              <w:spacing w:after="160" w:line="259" w:lineRule="auto"/>
            </w:pPr>
          </w:p>
        </w:tc>
        <w:tc>
          <w:tcPr>
            <w:tcW w:w="2126" w:type="dxa"/>
            <w:tcBorders>
              <w:bottom w:val="single" w:sz="12" w:space="0" w:color="auto"/>
            </w:tcBorders>
          </w:tcPr>
          <w:p w14:paraId="15A48D91" w14:textId="77777777" w:rsidR="00D6664E" w:rsidRPr="001E05DC" w:rsidRDefault="00D6664E" w:rsidP="001A26A3">
            <w:pPr>
              <w:spacing w:after="160" w:line="259" w:lineRule="auto"/>
            </w:pPr>
          </w:p>
        </w:tc>
        <w:tc>
          <w:tcPr>
            <w:tcW w:w="4309" w:type="dxa"/>
            <w:tcBorders>
              <w:bottom w:val="single" w:sz="12" w:space="0" w:color="auto"/>
            </w:tcBorders>
          </w:tcPr>
          <w:p w14:paraId="64D7A68D" w14:textId="77777777" w:rsidR="00D6664E" w:rsidRPr="001E05DC" w:rsidRDefault="00D6664E" w:rsidP="001A26A3">
            <w:pPr>
              <w:spacing w:after="160" w:line="259" w:lineRule="auto"/>
            </w:pPr>
            <w:r w:rsidRPr="001E05DC">
              <w:t>None = no protected area falls within commune, MULTI = more than one category of protected area falls within commune, WS = wildlife sanctuary, NP = national park, PL = protected landscape, MUA = multiple-use area, RMS = RAMSAR</w:t>
            </w:r>
          </w:p>
        </w:tc>
      </w:tr>
    </w:tbl>
    <w:p w14:paraId="75D090BF" w14:textId="4E4B86E1" w:rsidR="00D6664E" w:rsidRDefault="00D6664E"/>
    <w:p w14:paraId="42823AA2" w14:textId="19102AFA" w:rsidR="00D6664E" w:rsidRDefault="00D6664E"/>
    <w:p w14:paraId="1C4D6F4C" w14:textId="61B36C1B" w:rsidR="00D6664E" w:rsidRDefault="00D6664E"/>
    <w:p w14:paraId="3ABDF381" w14:textId="77777777" w:rsidR="00D6664E" w:rsidRDefault="00D6664E">
      <w:pPr>
        <w:sectPr w:rsidR="00D6664E" w:rsidSect="00D6664E">
          <w:pgSz w:w="16838" w:h="11906" w:orient="landscape"/>
          <w:pgMar w:top="1440" w:right="1440" w:bottom="1440" w:left="1440" w:header="708" w:footer="708" w:gutter="0"/>
          <w:cols w:space="708"/>
          <w:docGrid w:linePitch="360"/>
        </w:sectPr>
      </w:pPr>
    </w:p>
    <w:p w14:paraId="3B473C2C" w14:textId="59F694A8" w:rsidR="00D6664E" w:rsidRDefault="00D6664E">
      <w:pPr>
        <w:rPr>
          <w:b/>
          <w:bCs/>
        </w:rPr>
      </w:pPr>
      <w:r>
        <w:rPr>
          <w:b/>
          <w:bCs/>
        </w:rPr>
        <w:lastRenderedPageBreak/>
        <w:t xml:space="preserve">Results </w:t>
      </w:r>
    </w:p>
    <w:p w14:paraId="39D401F4" w14:textId="77777777" w:rsidR="00D6664E" w:rsidRDefault="00D6664E" w:rsidP="00D6664E">
      <w:pPr>
        <w:rPr>
          <w:i/>
          <w:iCs/>
        </w:rPr>
      </w:pPr>
      <w:commentRangeStart w:id="0"/>
      <w:r>
        <w:rPr>
          <w:i/>
          <w:iCs/>
        </w:rPr>
        <w:t>Commune-level model</w:t>
      </w:r>
      <w:commentRangeEnd w:id="0"/>
      <w:r>
        <w:rPr>
          <w:rStyle w:val="CommentReference"/>
        </w:rPr>
        <w:commentReference w:id="0"/>
      </w:r>
    </w:p>
    <w:p w14:paraId="155BC3D0" w14:textId="77777777" w:rsidR="00D6664E" w:rsidRDefault="00D6664E" w:rsidP="00D6664E">
      <w:r>
        <w:t>Initial within-set model selection resulted in a final candidate set with 10 models and 13 unique variables (</w:t>
      </w:r>
      <w:r w:rsidRPr="00E5353D">
        <w:t>Table S19</w:t>
      </w:r>
      <w:r>
        <w:t>). There was a single top model according to AIC (m1), with all other models having delta AIC values of more than 18 (</w:t>
      </w:r>
      <w:r w:rsidRPr="00E5353D">
        <w:t>Table S19</w:t>
      </w:r>
      <w:r>
        <w:t>). The top model only had one non-control variable - population density (Table 4). The random effects term with the highest variance was Commune (10.45 [SD = 3.23], 60% of the total random effect variance), followed by Province (6.77 [SD = 2.60], 39% of the total random effect variance</w:t>
      </w:r>
      <w:r w:rsidRPr="00B45568">
        <w:t xml:space="preserve">, Table 4). </w:t>
      </w:r>
      <w:r>
        <w:t>The variance explained by year at both the commune and province level was low (0.005 [SD = 0.068] and 0.0005 [SD = 0.022] respectively), contributing approximately 1% of the total random effect variance (</w:t>
      </w:r>
      <w:r w:rsidRPr="00B45568">
        <w:t xml:space="preserve">Table 4). </w:t>
      </w:r>
      <w:r>
        <w:t>The marginal R</w:t>
      </w:r>
      <w:r w:rsidRPr="00DC5403">
        <w:rPr>
          <w:vertAlign w:val="superscript"/>
        </w:rPr>
        <w:t>2</w:t>
      </w:r>
      <w:r>
        <w:t xml:space="preserve"> (fixed effects only) was 0.78 (78%), and the conditional R</w:t>
      </w:r>
      <w:r w:rsidRPr="00DC5403">
        <w:rPr>
          <w:vertAlign w:val="superscript"/>
        </w:rPr>
        <w:t>2</w:t>
      </w:r>
      <w:r>
        <w:t xml:space="preserve"> (fixed and random effects) was 1, suggesting that most of the model variance was explained by the fixed effects. The largest positive effect was from mean elevation (rate ratio = 2.861, </w:t>
      </w:r>
      <w:r w:rsidRPr="00B45568">
        <w:t xml:space="preserve">Table 4) </w:t>
      </w:r>
      <w:r>
        <w:t>which relates to 0.6 forest pixels (0.06 km</w:t>
      </w:r>
      <w:r w:rsidRPr="00F10EA9">
        <w:rPr>
          <w:vertAlign w:val="superscript"/>
        </w:rPr>
        <w:t>2</w:t>
      </w:r>
      <w:r>
        <w:t>) 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Pr="00F10EA9">
        <w:rPr>
          <w:vertAlign w:val="superscript"/>
        </w:rPr>
        <w:t>2</w:t>
      </w:r>
      <w:r>
        <w:t xml:space="preserve">). This highlights that higher elevation areas of Cambodia are much more likely to be forested than lower elevation areas. The strongest negative effect was from population density (rate ratio = 0.001, </w:t>
      </w:r>
      <w:r w:rsidRPr="00B45568">
        <w:t xml:space="preserve">Table 4) </w:t>
      </w:r>
      <w:r>
        <w:t>which relates to approximately 1.5 predicted forest pixels (0.14 km</w:t>
      </w:r>
      <w:r w:rsidRPr="005B6361">
        <w:rPr>
          <w:vertAlign w:val="superscript"/>
        </w:rPr>
        <w:t>2</w:t>
      </w:r>
      <w:r>
        <w:t xml:space="preserve">) at the minimum value of population density found within the country, contrasting with a prediction of effectively zero (2.22 </w:t>
      </w:r>
      <w:r>
        <w:rPr>
          <w:rFonts w:cstheme="minorHAnsi"/>
        </w:rPr>
        <w:t>×</w:t>
      </w:r>
      <w:r>
        <w:t xml:space="preserve"> 10</w:t>
      </w:r>
      <w:r w:rsidRPr="005B6361">
        <w:rPr>
          <w:vertAlign w:val="superscript"/>
        </w:rPr>
        <w:t>-16</w:t>
      </w:r>
      <w:r>
        <w:t xml:space="preserve">) forest pixels at the highest value of population density within the country. All other model terms, excluding the presence of ELCs, had positive effects on forest cover </w:t>
      </w:r>
      <w:r w:rsidRPr="00B45568">
        <w:t xml:space="preserve">(Table 4). These </w:t>
      </w:r>
      <w:r>
        <w:t xml:space="preserve">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communes with protected areas are predicted to have higher forest cover than those without (Table 4).  </w:t>
      </w:r>
    </w:p>
    <w:p w14:paraId="7C73B1B0" w14:textId="77777777" w:rsidR="00D6664E" w:rsidRDefault="00D6664E" w:rsidP="00D6664E">
      <w:r>
        <w:t xml:space="preserve">The results from the final commune-level model must, however, be viewed with extreme caution because model validation revealed some serious underlying issues. As is suggested by the variance associated with the commune-level random effect term, there was extreme variation between communes for all variables (predictors and response, Figure 5). This between-group variance results in the model being unsuitable for generalised (i.e., ‘global’) predictions (Figure 5). Intercept and slope estimates between communes, even within the same province, varied hugely (Figure 6), and this issue was highlighted in diagnostic plots where we see that the assumption of normality of deviations of the conditional means of the random effects (for commune) from the global intercept is violated (Figure </w:t>
      </w:r>
      <w:r w:rsidRPr="00E5353D">
        <w:t>S6</w:t>
      </w:r>
      <w:r>
        <w:t xml:space="preserve">). Furthermore, the model residuals displayed heteroskedasticity, with the model predicting particularly poorly for lower values of the response (Figure </w:t>
      </w:r>
      <w:r w:rsidRPr="00E5353D">
        <w:t>S7</w:t>
      </w:r>
      <w:r>
        <w:t xml:space="preserve">). Therefore, drawing general inferences about the relationships between forest cover and socioeconomics at the country level using this model is inappropriate. </w:t>
      </w:r>
    </w:p>
    <w:p w14:paraId="47562063" w14:textId="77777777" w:rsidR="0011048D" w:rsidRDefault="0011048D" w:rsidP="0011048D">
      <w:pPr>
        <w:rPr>
          <w:i/>
          <w:iCs/>
        </w:rPr>
      </w:pPr>
      <w:r>
        <w:rPr>
          <w:i/>
          <w:iCs/>
        </w:rPr>
        <w:t>Province-level model</w:t>
      </w:r>
    </w:p>
    <w:p w14:paraId="4E254E74" w14:textId="77777777" w:rsidR="0011048D" w:rsidRDefault="0011048D" w:rsidP="0011048D">
      <w:r>
        <w:t>The province-level models were run to eliminate the commune-level variation and to identify any broader relationships between forest cover and socioeconomics. A candidate set of 19 models was built and an evaluation of AIC selected a single model (m8) as the top model (</w:t>
      </w:r>
      <w:r w:rsidRPr="0028392B">
        <w:t>Table S20</w:t>
      </w:r>
      <w:r>
        <w:t xml:space="preserve">). Model m5 had some support (delta AIC = 5, </w:t>
      </w:r>
      <w:r w:rsidRPr="0028392B">
        <w:t>Table S20</w:t>
      </w:r>
      <w:r>
        <w:t xml:space="preserve">) but was a simpler version of m8 and therefore </w:t>
      </w:r>
      <w:r>
        <w:lastRenderedPageBreak/>
        <w:t xml:space="preserve">inferences were drawn from m8 alone. The random effects term with the highest variance was Province (1.18 [SD = 1.08], which constituted </w:t>
      </w:r>
      <w:r w:rsidRPr="0028392B">
        <w:t>99%</w:t>
      </w:r>
      <w:r>
        <w:t xml:space="preserve"> of the total random effects variance), followed by year (0.006 [SD = 0.077], which was </w:t>
      </w:r>
      <w:r w:rsidRPr="0028392B">
        <w:t>1%</w:t>
      </w:r>
      <w:r>
        <w:t xml:space="preserve"> of the total random effects variance). The marginal R</w:t>
      </w:r>
      <w:r w:rsidRPr="00E5353D">
        <w:rPr>
          <w:vertAlign w:val="superscript"/>
        </w:rPr>
        <w:t>2</w:t>
      </w:r>
      <w:r>
        <w:t xml:space="preserve"> (fixed effects only) was 0.71 (71%) and the conditional R</w:t>
      </w:r>
      <w:r w:rsidRPr="00E5353D">
        <w:rPr>
          <w:vertAlign w:val="superscript"/>
        </w:rPr>
        <w:t>2</w:t>
      </w:r>
      <w:r>
        <w:t xml:space="preserve"> (fixed and random effects) was 0.99 (99%), suggesting that the majority of model variance was explained by the fixed effects. 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 and distance to school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all the above effects are weak (Figures 7 &amp; 8). For example, the difference in the predicted number of forest pixels between a province with a low proportion of males in school and a province with a high proportion (with all other variables set to low), is 200 (18 km</w:t>
      </w:r>
      <w:r w:rsidRPr="009D05E0">
        <w:rPr>
          <w:vertAlign w:val="superscript"/>
        </w:rPr>
        <w:t>2</w:t>
      </w:r>
      <w:r>
        <w:t>). The difference in the number of predicted forest pixels between a province with low median distances to schools and a province with high median distances (with all other variables set to low), is 689 (62 km</w:t>
      </w:r>
      <w:r w:rsidRPr="00586D3B">
        <w:rPr>
          <w:vertAlign w:val="superscript"/>
        </w:rPr>
        <w:t>2</w:t>
      </w:r>
      <w:r>
        <w:t xml:space="preserve">). As standalone figures these appear large, but in the context of the range of the response variable (minimum value of 54 forest pixels to a maximum of </w:t>
      </w:r>
      <w:r w:rsidRPr="00586D3B">
        <w:t>146</w:t>
      </w:r>
      <w:r>
        <w:t>,</w:t>
      </w:r>
      <w:r w:rsidRPr="00586D3B">
        <w:t>876</w:t>
      </w:r>
      <w:r>
        <w:t xml:space="preserve"> forest pixels), the effects are relatively weak. Presence of PAs had the largest effect on predicted forest pixels. The number of forest pixels predicted for a province with PA presence is 36,890 (3,320 km</w:t>
      </w:r>
      <w:r w:rsidRPr="00586D3B">
        <w:rPr>
          <w:vertAlign w:val="superscript"/>
        </w:rPr>
        <w:t>2</w:t>
      </w:r>
      <w:r>
        <w:t xml:space="preserve">) higher than for a province with no PA presence. This emphasises the relationship between forested land and protected areas in Cambodia. The size of the effects for the two socioeconomic predictors (proportion of males in school, and distance to school) in the top model suggest that these variables have little power to predict forest cover at the provincial level in Cambodia, but that the presence of protected areas and economic land concessions do. </w:t>
      </w:r>
    </w:p>
    <w:p w14:paraId="083FA5D7" w14:textId="77777777" w:rsidR="0011048D" w:rsidRDefault="0011048D" w:rsidP="0011048D">
      <w:r>
        <w:rPr>
          <w:b/>
          <w:bCs/>
          <w:i/>
          <w:iCs/>
        </w:rPr>
        <w:t>Cluster analysis</w:t>
      </w:r>
    </w:p>
    <w:p w14:paraId="0CC9D996" w14:textId="77777777" w:rsidR="0011048D" w:rsidRDefault="0011048D" w:rsidP="0011048D">
      <w:r>
        <w:t xml:space="preserve">The UPGMA clustering had the highest cophenetic correlation (0.79) and the lowest Gower distance (254.14) and was therefore selected. The matrix correlation statistic suggested that 4 clusters were optimal, but that between 3 and 7 clusters had very similar support. When divided by 4 clusters, there was a large group (16) of provinces that fell into a single cluster, and so 5 clusters were chosen to add further nuance (Figure 9). The provinces within clusters were geographically contiguous (Figure 10), although clusters that had smaller cophenetic distances (i.e., were closer on the dendrogram, Figure 9) were not necessarily geographically contiguous. The largest cluster (cluster 5) dominated a central strip of the country, separating the smaller, and more similar clusters (Figure 10). Only clusters 2 and 4 were contiguous with each other. These results suggest that provinces often have similar socioeconomic conditions to that of their neighbours, but that there are also distinct regions within the country that can be characterised by their socioeconomics rather than their geography. A heatmap of the socioeconomic variable values for each cluster revealed some distinguishing patterns (Figure 11). The largest cluster (cluster 5) was distinguished by high or very high values of all variables, which translates to generally large provinces with high population density, high education levels, high proportions of primary and secondary sector workers, and high migration (Table 5). This contrasts with cluster 2, which has predominantly low values for the socioeconomic variables which translates to very small provinces with low population density, low levels of education, low levels of primary sector employment (higher secondary sector employment), and low levels of migration (Table 5). Clusters 3 and 4 had the highest levels of migration (and interestingly the highest levels of land conflict), education, and population density, reflecting the presence of two of the three largest cities and significant urban development. Cluster 1 had the </w:t>
      </w:r>
      <w:r>
        <w:lastRenderedPageBreak/>
        <w:t xml:space="preserve">lowest population density, education, proportion of secondary sector workers, and migration, reflecting the clusters remote geography and rural character. Provinces within cluster 1 were also the most forested but had also lost the most forest during the study period (Figure 12). Provinces within cluster 5 were generally the next most forested after cluster 1 and had also lost large areas of forest during the study period (Figure 12). Cluster 3 had the least amount of forest, which was expected due to high levels of urbanisation and agriculture. Clusters 1 and 2 had the highest elevation, and clusters 1 and 5 had the highest mean distance to a provincial capital (Figure 12). </w:t>
      </w:r>
    </w:p>
    <w:p w14:paraId="58197645" w14:textId="77777777" w:rsidR="0011048D" w:rsidRDefault="0011048D" w:rsidP="0011048D">
      <w:pPr>
        <w:rPr>
          <w:b/>
          <w:bCs/>
          <w:sz w:val="20"/>
          <w:szCs w:val="20"/>
        </w:rPr>
      </w:pPr>
    </w:p>
    <w:p w14:paraId="1852343F" w14:textId="62A11116" w:rsidR="0011048D" w:rsidRPr="00A2432B" w:rsidRDefault="0011048D" w:rsidP="0011048D">
      <w:pPr>
        <w:rPr>
          <w:b/>
          <w:bCs/>
          <w:sz w:val="20"/>
          <w:szCs w:val="20"/>
        </w:rPr>
      </w:pPr>
      <w:r w:rsidRPr="00A2432B">
        <w:rPr>
          <w:b/>
          <w:bCs/>
          <w:sz w:val="20"/>
          <w:szCs w:val="20"/>
        </w:rPr>
        <w:t>Table 4. Model outputs</w:t>
      </w:r>
      <w:r>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11048D" w:rsidRPr="00A2432B" w14:paraId="4E80384F" w14:textId="77777777" w:rsidTr="001A26A3">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24AB0FA2"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51837CE9"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C5BE64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Std.Dev</w:t>
            </w:r>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2C9E7116"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5565286A"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24CC5907" w14:textId="77777777" w:rsidR="0011048D" w:rsidRPr="00A2432B" w:rsidRDefault="0011048D" w:rsidP="001A26A3">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A66892">
              <w:rPr>
                <w:rFonts w:ascii="Calibri" w:eastAsia="Times New Roman" w:hAnsi="Calibri" w:cs="Calibri"/>
                <w:b/>
                <w:bCs/>
                <w:i/>
                <w:iCs/>
                <w:color w:val="000000"/>
                <w:sz w:val="20"/>
                <w:szCs w:val="20"/>
                <w:vertAlign w:val="superscript"/>
                <w:lang w:eastAsia="en-GB"/>
              </w:rPr>
              <w:t>a</w:t>
            </w:r>
          </w:p>
        </w:tc>
      </w:tr>
      <w:tr w:rsidR="0011048D" w:rsidRPr="00A2432B" w14:paraId="3A459899" w14:textId="77777777" w:rsidTr="001A26A3">
        <w:trPr>
          <w:trHeight w:val="288"/>
        </w:trPr>
        <w:tc>
          <w:tcPr>
            <w:tcW w:w="3402" w:type="dxa"/>
            <w:tcBorders>
              <w:top w:val="single" w:sz="12" w:space="0" w:color="auto"/>
              <w:left w:val="nil"/>
              <w:bottom w:val="nil"/>
              <w:right w:val="nil"/>
            </w:tcBorders>
            <w:shd w:val="clear" w:color="auto" w:fill="auto"/>
            <w:noWrap/>
            <w:hideMark/>
          </w:tcPr>
          <w:p w14:paraId="27FD1594"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3331914E"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0FA01C3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C66B99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5BEA2F9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422FAE7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55FDF9A3" w14:textId="77777777" w:rsidTr="001A26A3">
        <w:trPr>
          <w:trHeight w:val="288"/>
        </w:trPr>
        <w:tc>
          <w:tcPr>
            <w:tcW w:w="3402" w:type="dxa"/>
            <w:tcBorders>
              <w:top w:val="nil"/>
              <w:left w:val="nil"/>
              <w:bottom w:val="nil"/>
              <w:right w:val="nil"/>
            </w:tcBorders>
            <w:shd w:val="clear" w:color="auto" w:fill="auto"/>
            <w:noWrap/>
            <w:hideMark/>
          </w:tcPr>
          <w:p w14:paraId="1AFBFF59"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507FC40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50906A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F5D488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8B3728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73C79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756FDEF1" w14:textId="77777777" w:rsidTr="001A26A3">
        <w:trPr>
          <w:trHeight w:val="288"/>
        </w:trPr>
        <w:tc>
          <w:tcPr>
            <w:tcW w:w="3402" w:type="dxa"/>
            <w:tcBorders>
              <w:top w:val="nil"/>
              <w:left w:val="nil"/>
              <w:bottom w:val="nil"/>
              <w:right w:val="nil"/>
            </w:tcBorders>
            <w:shd w:val="clear" w:color="auto" w:fill="auto"/>
            <w:noWrap/>
            <w:hideMark/>
          </w:tcPr>
          <w:p w14:paraId="0B5EC85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4E38A18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D9A5FE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565F392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E1F70A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731329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32A59581" w14:textId="77777777" w:rsidTr="001A26A3">
        <w:trPr>
          <w:trHeight w:val="288"/>
        </w:trPr>
        <w:tc>
          <w:tcPr>
            <w:tcW w:w="3402" w:type="dxa"/>
            <w:tcBorders>
              <w:top w:val="nil"/>
              <w:left w:val="nil"/>
              <w:bottom w:val="nil"/>
              <w:right w:val="nil"/>
            </w:tcBorders>
            <w:shd w:val="clear" w:color="auto" w:fill="auto"/>
            <w:noWrap/>
            <w:hideMark/>
          </w:tcPr>
          <w:p w14:paraId="5FC8B3F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31AC10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30F1757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3A34BB9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140D4369"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BDFC5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4DD579A8" w14:textId="77777777" w:rsidTr="001A26A3">
        <w:trPr>
          <w:trHeight w:val="288"/>
        </w:trPr>
        <w:tc>
          <w:tcPr>
            <w:tcW w:w="3402" w:type="dxa"/>
            <w:tcBorders>
              <w:top w:val="nil"/>
              <w:left w:val="nil"/>
              <w:bottom w:val="nil"/>
              <w:right w:val="nil"/>
            </w:tcBorders>
            <w:shd w:val="clear" w:color="auto" w:fill="auto"/>
            <w:noWrap/>
            <w:hideMark/>
          </w:tcPr>
          <w:p w14:paraId="1565447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90051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C41F99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1A116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295D9B4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071BBAA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BFFA03" w14:textId="77777777" w:rsidTr="001A26A3">
        <w:trPr>
          <w:trHeight w:val="288"/>
        </w:trPr>
        <w:tc>
          <w:tcPr>
            <w:tcW w:w="3402" w:type="dxa"/>
            <w:tcBorders>
              <w:top w:val="nil"/>
              <w:left w:val="nil"/>
              <w:bottom w:val="nil"/>
              <w:right w:val="nil"/>
            </w:tcBorders>
            <w:shd w:val="clear" w:color="auto" w:fill="auto"/>
            <w:noWrap/>
            <w:hideMark/>
          </w:tcPr>
          <w:p w14:paraId="11A8F0B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19271EF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0CDB504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4A2B0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0634EC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CD1F5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D9C4FFC" w14:textId="77777777" w:rsidTr="001A26A3">
        <w:trPr>
          <w:trHeight w:val="288"/>
        </w:trPr>
        <w:tc>
          <w:tcPr>
            <w:tcW w:w="3402" w:type="dxa"/>
            <w:tcBorders>
              <w:top w:val="nil"/>
              <w:left w:val="nil"/>
              <w:bottom w:val="nil"/>
              <w:right w:val="nil"/>
            </w:tcBorders>
            <w:shd w:val="clear" w:color="auto" w:fill="auto"/>
            <w:noWrap/>
            <w:hideMark/>
          </w:tcPr>
          <w:p w14:paraId="68E7108A"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3727AF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59E420B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1FC89F5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94CA2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D1C314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2C4F1E39" w14:textId="77777777" w:rsidTr="001A26A3">
        <w:trPr>
          <w:trHeight w:val="288"/>
        </w:trPr>
        <w:tc>
          <w:tcPr>
            <w:tcW w:w="3402" w:type="dxa"/>
            <w:tcBorders>
              <w:top w:val="nil"/>
              <w:left w:val="nil"/>
              <w:bottom w:val="nil"/>
              <w:right w:val="nil"/>
            </w:tcBorders>
            <w:shd w:val="clear" w:color="auto" w:fill="auto"/>
            <w:noWrap/>
            <w:hideMark/>
          </w:tcPr>
          <w:p w14:paraId="10B53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131C82B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7CF040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D9D2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1E5A9EA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15850CF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14DA6774" w14:textId="77777777" w:rsidTr="001A26A3">
        <w:trPr>
          <w:trHeight w:val="288"/>
        </w:trPr>
        <w:tc>
          <w:tcPr>
            <w:tcW w:w="3402" w:type="dxa"/>
            <w:tcBorders>
              <w:top w:val="nil"/>
              <w:left w:val="nil"/>
              <w:bottom w:val="nil"/>
              <w:right w:val="nil"/>
            </w:tcBorders>
            <w:shd w:val="clear" w:color="auto" w:fill="auto"/>
            <w:noWrap/>
            <w:hideMark/>
          </w:tcPr>
          <w:p w14:paraId="724736E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3112906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03B117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518FB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0A6A145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229A4F2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11048D" w:rsidRPr="00A2432B" w14:paraId="5FE540DD" w14:textId="77777777" w:rsidTr="001A26A3">
        <w:trPr>
          <w:trHeight w:val="288"/>
        </w:trPr>
        <w:tc>
          <w:tcPr>
            <w:tcW w:w="3402" w:type="dxa"/>
            <w:tcBorders>
              <w:top w:val="nil"/>
              <w:left w:val="nil"/>
              <w:bottom w:val="nil"/>
              <w:right w:val="nil"/>
            </w:tcBorders>
            <w:shd w:val="clear" w:color="auto" w:fill="auto"/>
            <w:noWrap/>
            <w:hideMark/>
          </w:tcPr>
          <w:p w14:paraId="19BF850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635F977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541967A"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036AA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6C3D84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0F0F7AC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11048D" w:rsidRPr="00A2432B" w14:paraId="162F17CF" w14:textId="77777777" w:rsidTr="001A26A3">
        <w:trPr>
          <w:trHeight w:val="288"/>
        </w:trPr>
        <w:tc>
          <w:tcPr>
            <w:tcW w:w="3402" w:type="dxa"/>
            <w:tcBorders>
              <w:top w:val="nil"/>
              <w:left w:val="nil"/>
              <w:bottom w:val="nil"/>
              <w:right w:val="nil"/>
            </w:tcBorders>
            <w:shd w:val="clear" w:color="auto" w:fill="auto"/>
            <w:noWrap/>
            <w:hideMark/>
          </w:tcPr>
          <w:p w14:paraId="78F636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In'tl border</w:t>
            </w:r>
          </w:p>
        </w:tc>
        <w:tc>
          <w:tcPr>
            <w:tcW w:w="993" w:type="dxa"/>
            <w:tcBorders>
              <w:top w:val="nil"/>
              <w:left w:val="nil"/>
              <w:bottom w:val="nil"/>
              <w:right w:val="nil"/>
            </w:tcBorders>
            <w:shd w:val="clear" w:color="auto" w:fill="auto"/>
            <w:noWrap/>
            <w:hideMark/>
          </w:tcPr>
          <w:p w14:paraId="189D57C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3C622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28E403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76436EB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13FAC39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11048D" w:rsidRPr="00A2432B" w14:paraId="0FD8C7B2" w14:textId="77777777" w:rsidTr="001A26A3">
        <w:trPr>
          <w:trHeight w:val="288"/>
        </w:trPr>
        <w:tc>
          <w:tcPr>
            <w:tcW w:w="3402" w:type="dxa"/>
            <w:tcBorders>
              <w:top w:val="nil"/>
              <w:left w:val="nil"/>
              <w:bottom w:val="nil"/>
              <w:right w:val="nil"/>
            </w:tcBorders>
            <w:shd w:val="clear" w:color="auto" w:fill="auto"/>
            <w:noWrap/>
            <w:hideMark/>
          </w:tcPr>
          <w:p w14:paraId="27B1156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4F8EC2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A3C3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73FAA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6363536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74843B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11048D" w:rsidRPr="00A2432B" w14:paraId="265316DC" w14:textId="77777777" w:rsidTr="001A26A3">
        <w:trPr>
          <w:trHeight w:val="288"/>
        </w:trPr>
        <w:tc>
          <w:tcPr>
            <w:tcW w:w="3402" w:type="dxa"/>
            <w:tcBorders>
              <w:top w:val="nil"/>
              <w:left w:val="nil"/>
              <w:bottom w:val="nil"/>
              <w:right w:val="nil"/>
            </w:tcBorders>
            <w:shd w:val="clear" w:color="auto" w:fill="auto"/>
            <w:noWrap/>
            <w:hideMark/>
          </w:tcPr>
          <w:p w14:paraId="0A71B6D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477FC19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B32071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94692F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37FC0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170E9AB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11048D" w:rsidRPr="00A2432B" w14:paraId="7CEC47BF" w14:textId="77777777" w:rsidTr="001A26A3">
        <w:trPr>
          <w:trHeight w:val="288"/>
        </w:trPr>
        <w:tc>
          <w:tcPr>
            <w:tcW w:w="3402" w:type="dxa"/>
            <w:tcBorders>
              <w:top w:val="nil"/>
              <w:left w:val="nil"/>
              <w:bottom w:val="single" w:sz="4" w:space="0" w:color="auto"/>
              <w:right w:val="nil"/>
            </w:tcBorders>
            <w:shd w:val="clear" w:color="auto" w:fill="auto"/>
            <w:noWrap/>
            <w:hideMark/>
          </w:tcPr>
          <w:p w14:paraId="5CA0B35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1C0DCE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58B8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475FE58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44F689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40F472F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11048D" w:rsidRPr="00A2432B" w14:paraId="105A3F6C" w14:textId="77777777" w:rsidTr="001A26A3">
        <w:trPr>
          <w:trHeight w:val="288"/>
        </w:trPr>
        <w:tc>
          <w:tcPr>
            <w:tcW w:w="3402" w:type="dxa"/>
            <w:tcBorders>
              <w:top w:val="nil"/>
              <w:left w:val="nil"/>
              <w:bottom w:val="nil"/>
              <w:right w:val="nil"/>
            </w:tcBorders>
            <w:shd w:val="clear" w:color="auto" w:fill="auto"/>
            <w:noWrap/>
            <w:hideMark/>
          </w:tcPr>
          <w:p w14:paraId="0F89638D"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24BCC0C3" w14:textId="77777777" w:rsidR="0011048D" w:rsidRPr="00A2432B" w:rsidRDefault="0011048D" w:rsidP="001A26A3">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783BB69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5D83F62"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404509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6493ACD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1CA0705E" w14:textId="77777777" w:rsidTr="001A26A3">
        <w:trPr>
          <w:trHeight w:val="288"/>
        </w:trPr>
        <w:tc>
          <w:tcPr>
            <w:tcW w:w="3402" w:type="dxa"/>
            <w:tcBorders>
              <w:top w:val="nil"/>
              <w:left w:val="nil"/>
              <w:bottom w:val="nil"/>
              <w:right w:val="nil"/>
            </w:tcBorders>
            <w:shd w:val="clear" w:color="auto" w:fill="auto"/>
            <w:noWrap/>
            <w:hideMark/>
          </w:tcPr>
          <w:p w14:paraId="713FD61E"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39062C78"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CE4BCE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E2FC46F"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798F99F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15133337"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5293650" w14:textId="77777777" w:rsidTr="001A26A3">
        <w:trPr>
          <w:trHeight w:val="288"/>
        </w:trPr>
        <w:tc>
          <w:tcPr>
            <w:tcW w:w="3402" w:type="dxa"/>
            <w:tcBorders>
              <w:top w:val="nil"/>
              <w:left w:val="nil"/>
              <w:bottom w:val="nil"/>
              <w:right w:val="nil"/>
            </w:tcBorders>
            <w:shd w:val="clear" w:color="auto" w:fill="auto"/>
            <w:noWrap/>
            <w:hideMark/>
          </w:tcPr>
          <w:p w14:paraId="5203802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6B57D58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23A827F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0512DD5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3FC32B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5CAFE"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57ECE29" w14:textId="77777777" w:rsidTr="001A26A3">
        <w:trPr>
          <w:trHeight w:val="288"/>
        </w:trPr>
        <w:tc>
          <w:tcPr>
            <w:tcW w:w="3402" w:type="dxa"/>
            <w:tcBorders>
              <w:top w:val="nil"/>
              <w:left w:val="nil"/>
              <w:bottom w:val="nil"/>
              <w:right w:val="nil"/>
            </w:tcBorders>
            <w:shd w:val="clear" w:color="auto" w:fill="auto"/>
            <w:noWrap/>
            <w:hideMark/>
          </w:tcPr>
          <w:p w14:paraId="19154BD8"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10B5A7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0B9A352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35F64CF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44F4AA1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92D9A21"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6AE5011E" w14:textId="77777777" w:rsidTr="001A26A3">
        <w:trPr>
          <w:trHeight w:val="288"/>
        </w:trPr>
        <w:tc>
          <w:tcPr>
            <w:tcW w:w="3402" w:type="dxa"/>
            <w:tcBorders>
              <w:top w:val="nil"/>
              <w:left w:val="nil"/>
              <w:bottom w:val="nil"/>
              <w:right w:val="nil"/>
            </w:tcBorders>
            <w:shd w:val="clear" w:color="auto" w:fill="auto"/>
            <w:noWrap/>
            <w:hideMark/>
          </w:tcPr>
          <w:p w14:paraId="4CB7E392"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45A2285D" w14:textId="77777777" w:rsidR="0011048D" w:rsidRPr="00A2432B" w:rsidRDefault="0011048D" w:rsidP="001A26A3">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78F346D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7F14B6C"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6EE7336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6AB7645"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p>
        </w:tc>
      </w:tr>
      <w:tr w:rsidR="0011048D" w:rsidRPr="00A2432B" w14:paraId="0E7D11C5" w14:textId="77777777" w:rsidTr="001A26A3">
        <w:trPr>
          <w:trHeight w:val="288"/>
        </w:trPr>
        <w:tc>
          <w:tcPr>
            <w:tcW w:w="3402" w:type="dxa"/>
            <w:tcBorders>
              <w:top w:val="nil"/>
              <w:left w:val="nil"/>
              <w:bottom w:val="nil"/>
              <w:right w:val="nil"/>
            </w:tcBorders>
            <w:shd w:val="clear" w:color="auto" w:fill="auto"/>
            <w:noWrap/>
            <w:hideMark/>
          </w:tcPr>
          <w:p w14:paraId="6E68C3BF"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42A6D4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AAFE0A4"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849B9D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7F6C154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079DF6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p>
        </w:tc>
      </w:tr>
      <w:tr w:rsidR="0011048D" w:rsidRPr="00A2432B" w14:paraId="0669CD04" w14:textId="77777777" w:rsidTr="001A26A3">
        <w:trPr>
          <w:trHeight w:val="288"/>
        </w:trPr>
        <w:tc>
          <w:tcPr>
            <w:tcW w:w="3402" w:type="dxa"/>
            <w:tcBorders>
              <w:top w:val="nil"/>
              <w:left w:val="nil"/>
              <w:bottom w:val="nil"/>
              <w:right w:val="nil"/>
            </w:tcBorders>
            <w:shd w:val="clear" w:color="auto" w:fill="auto"/>
            <w:noWrap/>
            <w:hideMark/>
          </w:tcPr>
          <w:p w14:paraId="6F1F7CD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26045E5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0A4896D"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338CF3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05719EA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DF952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1297ABDE" w14:textId="77777777" w:rsidTr="001A26A3">
        <w:trPr>
          <w:trHeight w:val="288"/>
        </w:trPr>
        <w:tc>
          <w:tcPr>
            <w:tcW w:w="3402" w:type="dxa"/>
            <w:tcBorders>
              <w:top w:val="nil"/>
              <w:left w:val="nil"/>
              <w:bottom w:val="nil"/>
              <w:right w:val="nil"/>
            </w:tcBorders>
            <w:shd w:val="clear" w:color="auto" w:fill="auto"/>
            <w:noWrap/>
            <w:hideMark/>
          </w:tcPr>
          <w:p w14:paraId="23EACFD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02337C1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C2B445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72E8640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5851CBB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5500966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1EA186A" w14:textId="77777777" w:rsidTr="001A26A3">
        <w:trPr>
          <w:trHeight w:val="288"/>
        </w:trPr>
        <w:tc>
          <w:tcPr>
            <w:tcW w:w="3402" w:type="dxa"/>
            <w:tcBorders>
              <w:top w:val="nil"/>
              <w:left w:val="nil"/>
              <w:bottom w:val="nil"/>
              <w:right w:val="nil"/>
            </w:tcBorders>
            <w:shd w:val="clear" w:color="auto" w:fill="auto"/>
            <w:noWrap/>
            <w:hideMark/>
          </w:tcPr>
          <w:p w14:paraId="5FA91613"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74C0BA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0B08A88"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FBF4C7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58E5288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A509ED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3E5F240B" w14:textId="77777777" w:rsidTr="001A26A3">
        <w:trPr>
          <w:trHeight w:val="288"/>
        </w:trPr>
        <w:tc>
          <w:tcPr>
            <w:tcW w:w="3402" w:type="dxa"/>
            <w:tcBorders>
              <w:top w:val="nil"/>
              <w:left w:val="nil"/>
              <w:bottom w:val="nil"/>
              <w:right w:val="nil"/>
            </w:tcBorders>
            <w:shd w:val="clear" w:color="auto" w:fill="auto"/>
            <w:noWrap/>
            <w:hideMark/>
          </w:tcPr>
          <w:p w14:paraId="7CB75579"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2057014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4D930F3"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B37B58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033C521E"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3C26FA5A"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0CF6AFAE" w14:textId="77777777" w:rsidTr="001A26A3">
        <w:trPr>
          <w:trHeight w:val="288"/>
        </w:trPr>
        <w:tc>
          <w:tcPr>
            <w:tcW w:w="3402" w:type="dxa"/>
            <w:tcBorders>
              <w:top w:val="nil"/>
              <w:left w:val="nil"/>
              <w:bottom w:val="nil"/>
              <w:right w:val="nil"/>
            </w:tcBorders>
            <w:shd w:val="clear" w:color="auto" w:fill="auto"/>
            <w:noWrap/>
            <w:hideMark/>
          </w:tcPr>
          <w:p w14:paraId="62F68034"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 capital (low)</w:t>
            </w:r>
          </w:p>
        </w:tc>
        <w:tc>
          <w:tcPr>
            <w:tcW w:w="993" w:type="dxa"/>
            <w:tcBorders>
              <w:top w:val="nil"/>
              <w:left w:val="nil"/>
              <w:bottom w:val="nil"/>
              <w:right w:val="nil"/>
            </w:tcBorders>
            <w:shd w:val="clear" w:color="auto" w:fill="auto"/>
            <w:noWrap/>
            <w:hideMark/>
          </w:tcPr>
          <w:p w14:paraId="25A12C4D"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2D3E8B"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9C539A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4E41AFB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48FF80A2"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11048D" w:rsidRPr="00A2432B" w14:paraId="6221EAEA" w14:textId="77777777" w:rsidTr="001A26A3">
        <w:trPr>
          <w:trHeight w:val="205"/>
        </w:trPr>
        <w:tc>
          <w:tcPr>
            <w:tcW w:w="3402" w:type="dxa"/>
            <w:tcBorders>
              <w:top w:val="nil"/>
              <w:left w:val="nil"/>
              <w:bottom w:val="nil"/>
              <w:right w:val="nil"/>
            </w:tcBorders>
            <w:shd w:val="clear" w:color="auto" w:fill="auto"/>
            <w:hideMark/>
          </w:tcPr>
          <w:p w14:paraId="6EBE5E1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182D1EFB"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60A4FB0"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49FD7E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2329640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05EFF8A1"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11048D" w:rsidRPr="00A2432B" w14:paraId="4E2E4CBE" w14:textId="77777777" w:rsidTr="001A26A3">
        <w:trPr>
          <w:trHeight w:val="288"/>
        </w:trPr>
        <w:tc>
          <w:tcPr>
            <w:tcW w:w="3402" w:type="dxa"/>
            <w:tcBorders>
              <w:top w:val="nil"/>
              <w:left w:val="nil"/>
              <w:bottom w:val="single" w:sz="12" w:space="0" w:color="auto"/>
              <w:right w:val="nil"/>
            </w:tcBorders>
            <w:shd w:val="clear" w:color="auto" w:fill="auto"/>
            <w:noWrap/>
            <w:hideMark/>
          </w:tcPr>
          <w:p w14:paraId="4A3DF636"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461B6257"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3986C96" w14:textId="77777777" w:rsidR="0011048D" w:rsidRPr="00A2432B" w:rsidRDefault="0011048D" w:rsidP="001A26A3">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298A8D30"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435723FC"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010C4135" w14:textId="77777777" w:rsidR="0011048D" w:rsidRPr="00A2432B" w:rsidRDefault="0011048D" w:rsidP="001A26A3">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61430198" w14:textId="77777777" w:rsidR="0011048D" w:rsidRPr="00A66892" w:rsidRDefault="0011048D" w:rsidP="0011048D">
      <w:pPr>
        <w:rPr>
          <w:sz w:val="18"/>
          <w:szCs w:val="18"/>
        </w:rPr>
      </w:pPr>
      <w:r w:rsidRPr="00A66892">
        <w:rPr>
          <w:i/>
          <w:iCs/>
          <w:sz w:val="24"/>
          <w:szCs w:val="24"/>
          <w:vertAlign w:val="superscript"/>
        </w:rPr>
        <w:t>a</w:t>
      </w:r>
      <w:r w:rsidRPr="00A66892">
        <w:rPr>
          <w:sz w:val="18"/>
          <w:szCs w:val="18"/>
        </w:rPr>
        <w:t xml:space="preserve"> Rate ratio = exp(coefficient) </w:t>
      </w:r>
    </w:p>
    <w:p w14:paraId="63B1C71F" w14:textId="39A28F21" w:rsidR="00D6664E" w:rsidRDefault="00D6664E">
      <w:pPr>
        <w:rPr>
          <w:b/>
          <w:bCs/>
        </w:rPr>
      </w:pPr>
    </w:p>
    <w:p w14:paraId="2C59AEF2" w14:textId="0799381C" w:rsidR="0011048D" w:rsidRDefault="0011048D">
      <w:pPr>
        <w:rPr>
          <w:b/>
          <w:bCs/>
        </w:rPr>
      </w:pPr>
    </w:p>
    <w:p w14:paraId="1C0A3482" w14:textId="4E8D2AC1" w:rsidR="0011048D" w:rsidRDefault="0011048D">
      <w:pPr>
        <w:rPr>
          <w:b/>
          <w:bCs/>
        </w:rPr>
      </w:pPr>
    </w:p>
    <w:p w14:paraId="18AE0B8D" w14:textId="4A8DEC37" w:rsidR="0011048D" w:rsidRDefault="0011048D">
      <w:pPr>
        <w:rPr>
          <w:noProof/>
          <w:lang w:eastAsia="en-GB"/>
        </w:rPr>
      </w:pPr>
      <w:r>
        <w:rPr>
          <w:noProof/>
          <w:lang w:eastAsia="en-GB"/>
        </w:rPr>
        <w:lastRenderedPageBreak/>
        <w:drawing>
          <wp:inline distT="0" distB="0" distL="0" distR="0" wp14:anchorId="1297CA35" wp14:editId="20F0167D">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327249DC" w14:textId="77777777" w:rsidR="0011048D" w:rsidRDefault="0011048D" w:rsidP="0011048D">
      <w:pPr>
        <w:rPr>
          <w:b/>
          <w:bCs/>
          <w:sz w:val="20"/>
          <w:szCs w:val="20"/>
        </w:rPr>
      </w:pPr>
      <w:r w:rsidRPr="00591618">
        <w:rPr>
          <w:b/>
          <w:bCs/>
          <w:sz w:val="20"/>
          <w:szCs w:val="20"/>
        </w:rPr>
        <w:t xml:space="preserve">Figure </w:t>
      </w:r>
      <w:r>
        <w:rPr>
          <w:b/>
          <w:bCs/>
          <w:sz w:val="20"/>
          <w:szCs w:val="20"/>
        </w:rPr>
        <w:t>5</w:t>
      </w:r>
      <w:r w:rsidRPr="00591618">
        <w:rPr>
          <w:b/>
          <w:bCs/>
          <w:sz w:val="20"/>
          <w:szCs w:val="20"/>
        </w:rPr>
        <w:t xml:space="preserve">. </w:t>
      </w:r>
      <w:commentRangeStart w:id="1"/>
      <w:r w:rsidRPr="00591618">
        <w:rPr>
          <w:b/>
          <w:bCs/>
          <w:sz w:val="20"/>
          <w:szCs w:val="20"/>
        </w:rPr>
        <w:t xml:space="preserve">Predicted </w:t>
      </w:r>
      <w:commentRangeEnd w:id="1"/>
      <w:r>
        <w:rPr>
          <w:rStyle w:val="CommentReference"/>
        </w:rPr>
        <w:commentReference w:id="1"/>
      </w:r>
      <w:r w:rsidRPr="00591618">
        <w:rPr>
          <w:b/>
          <w:bCs/>
          <w:sz w:val="20"/>
          <w:szCs w:val="20"/>
        </w:rPr>
        <w:t>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41ABCD4D" w14:textId="0D2CB813" w:rsidR="0011048D" w:rsidRDefault="0011048D" w:rsidP="0011048D"/>
    <w:p w14:paraId="079E5C71" w14:textId="4AF745B8" w:rsidR="0011048D" w:rsidRDefault="0011048D" w:rsidP="0011048D">
      <w:pPr>
        <w:rPr>
          <w:noProof/>
          <w:lang w:eastAsia="en-GB"/>
        </w:rPr>
      </w:pPr>
      <w:r>
        <w:rPr>
          <w:noProof/>
          <w:lang w:eastAsia="en-GB"/>
        </w:rPr>
        <w:lastRenderedPageBreak/>
        <w:drawing>
          <wp:inline distT="0" distB="0" distL="0" distR="0" wp14:anchorId="6184219F" wp14:editId="17A71559">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D87D270" w14:textId="77777777" w:rsidR="0011048D" w:rsidRDefault="0011048D" w:rsidP="0011048D">
      <w:pPr>
        <w:rPr>
          <w:b/>
          <w:bCs/>
          <w:sz w:val="20"/>
          <w:szCs w:val="20"/>
        </w:rPr>
      </w:pPr>
      <w:r w:rsidRPr="00CC10DE">
        <w:rPr>
          <w:b/>
          <w:bCs/>
          <w:sz w:val="20"/>
          <w:szCs w:val="20"/>
        </w:rPr>
        <w:t xml:space="preserve">Figure </w:t>
      </w:r>
      <w:r>
        <w:rPr>
          <w:b/>
          <w:bCs/>
          <w:sz w:val="20"/>
          <w:szCs w:val="20"/>
        </w:rPr>
        <w:t>6</w:t>
      </w:r>
      <w:r w:rsidRPr="00CC10DE">
        <w:rPr>
          <w:b/>
          <w:bCs/>
          <w:sz w:val="20"/>
          <w:szCs w:val="20"/>
        </w:rPr>
        <w:t>. 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Pr>
          <w:b/>
          <w:bCs/>
          <w:sz w:val="20"/>
          <w:szCs w:val="20"/>
        </w:rPr>
        <w:t xml:space="preserve"> Plot panels have non-standard y axis ranges.</w:t>
      </w:r>
    </w:p>
    <w:p w14:paraId="0B3A8EEB" w14:textId="1BC86002" w:rsidR="0011048D" w:rsidRDefault="0011048D" w:rsidP="0011048D">
      <w:pPr>
        <w:rPr>
          <w:noProof/>
          <w:lang w:eastAsia="en-GB"/>
        </w:rPr>
      </w:pPr>
      <w:r>
        <w:rPr>
          <w:noProof/>
          <w:lang w:eastAsia="en-GB"/>
        </w:rPr>
        <w:lastRenderedPageBreak/>
        <w:drawing>
          <wp:inline distT="0" distB="0" distL="0" distR="0" wp14:anchorId="31107EB8" wp14:editId="60DA324E">
            <wp:extent cx="5272644" cy="5272644"/>
            <wp:effectExtent l="0" t="0" r="4445" b="444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7264" cy="5277264"/>
                    </a:xfrm>
                    <a:prstGeom prst="rect">
                      <a:avLst/>
                    </a:prstGeom>
                    <a:noFill/>
                    <a:ln>
                      <a:noFill/>
                    </a:ln>
                  </pic:spPr>
                </pic:pic>
              </a:graphicData>
            </a:graphic>
          </wp:inline>
        </w:drawing>
      </w:r>
    </w:p>
    <w:p w14:paraId="36553963" w14:textId="77777777" w:rsidR="0011048D" w:rsidRDefault="0011048D" w:rsidP="0011048D">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7117E3B9" w14:textId="0228F84A" w:rsidR="0011048D" w:rsidRDefault="0011048D" w:rsidP="0011048D">
      <w:r>
        <w:rPr>
          <w:noProof/>
          <w:lang w:eastAsia="en-GB"/>
        </w:rPr>
        <w:lastRenderedPageBreak/>
        <w:drawing>
          <wp:inline distT="0" distB="0" distL="0" distR="0" wp14:anchorId="3FD24F3A" wp14:editId="304408E0">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444957" w14:textId="4DEB0D62" w:rsidR="0011048D" w:rsidRDefault="0011048D" w:rsidP="0011048D">
      <w:pPr>
        <w:rPr>
          <w:b/>
          <w:bCs/>
          <w:sz w:val="20"/>
          <w:szCs w:val="20"/>
        </w:rPr>
      </w:pPr>
      <w:r w:rsidRPr="00BA3DF2">
        <w:rPr>
          <w:b/>
          <w:bCs/>
          <w:sz w:val="20"/>
          <w:szCs w:val="20"/>
        </w:rPr>
        <w:t xml:space="preserve">Figure </w:t>
      </w:r>
      <w:r>
        <w:rPr>
          <w:b/>
          <w:bCs/>
          <w:sz w:val="20"/>
          <w:szCs w:val="20"/>
        </w:rPr>
        <w:t>8</w:t>
      </w:r>
      <w:r w:rsidRPr="00BA3DF2">
        <w:rPr>
          <w:b/>
          <w:bCs/>
          <w:sz w:val="20"/>
          <w:szCs w:val="20"/>
        </w:rPr>
        <w:t xml:space="preserve">. Predicted forest cover within each Cambodian province given high and low </w:t>
      </w:r>
      <w:r>
        <w:rPr>
          <w:b/>
          <w:bCs/>
          <w:sz w:val="20"/>
          <w:szCs w:val="20"/>
        </w:rPr>
        <w:t xml:space="preserve">distances to the nearest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D6D3F11" w14:textId="7319608A" w:rsidR="0011048D" w:rsidRDefault="0011048D" w:rsidP="0011048D">
      <w:pPr>
        <w:rPr>
          <w:b/>
          <w:bCs/>
          <w:sz w:val="20"/>
          <w:szCs w:val="20"/>
        </w:rPr>
      </w:pPr>
    </w:p>
    <w:p w14:paraId="2F998785" w14:textId="2FF0B6AF" w:rsidR="0011048D" w:rsidRDefault="0011048D" w:rsidP="0011048D">
      <w:pPr>
        <w:rPr>
          <w:b/>
          <w:bCs/>
          <w:sz w:val="20"/>
          <w:szCs w:val="20"/>
        </w:rPr>
      </w:pPr>
    </w:p>
    <w:p w14:paraId="409D2859" w14:textId="6821B0D3" w:rsidR="0011048D" w:rsidRDefault="0011048D" w:rsidP="0011048D">
      <w:pPr>
        <w:rPr>
          <w:b/>
          <w:bCs/>
          <w:sz w:val="20"/>
          <w:szCs w:val="20"/>
        </w:rPr>
      </w:pPr>
    </w:p>
    <w:p w14:paraId="6F898E54" w14:textId="0B261A24" w:rsidR="0011048D" w:rsidRDefault="0011048D" w:rsidP="0011048D">
      <w:pPr>
        <w:rPr>
          <w:b/>
          <w:bCs/>
          <w:sz w:val="20"/>
          <w:szCs w:val="20"/>
        </w:rPr>
      </w:pPr>
    </w:p>
    <w:p w14:paraId="4FC580AA" w14:textId="66E5CC54" w:rsidR="0011048D" w:rsidRDefault="0011048D" w:rsidP="0011048D">
      <w:pPr>
        <w:rPr>
          <w:b/>
          <w:bCs/>
          <w:sz w:val="20"/>
          <w:szCs w:val="20"/>
        </w:rPr>
      </w:pPr>
    </w:p>
    <w:p w14:paraId="18DC92CD" w14:textId="60F8859B" w:rsidR="0011048D" w:rsidRDefault="0011048D" w:rsidP="0011048D">
      <w:pPr>
        <w:rPr>
          <w:b/>
          <w:bCs/>
          <w:sz w:val="20"/>
          <w:szCs w:val="20"/>
        </w:rPr>
      </w:pPr>
    </w:p>
    <w:p w14:paraId="392A81EC" w14:textId="2EC702D1" w:rsidR="0011048D" w:rsidRDefault="0011048D" w:rsidP="0011048D">
      <w:pPr>
        <w:rPr>
          <w:b/>
          <w:bCs/>
          <w:sz w:val="20"/>
          <w:szCs w:val="20"/>
        </w:rPr>
      </w:pPr>
    </w:p>
    <w:p w14:paraId="23C3DBBA" w14:textId="77777777" w:rsidR="0011048D" w:rsidRDefault="0011048D" w:rsidP="0011048D">
      <w:pPr>
        <w:rPr>
          <w:b/>
          <w:bCs/>
          <w:sz w:val="20"/>
          <w:szCs w:val="20"/>
        </w:rPr>
      </w:pPr>
    </w:p>
    <w:p w14:paraId="78C9DE29" w14:textId="6B1BDD41" w:rsidR="0011048D" w:rsidRDefault="0011048D" w:rsidP="0011048D">
      <w:pPr>
        <w:ind w:firstLine="720"/>
      </w:pPr>
      <w:r>
        <w:rPr>
          <w:noProof/>
          <w:lang w:eastAsia="en-GB"/>
        </w:rPr>
        <w:lastRenderedPageBreak/>
        <w:drawing>
          <wp:anchor distT="0" distB="0" distL="114300" distR="114300" simplePos="0" relativeHeight="251659264" behindDoc="1" locked="0" layoutInCell="1" allowOverlap="1" wp14:anchorId="73EB6D50" wp14:editId="29CD8EC6">
            <wp:simplePos x="0" y="0"/>
            <wp:positionH relativeFrom="column">
              <wp:posOffset>0</wp:posOffset>
            </wp:positionH>
            <wp:positionV relativeFrom="paragraph">
              <wp:posOffset>0</wp:posOffset>
            </wp:positionV>
            <wp:extent cx="5731510" cy="5731510"/>
            <wp:effectExtent l="0" t="0" r="2540" b="2540"/>
            <wp:wrapNone/>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040445" w14:textId="15EBAC10" w:rsidR="0011048D" w:rsidRPr="0011048D" w:rsidRDefault="0011048D" w:rsidP="0011048D"/>
    <w:p w14:paraId="0D3494EB" w14:textId="3541AA34" w:rsidR="0011048D" w:rsidRPr="0011048D" w:rsidRDefault="0011048D" w:rsidP="0011048D"/>
    <w:p w14:paraId="332B5486" w14:textId="20566509" w:rsidR="0011048D" w:rsidRPr="0011048D" w:rsidRDefault="0011048D" w:rsidP="0011048D"/>
    <w:p w14:paraId="2D6EC145" w14:textId="0CF933FC" w:rsidR="0011048D" w:rsidRPr="0011048D" w:rsidRDefault="0011048D" w:rsidP="0011048D"/>
    <w:p w14:paraId="4F4BFBB3" w14:textId="3103E1DD" w:rsidR="0011048D" w:rsidRPr="0011048D" w:rsidRDefault="0011048D" w:rsidP="0011048D"/>
    <w:p w14:paraId="7CFC9AF9" w14:textId="01D22B70" w:rsidR="0011048D" w:rsidRPr="0011048D" w:rsidRDefault="0011048D" w:rsidP="0011048D"/>
    <w:p w14:paraId="76D9073B" w14:textId="7EF74E54" w:rsidR="0011048D" w:rsidRPr="0011048D" w:rsidRDefault="0011048D" w:rsidP="0011048D"/>
    <w:p w14:paraId="7084F302" w14:textId="376B95BA" w:rsidR="0011048D" w:rsidRPr="0011048D" w:rsidRDefault="0011048D" w:rsidP="0011048D"/>
    <w:p w14:paraId="355BE01B" w14:textId="20B135FD" w:rsidR="0011048D" w:rsidRPr="0011048D" w:rsidRDefault="0011048D" w:rsidP="0011048D"/>
    <w:p w14:paraId="4970FE01" w14:textId="0ECD5711" w:rsidR="0011048D" w:rsidRPr="0011048D" w:rsidRDefault="0011048D" w:rsidP="0011048D"/>
    <w:p w14:paraId="7691CD76" w14:textId="5284211A" w:rsidR="0011048D" w:rsidRPr="0011048D" w:rsidRDefault="0011048D" w:rsidP="0011048D"/>
    <w:p w14:paraId="31F6B864" w14:textId="610C94EA" w:rsidR="0011048D" w:rsidRPr="0011048D" w:rsidRDefault="0011048D" w:rsidP="0011048D"/>
    <w:p w14:paraId="3AB9C4E0" w14:textId="03C2A67C" w:rsidR="0011048D" w:rsidRPr="0011048D" w:rsidRDefault="0011048D" w:rsidP="0011048D"/>
    <w:p w14:paraId="5D79A61B" w14:textId="1EE64974" w:rsidR="0011048D" w:rsidRPr="0011048D" w:rsidRDefault="0011048D" w:rsidP="0011048D"/>
    <w:p w14:paraId="039CB359" w14:textId="2D990665" w:rsidR="0011048D" w:rsidRPr="0011048D" w:rsidRDefault="0011048D" w:rsidP="0011048D"/>
    <w:p w14:paraId="629718D8" w14:textId="59A11399" w:rsidR="0011048D" w:rsidRPr="0011048D" w:rsidRDefault="0011048D" w:rsidP="0011048D"/>
    <w:p w14:paraId="1379BB76" w14:textId="40196067" w:rsidR="0011048D" w:rsidRPr="0011048D" w:rsidRDefault="0011048D" w:rsidP="0011048D"/>
    <w:p w14:paraId="289434A6" w14:textId="58B486FD" w:rsidR="0011048D" w:rsidRPr="0011048D" w:rsidRDefault="0011048D" w:rsidP="0011048D"/>
    <w:p w14:paraId="20AB8B14" w14:textId="700338B5" w:rsidR="0011048D" w:rsidRDefault="0011048D" w:rsidP="0011048D"/>
    <w:p w14:paraId="066658F7" w14:textId="77777777" w:rsidR="0011048D" w:rsidRPr="008850DC" w:rsidRDefault="0011048D" w:rsidP="0011048D">
      <w:pPr>
        <w:rPr>
          <w:b/>
          <w:bCs/>
          <w:sz w:val="20"/>
          <w:szCs w:val="20"/>
        </w:rPr>
      </w:pPr>
      <w:r w:rsidRPr="008850DC">
        <w:rPr>
          <w:b/>
          <w:bCs/>
          <w:sz w:val="20"/>
          <w:szCs w:val="20"/>
        </w:rPr>
        <w:t xml:space="preserve">Figure </w:t>
      </w:r>
      <w:r>
        <w:rPr>
          <w:b/>
          <w:bCs/>
          <w:sz w:val="20"/>
          <w:szCs w:val="20"/>
        </w:rPr>
        <w:t>9</w:t>
      </w:r>
      <w:r w:rsidRPr="008850DC">
        <w:rPr>
          <w:b/>
          <w:bCs/>
          <w:sz w:val="20"/>
          <w:szCs w:val="20"/>
        </w:rPr>
        <w:t>. Cambodian provinces clustered based on socioeconomics. Data were averaged across the study period 2007 – 2012. Variables included were total population, population density, number of land conflict cases, number of criminal cases per capita, number of in- and out-migrants, the proportion of the population classified as indigenous, proportion of males aged 6 – 24 in school, proportion of the population employed in the primary and secondary sectors, proportion of families with no access to agricultural land, proportion of families who kept pigs, distance to the nearest school, proportion of families with access to waste collection, and distance to the commune (administrative) centre. The clustering method was unweighted pair-group using arithmetic averages (UPGMA).</w:t>
      </w:r>
    </w:p>
    <w:p w14:paraId="46A36BAB" w14:textId="316DE989" w:rsidR="0011048D" w:rsidRDefault="0011048D" w:rsidP="0011048D"/>
    <w:p w14:paraId="60A4F8BF" w14:textId="33E79845" w:rsidR="0011048D" w:rsidRDefault="0011048D" w:rsidP="0011048D"/>
    <w:p w14:paraId="56C96396" w14:textId="06FE4724" w:rsidR="0011048D" w:rsidRDefault="0011048D" w:rsidP="0011048D"/>
    <w:p w14:paraId="63FBD4CB" w14:textId="4F1F49BC" w:rsidR="0011048D" w:rsidRDefault="0011048D" w:rsidP="0011048D"/>
    <w:p w14:paraId="7E5C90E7" w14:textId="402FE56E" w:rsidR="0011048D" w:rsidRDefault="0011048D" w:rsidP="0011048D"/>
    <w:p w14:paraId="08817C04" w14:textId="6A7F4AC4" w:rsidR="0011048D" w:rsidRDefault="0011048D" w:rsidP="0011048D"/>
    <w:p w14:paraId="30642C94" w14:textId="69CE143E" w:rsidR="0011048D" w:rsidRDefault="0011048D" w:rsidP="0011048D">
      <w:r>
        <w:rPr>
          <w:noProof/>
          <w:lang w:eastAsia="en-GB"/>
        </w:rPr>
        <w:lastRenderedPageBreak/>
        <w:drawing>
          <wp:anchor distT="0" distB="0" distL="114300" distR="114300" simplePos="0" relativeHeight="251661312" behindDoc="1" locked="0" layoutInCell="1" allowOverlap="1" wp14:anchorId="6CF6B1EC" wp14:editId="4F14AA43">
            <wp:simplePos x="0" y="0"/>
            <wp:positionH relativeFrom="margin">
              <wp:posOffset>0</wp:posOffset>
            </wp:positionH>
            <wp:positionV relativeFrom="paragraph">
              <wp:posOffset>0</wp:posOffset>
            </wp:positionV>
            <wp:extent cx="6614555" cy="6614555"/>
            <wp:effectExtent l="0" t="0" r="0" b="0"/>
            <wp:wrapNone/>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3672" cy="6623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B7AB9" w14:textId="52900B1A" w:rsidR="0011048D" w:rsidRPr="0011048D" w:rsidRDefault="0011048D" w:rsidP="0011048D"/>
    <w:p w14:paraId="7B06C71F" w14:textId="4E11F8EE" w:rsidR="0011048D" w:rsidRPr="0011048D" w:rsidRDefault="0011048D" w:rsidP="0011048D"/>
    <w:p w14:paraId="2287A84A" w14:textId="494FF2F4" w:rsidR="0011048D" w:rsidRPr="0011048D" w:rsidRDefault="0011048D" w:rsidP="0011048D"/>
    <w:p w14:paraId="1B284CD7" w14:textId="7418918B" w:rsidR="0011048D" w:rsidRPr="0011048D" w:rsidRDefault="0011048D" w:rsidP="0011048D"/>
    <w:p w14:paraId="6D947F99" w14:textId="74F00564" w:rsidR="0011048D" w:rsidRPr="0011048D" w:rsidRDefault="0011048D" w:rsidP="0011048D"/>
    <w:p w14:paraId="370BD46D" w14:textId="5BE12041" w:rsidR="0011048D" w:rsidRPr="0011048D" w:rsidRDefault="0011048D" w:rsidP="0011048D"/>
    <w:p w14:paraId="669F4277" w14:textId="06C5BBCE" w:rsidR="0011048D" w:rsidRPr="0011048D" w:rsidRDefault="0011048D" w:rsidP="0011048D"/>
    <w:p w14:paraId="6AC288E1" w14:textId="4409FEAC" w:rsidR="0011048D" w:rsidRPr="0011048D" w:rsidRDefault="0011048D" w:rsidP="0011048D"/>
    <w:p w14:paraId="4E7BEBA5" w14:textId="030BE6A5" w:rsidR="0011048D" w:rsidRPr="0011048D" w:rsidRDefault="0011048D" w:rsidP="0011048D"/>
    <w:p w14:paraId="7A9C0947" w14:textId="4F1CD19F" w:rsidR="0011048D" w:rsidRPr="0011048D" w:rsidRDefault="0011048D" w:rsidP="0011048D"/>
    <w:p w14:paraId="1FA28FAA" w14:textId="3A6E2A80" w:rsidR="0011048D" w:rsidRPr="0011048D" w:rsidRDefault="0011048D" w:rsidP="0011048D"/>
    <w:p w14:paraId="2F613DC1" w14:textId="408AD301" w:rsidR="0011048D" w:rsidRPr="0011048D" w:rsidRDefault="0011048D" w:rsidP="0011048D"/>
    <w:p w14:paraId="28CDA88E" w14:textId="74C8053B" w:rsidR="0011048D" w:rsidRPr="0011048D" w:rsidRDefault="0011048D" w:rsidP="0011048D"/>
    <w:p w14:paraId="387DAABC" w14:textId="480BC357" w:rsidR="0011048D" w:rsidRPr="0011048D" w:rsidRDefault="0011048D" w:rsidP="0011048D"/>
    <w:p w14:paraId="0651C0AB" w14:textId="09590E5B" w:rsidR="0011048D" w:rsidRPr="0011048D" w:rsidRDefault="0011048D" w:rsidP="0011048D"/>
    <w:p w14:paraId="38886F4F" w14:textId="6522F0A8" w:rsidR="0011048D" w:rsidRPr="0011048D" w:rsidRDefault="0011048D" w:rsidP="0011048D"/>
    <w:p w14:paraId="08773766" w14:textId="6094F9C7" w:rsidR="0011048D" w:rsidRPr="0011048D" w:rsidRDefault="0011048D" w:rsidP="0011048D"/>
    <w:p w14:paraId="4E3F2A33" w14:textId="6842B75F" w:rsidR="0011048D" w:rsidRPr="0011048D" w:rsidRDefault="0011048D" w:rsidP="0011048D"/>
    <w:p w14:paraId="6281B756" w14:textId="256359CD" w:rsidR="0011048D" w:rsidRPr="0011048D" w:rsidRDefault="0011048D" w:rsidP="0011048D"/>
    <w:p w14:paraId="6F78D51A" w14:textId="0994392A" w:rsidR="0011048D" w:rsidRPr="0011048D" w:rsidRDefault="0011048D" w:rsidP="0011048D"/>
    <w:p w14:paraId="1661B755" w14:textId="3DC2FEC3" w:rsidR="0011048D" w:rsidRPr="0011048D" w:rsidRDefault="0011048D" w:rsidP="0011048D"/>
    <w:p w14:paraId="7CB4523B" w14:textId="2CC3A802" w:rsidR="0011048D" w:rsidRPr="0011048D" w:rsidRDefault="0011048D" w:rsidP="0011048D"/>
    <w:p w14:paraId="4EC1F58F" w14:textId="77777777" w:rsidR="0011048D" w:rsidRPr="00154653" w:rsidRDefault="0011048D" w:rsidP="0011048D">
      <w:pPr>
        <w:rPr>
          <w:b/>
          <w:bCs/>
          <w:sz w:val="20"/>
          <w:szCs w:val="20"/>
        </w:rPr>
      </w:pPr>
      <w:r w:rsidRPr="00154653">
        <w:rPr>
          <w:b/>
          <w:bCs/>
          <w:sz w:val="20"/>
          <w:szCs w:val="20"/>
        </w:rPr>
        <w:t xml:space="preserve">Figure </w:t>
      </w:r>
      <w:r>
        <w:rPr>
          <w:b/>
          <w:bCs/>
          <w:sz w:val="20"/>
          <w:szCs w:val="20"/>
        </w:rPr>
        <w:t>10</w:t>
      </w:r>
      <w:r w:rsidRPr="00154653">
        <w:rPr>
          <w:b/>
          <w:bCs/>
          <w:sz w:val="20"/>
          <w:szCs w:val="20"/>
        </w:rPr>
        <w:t>. Map of Cambodia showing the clusters resulting from the unweighted pair-group using arithmetic averages (UPGMA) method. Provinces are labelled.</w:t>
      </w:r>
      <w:r>
        <w:rPr>
          <w:b/>
          <w:bCs/>
          <w:sz w:val="20"/>
          <w:szCs w:val="20"/>
        </w:rPr>
        <w:t xml:space="preserve"> The upper white polygon is the Tonle Sap lake, and the lower white polygon is the city of Phnom Penh, both of which were excluded from the analysis.</w:t>
      </w:r>
    </w:p>
    <w:p w14:paraId="691110E4" w14:textId="39D5254C" w:rsidR="0011048D" w:rsidRDefault="0011048D" w:rsidP="0011048D"/>
    <w:p w14:paraId="41049F8A" w14:textId="69693D2F" w:rsidR="0011048D" w:rsidRDefault="0011048D" w:rsidP="0011048D"/>
    <w:p w14:paraId="055D1BEE" w14:textId="6005237E" w:rsidR="0011048D" w:rsidRDefault="0011048D" w:rsidP="0011048D"/>
    <w:p w14:paraId="402F9528" w14:textId="7C79E716" w:rsidR="0011048D" w:rsidRDefault="0011048D" w:rsidP="0011048D"/>
    <w:p w14:paraId="6BA322BD" w14:textId="6C788E4A" w:rsidR="0011048D" w:rsidRDefault="0011048D" w:rsidP="0011048D"/>
    <w:p w14:paraId="67F7A0CB" w14:textId="21E08BF3" w:rsidR="0011048D" w:rsidRDefault="0011048D" w:rsidP="0011048D"/>
    <w:p w14:paraId="3E65BAF3" w14:textId="510BA56A" w:rsidR="0011048D" w:rsidRDefault="0011048D" w:rsidP="0011048D">
      <w:r>
        <w:rPr>
          <w:noProof/>
          <w:lang w:eastAsia="en-GB"/>
        </w:rPr>
        <w:lastRenderedPageBreak/>
        <w:drawing>
          <wp:inline distT="0" distB="0" distL="0" distR="0" wp14:anchorId="2A2ECF59" wp14:editId="60D55515">
            <wp:extent cx="4933950" cy="49339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33950" cy="4933950"/>
                    </a:xfrm>
                    <a:prstGeom prst="rect">
                      <a:avLst/>
                    </a:prstGeom>
                    <a:noFill/>
                    <a:ln>
                      <a:noFill/>
                    </a:ln>
                  </pic:spPr>
                </pic:pic>
              </a:graphicData>
            </a:graphic>
          </wp:inline>
        </w:drawing>
      </w:r>
    </w:p>
    <w:p w14:paraId="1264C404" w14:textId="77777777" w:rsidR="0011048D" w:rsidRPr="001168E7" w:rsidRDefault="0011048D" w:rsidP="0011048D">
      <w:pPr>
        <w:rPr>
          <w:b/>
          <w:bCs/>
          <w:sz w:val="20"/>
          <w:szCs w:val="20"/>
        </w:rPr>
      </w:pPr>
      <w:r w:rsidRPr="001168E7">
        <w:rPr>
          <w:b/>
          <w:bCs/>
          <w:sz w:val="20"/>
          <w:szCs w:val="20"/>
        </w:rPr>
        <w:t xml:space="preserve">Figure </w:t>
      </w:r>
      <w:r>
        <w:rPr>
          <w:b/>
          <w:bCs/>
          <w:sz w:val="20"/>
          <w:szCs w:val="20"/>
        </w:rPr>
        <w:t>11</w:t>
      </w:r>
      <w:r w:rsidRPr="001168E7">
        <w:rPr>
          <w:b/>
          <w:bCs/>
          <w:sz w:val="20"/>
          <w:szCs w:val="20"/>
        </w:rPr>
        <w:t xml:space="preserve">. Heatmap showing the variable values for each cluster. Variables were categorised as “v.low” if the mean (across provinces within that cluster) was below the 25% quantile for that variable across the whole country, “low” if the mean was above 25 and below 50%, “high” if the mean was above 50% but below 75%, and “v.high” if the mean was above the 75% quantile. Pax_migt_out = numbers of out-migrants, Pax_migt_in = numbers of in-migrants, land_confl = number of land conflicts, crim_case = criminal cases per capita, KM_Comm = distance to commune office, garbage = proportion of families with access to waste collection, dist_school = distance to nearest school, pig_fam = proportion of families who keep pigs, Les1_R_Land = proportion of families with no rice land, propSecSec = proportion of adults employed in the secondary sector, propPrimSec = proportion of adults employed in the primary sector, M6_24_sch = proportion of males aged 6-24 in education, prop_ind = proportion of the population that is indigenous, pop_den = population density. </w:t>
      </w:r>
    </w:p>
    <w:p w14:paraId="46D5B01E" w14:textId="550E17FE" w:rsidR="0011048D" w:rsidRDefault="0011048D" w:rsidP="0011048D">
      <w:pPr>
        <w:ind w:firstLine="720"/>
      </w:pPr>
    </w:p>
    <w:p w14:paraId="18BB3E99" w14:textId="625D2675" w:rsidR="0011048D" w:rsidRDefault="0011048D" w:rsidP="0011048D">
      <w:pPr>
        <w:ind w:firstLine="720"/>
      </w:pPr>
    </w:p>
    <w:p w14:paraId="2A993D28" w14:textId="53CBFB86" w:rsidR="0011048D" w:rsidRDefault="0011048D" w:rsidP="0011048D">
      <w:pPr>
        <w:ind w:firstLine="720"/>
      </w:pPr>
    </w:p>
    <w:p w14:paraId="537D3545" w14:textId="05717FFF" w:rsidR="0011048D" w:rsidRDefault="0011048D" w:rsidP="0011048D">
      <w:pPr>
        <w:ind w:firstLine="720"/>
      </w:pPr>
    </w:p>
    <w:p w14:paraId="6E480AA3" w14:textId="5CCD0779" w:rsidR="0011048D" w:rsidRDefault="0011048D" w:rsidP="0011048D">
      <w:pPr>
        <w:ind w:firstLine="720"/>
      </w:pPr>
    </w:p>
    <w:p w14:paraId="40A49B54" w14:textId="05E7AE5A" w:rsidR="0011048D" w:rsidRDefault="0011048D" w:rsidP="0011048D">
      <w:pPr>
        <w:ind w:firstLine="720"/>
      </w:pPr>
    </w:p>
    <w:p w14:paraId="24185517" w14:textId="0B9C7F46" w:rsidR="0011048D" w:rsidRDefault="0011048D" w:rsidP="0011048D">
      <w:pPr>
        <w:ind w:firstLine="720"/>
      </w:pPr>
      <w:r>
        <w:rPr>
          <w:noProof/>
          <w:lang w:eastAsia="en-GB"/>
        </w:rPr>
        <w:lastRenderedPageBreak/>
        <w:drawing>
          <wp:anchor distT="0" distB="0" distL="114300" distR="114300" simplePos="0" relativeHeight="251663360" behindDoc="1" locked="0" layoutInCell="1" allowOverlap="1" wp14:anchorId="1088F25A" wp14:editId="397F7722">
            <wp:simplePos x="0" y="0"/>
            <wp:positionH relativeFrom="margin">
              <wp:posOffset>-304800</wp:posOffset>
            </wp:positionH>
            <wp:positionV relativeFrom="paragraph">
              <wp:posOffset>0</wp:posOffset>
            </wp:positionV>
            <wp:extent cx="6590805" cy="4393626"/>
            <wp:effectExtent l="0" t="0" r="635" b="698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0805" cy="4393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B6A50" w14:textId="20F1B270" w:rsidR="0011048D" w:rsidRPr="0011048D" w:rsidRDefault="0011048D" w:rsidP="0011048D"/>
    <w:p w14:paraId="735727CF" w14:textId="719F2815" w:rsidR="0011048D" w:rsidRPr="0011048D" w:rsidRDefault="0011048D" w:rsidP="0011048D"/>
    <w:p w14:paraId="01D19F73" w14:textId="61DEAEF4" w:rsidR="0011048D" w:rsidRPr="0011048D" w:rsidRDefault="0011048D" w:rsidP="0011048D"/>
    <w:p w14:paraId="36EABEFB" w14:textId="66AD62B9" w:rsidR="0011048D" w:rsidRPr="0011048D" w:rsidRDefault="0011048D" w:rsidP="0011048D"/>
    <w:p w14:paraId="24B12E3F" w14:textId="3C47F4F6" w:rsidR="0011048D" w:rsidRPr="0011048D" w:rsidRDefault="0011048D" w:rsidP="0011048D"/>
    <w:p w14:paraId="2F8D658C" w14:textId="5E7D8014" w:rsidR="0011048D" w:rsidRPr="0011048D" w:rsidRDefault="0011048D" w:rsidP="0011048D"/>
    <w:p w14:paraId="0FA75F67" w14:textId="2303A79F" w:rsidR="0011048D" w:rsidRPr="0011048D" w:rsidRDefault="0011048D" w:rsidP="0011048D"/>
    <w:p w14:paraId="5E4230E3" w14:textId="2C5A6229" w:rsidR="0011048D" w:rsidRPr="0011048D" w:rsidRDefault="0011048D" w:rsidP="0011048D"/>
    <w:p w14:paraId="227495BD" w14:textId="6DA13B24" w:rsidR="0011048D" w:rsidRPr="0011048D" w:rsidRDefault="0011048D" w:rsidP="0011048D"/>
    <w:p w14:paraId="5D66B8DB" w14:textId="48CE8F3C" w:rsidR="0011048D" w:rsidRPr="0011048D" w:rsidRDefault="0011048D" w:rsidP="0011048D"/>
    <w:p w14:paraId="3759DD4B" w14:textId="0D8B60B0" w:rsidR="0011048D" w:rsidRPr="0011048D" w:rsidRDefault="0011048D" w:rsidP="0011048D"/>
    <w:p w14:paraId="3708FCA1" w14:textId="6ED08B45" w:rsidR="0011048D" w:rsidRPr="0011048D" w:rsidRDefault="0011048D" w:rsidP="0011048D"/>
    <w:p w14:paraId="517BCDA7" w14:textId="158D559D" w:rsidR="0011048D" w:rsidRPr="0011048D" w:rsidRDefault="0011048D" w:rsidP="0011048D"/>
    <w:p w14:paraId="6A1A289F" w14:textId="08954BA2" w:rsidR="0011048D" w:rsidRPr="0011048D" w:rsidRDefault="0011048D" w:rsidP="0011048D"/>
    <w:p w14:paraId="62834098" w14:textId="6051F0A4" w:rsidR="0011048D" w:rsidRDefault="0011048D" w:rsidP="0011048D"/>
    <w:p w14:paraId="37AD5DE9" w14:textId="77777777" w:rsidR="0011048D" w:rsidRDefault="0011048D" w:rsidP="0011048D">
      <w:pPr>
        <w:tabs>
          <w:tab w:val="left" w:pos="936"/>
        </w:tabs>
        <w:rPr>
          <w:sz w:val="20"/>
          <w:szCs w:val="20"/>
        </w:rPr>
      </w:pPr>
      <w:commentRangeStart w:id="2"/>
      <w:r w:rsidRPr="004874EB">
        <w:rPr>
          <w:b/>
          <w:bCs/>
          <w:sz w:val="20"/>
          <w:szCs w:val="20"/>
        </w:rPr>
        <w:t>Figure 1</w:t>
      </w:r>
      <w:r>
        <w:rPr>
          <w:b/>
          <w:bCs/>
          <w:sz w:val="20"/>
          <w:szCs w:val="20"/>
        </w:rPr>
        <w:t>2</w:t>
      </w:r>
      <w:r w:rsidRPr="004874EB">
        <w:rPr>
          <w:b/>
          <w:bCs/>
          <w:sz w:val="20"/>
          <w:szCs w:val="20"/>
        </w:rPr>
        <w:t xml:space="preserve">. </w:t>
      </w:r>
      <w:commentRangeEnd w:id="2"/>
      <w:r w:rsidR="00C73044">
        <w:rPr>
          <w:rStyle w:val="CommentReference"/>
        </w:rPr>
        <w:commentReference w:id="2"/>
      </w:r>
      <w:r w:rsidRPr="004874EB">
        <w:rPr>
          <w:b/>
          <w:bCs/>
          <w:sz w:val="20"/>
          <w:szCs w:val="20"/>
        </w:rPr>
        <w:t xml:space="preserve">Boxplots showing the distribution of environmental variables for each cluster: </w:t>
      </w:r>
      <w:r w:rsidRPr="004874EB">
        <w:rPr>
          <w:b/>
          <w:bCs/>
          <w:i/>
          <w:iCs/>
          <w:sz w:val="20"/>
          <w:szCs w:val="20"/>
        </w:rPr>
        <w:t>a</w:t>
      </w:r>
      <w:r w:rsidRPr="004874EB">
        <w:rPr>
          <w:b/>
          <w:bCs/>
          <w:sz w:val="20"/>
          <w:szCs w:val="20"/>
        </w:rPr>
        <w:t xml:space="preserve"> = mean forest area, </w:t>
      </w:r>
      <w:r w:rsidRPr="004874EB">
        <w:rPr>
          <w:b/>
          <w:bCs/>
          <w:i/>
          <w:iCs/>
          <w:sz w:val="20"/>
          <w:szCs w:val="20"/>
        </w:rPr>
        <w:t xml:space="preserve">b </w:t>
      </w:r>
      <w:r w:rsidRPr="004874EB">
        <w:rPr>
          <w:b/>
          <w:bCs/>
          <w:sz w:val="20"/>
          <w:szCs w:val="20"/>
        </w:rPr>
        <w:t>= mean area (km</w:t>
      </w:r>
      <w:r w:rsidRPr="004874EB">
        <w:rPr>
          <w:b/>
          <w:bCs/>
          <w:sz w:val="20"/>
          <w:szCs w:val="20"/>
          <w:vertAlign w:val="superscript"/>
        </w:rPr>
        <w:t>2</w:t>
      </w:r>
      <w:r w:rsidRPr="004874EB">
        <w:rPr>
          <w:b/>
          <w:bCs/>
          <w:sz w:val="20"/>
          <w:szCs w:val="20"/>
        </w:rPr>
        <w:t>),</w:t>
      </w:r>
      <w:r w:rsidRPr="004874EB">
        <w:rPr>
          <w:b/>
          <w:bCs/>
          <w:i/>
          <w:iCs/>
          <w:sz w:val="20"/>
          <w:szCs w:val="20"/>
        </w:rPr>
        <w:t xml:space="preserve"> c </w:t>
      </w:r>
      <w:r w:rsidRPr="004874EB">
        <w:rPr>
          <w:b/>
          <w:bCs/>
          <w:sz w:val="20"/>
          <w:szCs w:val="20"/>
        </w:rPr>
        <w:t xml:space="preserve">= change in forest cover (between 2007-2012), </w:t>
      </w:r>
      <w:r w:rsidRPr="004874EB">
        <w:rPr>
          <w:b/>
          <w:bCs/>
          <w:i/>
          <w:iCs/>
          <w:sz w:val="20"/>
          <w:szCs w:val="20"/>
        </w:rPr>
        <w:t>d</w:t>
      </w:r>
      <w:r w:rsidRPr="004874EB">
        <w:rPr>
          <w:b/>
          <w:bCs/>
          <w:sz w:val="20"/>
          <w:szCs w:val="20"/>
        </w:rPr>
        <w:t xml:space="preserve"> = mean elevation (masl), </w:t>
      </w:r>
      <w:r w:rsidRPr="004874EB">
        <w:rPr>
          <w:b/>
          <w:bCs/>
          <w:i/>
          <w:iCs/>
          <w:sz w:val="20"/>
          <w:szCs w:val="20"/>
        </w:rPr>
        <w:t>e</w:t>
      </w:r>
      <w:r w:rsidRPr="004874EB">
        <w:rPr>
          <w:b/>
          <w:bCs/>
          <w:sz w:val="20"/>
          <w:szCs w:val="20"/>
        </w:rPr>
        <w:t xml:space="preserve"> = mean distance to international border, </w:t>
      </w:r>
      <w:r w:rsidRPr="004874EB">
        <w:rPr>
          <w:b/>
          <w:bCs/>
          <w:i/>
          <w:iCs/>
          <w:sz w:val="20"/>
          <w:szCs w:val="20"/>
        </w:rPr>
        <w:t>f</w:t>
      </w:r>
      <w:r w:rsidRPr="004874EB">
        <w:rPr>
          <w:b/>
          <w:bCs/>
          <w:sz w:val="20"/>
          <w:szCs w:val="20"/>
        </w:rPr>
        <w:t xml:space="preserve"> = mean distance to a provincial capital.  Boxplots show the median (centre line within boxes), 25 and 75% percentiles (box edges), and minimum and maximum values (upper and lower whiskers, not exceeding 1.5 </w:t>
      </w:r>
      <w:r w:rsidRPr="004874EB">
        <w:rPr>
          <w:rFonts w:cstheme="minorHAnsi"/>
          <w:b/>
          <w:bCs/>
          <w:sz w:val="20"/>
          <w:szCs w:val="20"/>
        </w:rPr>
        <w:t>×</w:t>
      </w:r>
      <w:r w:rsidRPr="004874EB">
        <w:rPr>
          <w:b/>
          <w:bCs/>
          <w:sz w:val="20"/>
          <w:szCs w:val="20"/>
        </w:rPr>
        <w:t xml:space="preserve"> interquartile range). 5 UPGMA clusters.</w:t>
      </w:r>
      <w:r w:rsidRPr="004874EB">
        <w:rPr>
          <w:sz w:val="20"/>
          <w:szCs w:val="20"/>
        </w:rPr>
        <w:tab/>
      </w:r>
    </w:p>
    <w:p w14:paraId="12AB6738" w14:textId="77777777" w:rsidR="0011048D" w:rsidRDefault="0011048D" w:rsidP="0011048D">
      <w:pPr>
        <w:sectPr w:rsidR="0011048D" w:rsidSect="00D6664E">
          <w:pgSz w:w="11906" w:h="16838"/>
          <w:pgMar w:top="1440" w:right="1440" w:bottom="1440" w:left="1440" w:header="708" w:footer="708" w:gutter="0"/>
          <w:cols w:space="708"/>
          <w:docGrid w:linePitch="360"/>
        </w:sectPr>
      </w:pPr>
    </w:p>
    <w:p w14:paraId="54A389DD" w14:textId="77777777" w:rsidR="0011048D" w:rsidRPr="00A168E5" w:rsidRDefault="0011048D" w:rsidP="0011048D">
      <w:pPr>
        <w:tabs>
          <w:tab w:val="left" w:pos="936"/>
        </w:tabs>
        <w:rPr>
          <w:b/>
          <w:bCs/>
          <w:sz w:val="20"/>
          <w:szCs w:val="20"/>
        </w:rPr>
      </w:pPr>
      <w:r w:rsidRPr="00A168E5">
        <w:rPr>
          <w:b/>
          <w:bCs/>
          <w:sz w:val="20"/>
          <w:szCs w:val="20"/>
        </w:rPr>
        <w:lastRenderedPageBreak/>
        <w:t xml:space="preserve">Table 5. Descriptive typology of the provinces and clusters within Cambodia, clustered using socioeconomic variables and the unweighted pair group using arithmetic </w:t>
      </w:r>
      <w:r>
        <w:rPr>
          <w:b/>
          <w:bCs/>
          <w:sz w:val="20"/>
          <w:szCs w:val="20"/>
        </w:rPr>
        <w:t>mean (UPGMA)</w:t>
      </w:r>
    </w:p>
    <w:tbl>
      <w:tblPr>
        <w:tblStyle w:val="TableGrid"/>
        <w:tblW w:w="14029" w:type="dxa"/>
        <w:tblLook w:val="04A0" w:firstRow="1" w:lastRow="0" w:firstColumn="1" w:lastColumn="0" w:noHBand="0" w:noVBand="1"/>
      </w:tblPr>
      <w:tblGrid>
        <w:gridCol w:w="1413"/>
        <w:gridCol w:w="3402"/>
        <w:gridCol w:w="9214"/>
      </w:tblGrid>
      <w:tr w:rsidR="0011048D" w:rsidRPr="00634903" w14:paraId="65C3AED4" w14:textId="77777777" w:rsidTr="001A26A3">
        <w:tc>
          <w:tcPr>
            <w:tcW w:w="1413" w:type="dxa"/>
          </w:tcPr>
          <w:p w14:paraId="20ECB7CE" w14:textId="77777777" w:rsidR="0011048D" w:rsidRPr="00634903" w:rsidRDefault="0011048D" w:rsidP="001A26A3">
            <w:pPr>
              <w:rPr>
                <w:b/>
                <w:bCs/>
                <w:sz w:val="20"/>
                <w:szCs w:val="20"/>
              </w:rPr>
            </w:pPr>
            <w:r w:rsidRPr="00634903">
              <w:rPr>
                <w:b/>
                <w:bCs/>
                <w:sz w:val="20"/>
                <w:szCs w:val="20"/>
              </w:rPr>
              <w:t>UPGMA cluster</w:t>
            </w:r>
          </w:p>
        </w:tc>
        <w:tc>
          <w:tcPr>
            <w:tcW w:w="3402" w:type="dxa"/>
          </w:tcPr>
          <w:p w14:paraId="34542F7B" w14:textId="77777777" w:rsidR="0011048D" w:rsidRPr="00634903" w:rsidRDefault="0011048D" w:rsidP="001A26A3">
            <w:pPr>
              <w:rPr>
                <w:b/>
                <w:bCs/>
                <w:sz w:val="20"/>
                <w:szCs w:val="20"/>
              </w:rPr>
            </w:pPr>
            <w:r w:rsidRPr="00634903">
              <w:rPr>
                <w:b/>
                <w:bCs/>
                <w:sz w:val="20"/>
                <w:szCs w:val="20"/>
              </w:rPr>
              <w:t>Provinces</w:t>
            </w:r>
          </w:p>
        </w:tc>
        <w:tc>
          <w:tcPr>
            <w:tcW w:w="9214" w:type="dxa"/>
          </w:tcPr>
          <w:p w14:paraId="1CAE4CC4" w14:textId="77777777" w:rsidR="0011048D" w:rsidRPr="00634903" w:rsidRDefault="0011048D" w:rsidP="001A26A3">
            <w:pPr>
              <w:rPr>
                <w:b/>
                <w:bCs/>
                <w:sz w:val="20"/>
                <w:szCs w:val="20"/>
              </w:rPr>
            </w:pPr>
            <w:r w:rsidRPr="00634903">
              <w:rPr>
                <w:b/>
                <w:bCs/>
                <w:sz w:val="20"/>
                <w:szCs w:val="20"/>
              </w:rPr>
              <w:t>Description</w:t>
            </w:r>
          </w:p>
        </w:tc>
      </w:tr>
      <w:tr w:rsidR="0011048D" w:rsidRPr="00634903" w14:paraId="7A5F9B7D" w14:textId="77777777" w:rsidTr="001A26A3">
        <w:tc>
          <w:tcPr>
            <w:tcW w:w="1413" w:type="dxa"/>
          </w:tcPr>
          <w:p w14:paraId="1F16DAA0" w14:textId="77777777" w:rsidR="0011048D" w:rsidRPr="00634903" w:rsidRDefault="0011048D" w:rsidP="001A26A3">
            <w:pPr>
              <w:rPr>
                <w:sz w:val="20"/>
                <w:szCs w:val="20"/>
              </w:rPr>
            </w:pPr>
            <w:r w:rsidRPr="00634903">
              <w:rPr>
                <w:sz w:val="20"/>
                <w:szCs w:val="20"/>
              </w:rPr>
              <w:t>1</w:t>
            </w:r>
          </w:p>
        </w:tc>
        <w:tc>
          <w:tcPr>
            <w:tcW w:w="3402" w:type="dxa"/>
          </w:tcPr>
          <w:p w14:paraId="4ACDFD46" w14:textId="77777777" w:rsidR="0011048D" w:rsidRPr="00634903" w:rsidRDefault="0011048D" w:rsidP="001A26A3">
            <w:pPr>
              <w:rPr>
                <w:sz w:val="20"/>
                <w:szCs w:val="20"/>
              </w:rPr>
            </w:pPr>
            <w:r w:rsidRPr="00634903">
              <w:rPr>
                <w:sz w:val="20"/>
                <w:szCs w:val="20"/>
              </w:rPr>
              <w:t>Mondulkiri, Ratanikiri</w:t>
            </w:r>
          </w:p>
        </w:tc>
        <w:tc>
          <w:tcPr>
            <w:tcW w:w="9214" w:type="dxa"/>
          </w:tcPr>
          <w:p w14:paraId="5B7A3567" w14:textId="77777777" w:rsidR="0011048D" w:rsidRPr="00634903" w:rsidRDefault="0011048D" w:rsidP="001A26A3">
            <w:pPr>
              <w:rPr>
                <w:sz w:val="20"/>
                <w:szCs w:val="20"/>
              </w:rPr>
            </w:pPr>
            <w:r w:rsidRPr="00634903">
              <w:rPr>
                <w:sz w:val="20"/>
                <w:szCs w:val="20"/>
              </w:rPr>
              <w:t>Very large provinces with very high elevations. Very low population density, and very high proportion of indigenous people. Very low education levels, very high proportion of primary sector workers and very low proportion of secondary sector workers. Economic security provided by rural livelihoods - few people have no farmland and livestock ownership is common. Very low access to services, high crime per capita, low land conflict, and very low migration levels.</w:t>
            </w:r>
          </w:p>
        </w:tc>
      </w:tr>
      <w:tr w:rsidR="0011048D" w:rsidRPr="00634903" w14:paraId="06B63B9A" w14:textId="77777777" w:rsidTr="001A26A3">
        <w:tc>
          <w:tcPr>
            <w:tcW w:w="1413" w:type="dxa"/>
          </w:tcPr>
          <w:p w14:paraId="40DCF9E7" w14:textId="77777777" w:rsidR="0011048D" w:rsidRPr="00634903" w:rsidRDefault="0011048D" w:rsidP="001A26A3">
            <w:pPr>
              <w:rPr>
                <w:sz w:val="20"/>
                <w:szCs w:val="20"/>
              </w:rPr>
            </w:pPr>
            <w:r w:rsidRPr="00634903">
              <w:rPr>
                <w:sz w:val="20"/>
                <w:szCs w:val="20"/>
              </w:rPr>
              <w:t>2</w:t>
            </w:r>
          </w:p>
        </w:tc>
        <w:tc>
          <w:tcPr>
            <w:tcW w:w="3402" w:type="dxa"/>
          </w:tcPr>
          <w:p w14:paraId="786BF78B" w14:textId="77777777" w:rsidR="0011048D" w:rsidRPr="00634903" w:rsidRDefault="0011048D" w:rsidP="001A26A3">
            <w:pPr>
              <w:rPr>
                <w:sz w:val="20"/>
                <w:szCs w:val="20"/>
              </w:rPr>
            </w:pPr>
            <w:r w:rsidRPr="00634903">
              <w:rPr>
                <w:sz w:val="20"/>
                <w:szCs w:val="20"/>
              </w:rPr>
              <w:t>Pailin</w:t>
            </w:r>
          </w:p>
        </w:tc>
        <w:tc>
          <w:tcPr>
            <w:tcW w:w="9214" w:type="dxa"/>
          </w:tcPr>
          <w:p w14:paraId="61048D86" w14:textId="77777777" w:rsidR="0011048D" w:rsidRPr="00634903" w:rsidRDefault="0011048D" w:rsidP="001A26A3">
            <w:pPr>
              <w:rPr>
                <w:sz w:val="20"/>
                <w:szCs w:val="20"/>
              </w:rPr>
            </w:pPr>
            <w:r w:rsidRPr="00634903">
              <w:rPr>
                <w:sz w:val="20"/>
                <w:szCs w:val="20"/>
              </w:rPr>
              <w:t>Very small province with very high elevations. Low population density and low proportion of indigenous people. Low levels of education, low proportion of people in the primary sector but higher proportion of people in the secondary sector. Very few people with no farmland, but very little livestock ownership. High access to services and high crime per capita. Low land conflict and low migration.</w:t>
            </w:r>
          </w:p>
        </w:tc>
      </w:tr>
      <w:tr w:rsidR="0011048D" w:rsidRPr="00634903" w14:paraId="00728C2D" w14:textId="77777777" w:rsidTr="001A26A3">
        <w:tc>
          <w:tcPr>
            <w:tcW w:w="1413" w:type="dxa"/>
          </w:tcPr>
          <w:p w14:paraId="18194855" w14:textId="77777777" w:rsidR="0011048D" w:rsidRPr="00634903" w:rsidRDefault="0011048D" w:rsidP="001A26A3">
            <w:pPr>
              <w:rPr>
                <w:sz w:val="20"/>
                <w:szCs w:val="20"/>
              </w:rPr>
            </w:pPr>
            <w:r w:rsidRPr="00634903">
              <w:rPr>
                <w:sz w:val="20"/>
                <w:szCs w:val="20"/>
              </w:rPr>
              <w:t>3</w:t>
            </w:r>
          </w:p>
        </w:tc>
        <w:tc>
          <w:tcPr>
            <w:tcW w:w="3402" w:type="dxa"/>
          </w:tcPr>
          <w:p w14:paraId="1CF8A000" w14:textId="77777777" w:rsidR="0011048D" w:rsidRPr="00634903" w:rsidRDefault="0011048D" w:rsidP="001A26A3">
            <w:pPr>
              <w:rPr>
                <w:sz w:val="20"/>
                <w:szCs w:val="20"/>
              </w:rPr>
            </w:pPr>
            <w:r w:rsidRPr="00634903">
              <w:rPr>
                <w:sz w:val="20"/>
                <w:szCs w:val="20"/>
              </w:rPr>
              <w:t>Kampong Cham, Kandal, Prey Veng, Takeo</w:t>
            </w:r>
          </w:p>
        </w:tc>
        <w:tc>
          <w:tcPr>
            <w:tcW w:w="9214" w:type="dxa"/>
          </w:tcPr>
          <w:p w14:paraId="091EDF8B" w14:textId="77777777" w:rsidR="0011048D" w:rsidRPr="00634903" w:rsidRDefault="0011048D" w:rsidP="001A26A3">
            <w:pPr>
              <w:rPr>
                <w:sz w:val="20"/>
                <w:szCs w:val="20"/>
              </w:rPr>
            </w:pPr>
            <w:r w:rsidRPr="00634903">
              <w:rPr>
                <w:sz w:val="20"/>
                <w:szCs w:val="20"/>
              </w:rPr>
              <w:t>Small provinces with very low elevations. Very high population density and high proportion of indigenous people. Very high levels of education, high proportion of people in the primary sector, but very high proportion of people in the secondary sector. High proportion of people with no farmland, but high levels of livestock ownership. High access to services and low crime per capita. But very high migration levels and very high rates of land conflict.</w:t>
            </w:r>
          </w:p>
        </w:tc>
      </w:tr>
      <w:tr w:rsidR="0011048D" w:rsidRPr="00634903" w14:paraId="3327351A" w14:textId="77777777" w:rsidTr="001A26A3">
        <w:tc>
          <w:tcPr>
            <w:tcW w:w="1413" w:type="dxa"/>
          </w:tcPr>
          <w:p w14:paraId="4578420F" w14:textId="77777777" w:rsidR="0011048D" w:rsidRPr="00634903" w:rsidRDefault="0011048D" w:rsidP="001A26A3">
            <w:pPr>
              <w:rPr>
                <w:sz w:val="20"/>
                <w:szCs w:val="20"/>
              </w:rPr>
            </w:pPr>
            <w:r w:rsidRPr="00634903">
              <w:rPr>
                <w:sz w:val="20"/>
                <w:szCs w:val="20"/>
              </w:rPr>
              <w:t>4</w:t>
            </w:r>
          </w:p>
        </w:tc>
        <w:tc>
          <w:tcPr>
            <w:tcW w:w="3402" w:type="dxa"/>
          </w:tcPr>
          <w:p w14:paraId="318B1DA1" w14:textId="77777777" w:rsidR="0011048D" w:rsidRPr="00634903" w:rsidRDefault="0011048D" w:rsidP="001A26A3">
            <w:pPr>
              <w:rPr>
                <w:sz w:val="20"/>
                <w:szCs w:val="20"/>
              </w:rPr>
            </w:pPr>
            <w:r w:rsidRPr="00634903">
              <w:rPr>
                <w:sz w:val="20"/>
                <w:szCs w:val="20"/>
              </w:rPr>
              <w:t>Banteay Meanchey, Battambang</w:t>
            </w:r>
          </w:p>
        </w:tc>
        <w:tc>
          <w:tcPr>
            <w:tcW w:w="9214" w:type="dxa"/>
          </w:tcPr>
          <w:p w14:paraId="40FC892C" w14:textId="77777777" w:rsidR="0011048D" w:rsidRPr="00634903" w:rsidRDefault="0011048D" w:rsidP="001A26A3">
            <w:pPr>
              <w:rPr>
                <w:sz w:val="20"/>
                <w:szCs w:val="20"/>
              </w:rPr>
            </w:pPr>
            <w:r w:rsidRPr="00634903">
              <w:rPr>
                <w:sz w:val="20"/>
                <w:szCs w:val="20"/>
              </w:rPr>
              <w:t>Large provinces with low elevations. Very high population density and very low proportion of indigenous people. Very high levels of education, and relatively low proportion of workers in the primary and secondary sectors (suggesting higher proportions in the other sectors e.g., tertiary). High proportion of people with no farmland, and low levels of livestock ownership (suggesting very urban).  Low access to services, but this may be explained by the mean size of the provinces in this cluster (there is high access to garbage collection). Low crime per capita, but very high migration and very high rates of land conflict</w:t>
            </w:r>
          </w:p>
        </w:tc>
      </w:tr>
      <w:tr w:rsidR="0011048D" w:rsidRPr="00634903" w14:paraId="1DD3B37A" w14:textId="77777777" w:rsidTr="001A26A3">
        <w:tc>
          <w:tcPr>
            <w:tcW w:w="1413" w:type="dxa"/>
          </w:tcPr>
          <w:p w14:paraId="022CF14E" w14:textId="77777777" w:rsidR="0011048D" w:rsidRPr="00634903" w:rsidRDefault="0011048D" w:rsidP="001A26A3">
            <w:pPr>
              <w:rPr>
                <w:sz w:val="20"/>
                <w:szCs w:val="20"/>
              </w:rPr>
            </w:pPr>
            <w:r w:rsidRPr="00634903">
              <w:rPr>
                <w:sz w:val="20"/>
                <w:szCs w:val="20"/>
              </w:rPr>
              <w:t>5</w:t>
            </w:r>
          </w:p>
        </w:tc>
        <w:tc>
          <w:tcPr>
            <w:tcW w:w="3402" w:type="dxa"/>
          </w:tcPr>
          <w:p w14:paraId="1131DC0F" w14:textId="77777777" w:rsidR="0011048D" w:rsidRPr="00634903" w:rsidRDefault="0011048D" w:rsidP="001A26A3">
            <w:pPr>
              <w:rPr>
                <w:sz w:val="20"/>
                <w:szCs w:val="20"/>
              </w:rPr>
            </w:pPr>
            <w:r w:rsidRPr="00634903">
              <w:rPr>
                <w:sz w:val="20"/>
                <w:szCs w:val="20"/>
              </w:rPr>
              <w:t>Kampong Chhnang, Kampong Speu, Kampong Thom, Kampot, Kep, Koh Kong, Kracheh, Otdar Meanchey, Preah Sihanouk, Preah Vihear, Pursat, Siem Reap, Stung Treng, Svay Rieng</w:t>
            </w:r>
          </w:p>
        </w:tc>
        <w:tc>
          <w:tcPr>
            <w:tcW w:w="9214" w:type="dxa"/>
          </w:tcPr>
          <w:p w14:paraId="40D3F10F" w14:textId="77777777" w:rsidR="0011048D" w:rsidRPr="00634903" w:rsidRDefault="0011048D" w:rsidP="001A26A3">
            <w:pPr>
              <w:rPr>
                <w:sz w:val="20"/>
                <w:szCs w:val="20"/>
              </w:rPr>
            </w:pPr>
            <w:r w:rsidRPr="00634903">
              <w:rPr>
                <w:sz w:val="20"/>
                <w:szCs w:val="20"/>
              </w:rPr>
              <w:t>Large provinces with high elevations. High population density and very high proportion of indigenous people. High levels of education, and a high proportion of workers in both primary and secondary sectors. Very high proportion of people with no farmland, but also very high proportion of people with livestock. Low access to services (although very high access to garbage collection) - this may be an artefact of the very large mean area of the provinces in this cluster. Very high crime rates, very high migration, and very high rates of land conflict.</w:t>
            </w:r>
          </w:p>
        </w:tc>
      </w:tr>
    </w:tbl>
    <w:p w14:paraId="10AE6EBC" w14:textId="77777777" w:rsidR="0011048D" w:rsidRDefault="0011048D" w:rsidP="0011048D"/>
    <w:p w14:paraId="5543745F" w14:textId="77777777" w:rsidR="0011048D" w:rsidRDefault="0011048D" w:rsidP="0011048D">
      <w:pPr>
        <w:tabs>
          <w:tab w:val="left" w:pos="924"/>
        </w:tabs>
        <w:sectPr w:rsidR="0011048D" w:rsidSect="005244E7">
          <w:pgSz w:w="16838" w:h="11906" w:orient="landscape"/>
          <w:pgMar w:top="1440" w:right="1440" w:bottom="1440" w:left="1440" w:header="708" w:footer="708" w:gutter="0"/>
          <w:cols w:space="708"/>
          <w:docGrid w:linePitch="360"/>
        </w:sectPr>
      </w:pPr>
      <w:r>
        <w:tab/>
      </w:r>
    </w:p>
    <w:p w14:paraId="7F053F0B" w14:textId="4A0FA540" w:rsidR="0011048D" w:rsidRDefault="0011048D" w:rsidP="0011048D">
      <w:pPr>
        <w:tabs>
          <w:tab w:val="left" w:pos="924"/>
        </w:tabs>
      </w:pPr>
    </w:p>
    <w:p w14:paraId="5D991FCB" w14:textId="075080A9" w:rsidR="0011048D" w:rsidRPr="0011048D" w:rsidRDefault="0011048D" w:rsidP="0011048D">
      <w:pPr>
        <w:tabs>
          <w:tab w:val="left" w:pos="924"/>
        </w:tabs>
        <w:sectPr w:rsidR="0011048D" w:rsidRPr="0011048D" w:rsidSect="0011048D">
          <w:pgSz w:w="11906" w:h="16838"/>
          <w:pgMar w:top="1440" w:right="1440" w:bottom="1440" w:left="1440" w:header="708" w:footer="708" w:gutter="0"/>
          <w:cols w:space="708"/>
          <w:docGrid w:linePitch="360"/>
        </w:sectPr>
      </w:pPr>
      <w:r>
        <w:tab/>
      </w:r>
    </w:p>
    <w:p w14:paraId="4289B339" w14:textId="7B414971" w:rsidR="0011048D" w:rsidRPr="0011048D" w:rsidRDefault="0011048D" w:rsidP="0011048D"/>
    <w:sectPr w:rsidR="0011048D" w:rsidRPr="0011048D" w:rsidSect="0011048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hilip McGowan" w:date="2021-09-23T20:29:00Z" w:initials="PM">
    <w:p w14:paraId="7D74B6CD" w14:textId="77777777" w:rsidR="00D6664E" w:rsidRDefault="00D6664E" w:rsidP="00D6664E">
      <w:pPr>
        <w:pStyle w:val="CommentText"/>
      </w:pPr>
      <w:r>
        <w:rPr>
          <w:rStyle w:val="CommentReference"/>
        </w:rPr>
        <w:annotationRef/>
      </w:r>
      <w:r>
        <w:t xml:space="preserve">Might be worth re-stating what the research question is here, rather than giving is an analytical subtitle. </w:t>
      </w:r>
    </w:p>
  </w:comment>
  <w:comment w:id="1" w:author="Matthew Nuttall" w:date="2021-07-23T13:30:00Z" w:initials="MN">
    <w:p w14:paraId="65883D35" w14:textId="77777777" w:rsidR="0011048D" w:rsidRDefault="0011048D" w:rsidP="0011048D">
      <w:pPr>
        <w:pStyle w:val="CommentText"/>
      </w:pPr>
      <w:r>
        <w:rPr>
          <w:rStyle w:val="CommentReference"/>
        </w:rPr>
        <w:annotationRef/>
      </w:r>
      <w:r>
        <w:t>Need to check/change y axis labels (can’t be both pixels and km2)</w:t>
      </w:r>
    </w:p>
  </w:comment>
  <w:comment w:id="2" w:author="Matthew Nuttall" w:date="2021-10-28T11:36:00Z" w:initials="MN">
    <w:p w14:paraId="1A0F7703" w14:textId="11F2CBA9" w:rsidR="00C73044" w:rsidRDefault="00C73044">
      <w:pPr>
        <w:pStyle w:val="CommentText"/>
      </w:pPr>
      <w:r>
        <w:rPr>
          <w:rStyle w:val="CommentReference"/>
        </w:rPr>
        <w:annotationRef/>
      </w:r>
      <w:r>
        <w:t>Check units for y axis for a, c,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4B6CD" w15:done="0"/>
  <w15:commentEx w15:paraId="65883D35" w15:done="0"/>
  <w15:commentEx w15:paraId="1A0F77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542F3" w16cex:dateUtc="2021-07-23T12:30:00Z"/>
  <w16cex:commentExtensible w16cex:durableId="252509C9" w16cex:dateUtc="2021-10-2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4B6CD" w16cid:durableId="2522DFF1"/>
  <w16cid:commentId w16cid:paraId="65883D35" w16cid:durableId="24A542F3"/>
  <w16cid:commentId w16cid:paraId="1A0F7703" w16cid:durableId="252509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ilip McGowan">
    <w15:presenceInfo w15:providerId="AD" w15:userId="S-1-5-21-1417001333-839522115-1801674531-175399"/>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4E"/>
    <w:rsid w:val="000111C4"/>
    <w:rsid w:val="000359C7"/>
    <w:rsid w:val="000920A2"/>
    <w:rsid w:val="0011048D"/>
    <w:rsid w:val="00127FD8"/>
    <w:rsid w:val="001A49B6"/>
    <w:rsid w:val="003D2547"/>
    <w:rsid w:val="004B2379"/>
    <w:rsid w:val="004E5487"/>
    <w:rsid w:val="00535B36"/>
    <w:rsid w:val="00567397"/>
    <w:rsid w:val="005760C1"/>
    <w:rsid w:val="005B33C1"/>
    <w:rsid w:val="005C65BA"/>
    <w:rsid w:val="005D1F14"/>
    <w:rsid w:val="00663A82"/>
    <w:rsid w:val="007173AE"/>
    <w:rsid w:val="00717426"/>
    <w:rsid w:val="00756D59"/>
    <w:rsid w:val="007772FF"/>
    <w:rsid w:val="007E74E7"/>
    <w:rsid w:val="008B6ED5"/>
    <w:rsid w:val="00A13D84"/>
    <w:rsid w:val="00B0710D"/>
    <w:rsid w:val="00B65CA2"/>
    <w:rsid w:val="00B91ACA"/>
    <w:rsid w:val="00BB17C1"/>
    <w:rsid w:val="00C51A4D"/>
    <w:rsid w:val="00C629EA"/>
    <w:rsid w:val="00C73044"/>
    <w:rsid w:val="00C769D9"/>
    <w:rsid w:val="00D6664E"/>
    <w:rsid w:val="00F2715A"/>
    <w:rsid w:val="00F34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E407"/>
  <w15:chartTrackingRefBased/>
  <w15:docId w15:val="{8C8991C4-158C-4BC0-8DC5-6166767A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6664E"/>
    <w:rPr>
      <w:sz w:val="16"/>
      <w:szCs w:val="16"/>
    </w:rPr>
  </w:style>
  <w:style w:type="paragraph" w:styleId="CommentText">
    <w:name w:val="annotation text"/>
    <w:basedOn w:val="Normal"/>
    <w:link w:val="CommentTextChar"/>
    <w:uiPriority w:val="99"/>
    <w:unhideWhenUsed/>
    <w:rsid w:val="00D6664E"/>
    <w:pPr>
      <w:spacing w:line="240" w:lineRule="auto"/>
    </w:pPr>
    <w:rPr>
      <w:sz w:val="20"/>
      <w:szCs w:val="20"/>
    </w:rPr>
  </w:style>
  <w:style w:type="character" w:customStyle="1" w:styleId="CommentTextChar">
    <w:name w:val="Comment Text Char"/>
    <w:basedOn w:val="DefaultParagraphFont"/>
    <w:link w:val="CommentText"/>
    <w:uiPriority w:val="99"/>
    <w:rsid w:val="00D6664E"/>
    <w:rPr>
      <w:sz w:val="20"/>
      <w:szCs w:val="20"/>
    </w:rPr>
  </w:style>
  <w:style w:type="character" w:styleId="Hyperlink">
    <w:name w:val="Hyperlink"/>
    <w:basedOn w:val="DefaultParagraphFont"/>
    <w:uiPriority w:val="99"/>
    <w:unhideWhenUsed/>
    <w:rsid w:val="00D6664E"/>
    <w:rPr>
      <w:color w:val="0563C1" w:themeColor="hyperlink"/>
      <w:u w:val="single"/>
    </w:rPr>
  </w:style>
  <w:style w:type="character" w:styleId="UnresolvedMention">
    <w:name w:val="Unresolved Mention"/>
    <w:basedOn w:val="DefaultParagraphFont"/>
    <w:uiPriority w:val="99"/>
    <w:semiHidden/>
    <w:unhideWhenUsed/>
    <w:rsid w:val="00D6664E"/>
    <w:rPr>
      <w:color w:val="605E5C"/>
      <w:shd w:val="clear" w:color="auto" w:fill="E1DFDD"/>
    </w:rPr>
  </w:style>
  <w:style w:type="table" w:styleId="TableGrid">
    <w:name w:val="Table Grid"/>
    <w:basedOn w:val="TableNormal"/>
    <w:uiPriority w:val="39"/>
    <w:rsid w:val="00D66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73044"/>
    <w:rPr>
      <w:b/>
      <w:bCs/>
    </w:rPr>
  </w:style>
  <w:style w:type="character" w:customStyle="1" w:styleId="CommentSubjectChar">
    <w:name w:val="Comment Subject Char"/>
    <w:basedOn w:val="CommentTextChar"/>
    <w:link w:val="CommentSubject"/>
    <w:uiPriority w:val="99"/>
    <w:semiHidden/>
    <w:rsid w:val="00C730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www.opendevelopmentcambodia.net" TargetMode="Externa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F2875-0DC1-4363-AB9E-8C71606B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20</Pages>
  <Words>15670</Words>
  <Characters>89321</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7</cp:revision>
  <dcterms:created xsi:type="dcterms:W3CDTF">2021-10-26T19:13:00Z</dcterms:created>
  <dcterms:modified xsi:type="dcterms:W3CDTF">2021-11-02T22:09:00Z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id="jVBjpdqP"/&gt;&lt;style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