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D5" w:rsidRPr="00AC5A7F" w:rsidRDefault="00E434D5" w:rsidP="00E434D5">
      <w:pPr>
        <w:pStyle w:val="Title"/>
        <w:rPr>
          <w:rFonts w:ascii="Times New Roman" w:hAnsi="Times New Roman" w:cs="Times New Roman"/>
        </w:rPr>
      </w:pPr>
      <w:r w:rsidRPr="00AC5A7F">
        <w:rPr>
          <w:rFonts w:ascii="Times New Roman" w:hAnsi="Times New Roman" w:cs="Times New Roman"/>
        </w:rPr>
        <w:t>Supplementary Material</w:t>
      </w:r>
      <w:r>
        <w:rPr>
          <w:rFonts w:ascii="Times New Roman" w:hAnsi="Times New Roman" w:cs="Times New Roman"/>
        </w:rPr>
        <w:t xml:space="preserve"> 3: Additional graphs</w:t>
      </w:r>
    </w:p>
    <w:p w:rsidR="00E434D5" w:rsidRDefault="00E434D5" w:rsidP="00E434D5">
      <w:pPr>
        <w:rPr>
          <w:rFonts w:ascii="Times New Roman" w:hAnsi="Times New Roman" w:cs="Times New Roman"/>
          <w:b/>
        </w:rPr>
      </w:pPr>
      <w:r w:rsidRPr="00AB5790">
        <w:rPr>
          <w:rFonts w:ascii="Times New Roman" w:hAnsi="Times New Roman" w:cs="Times New Roman"/>
          <w:b/>
        </w:rPr>
        <w:t>This supplementary material to the paper, “Effects of stakeholder empowerment on crane population and agricultural</w:t>
      </w:r>
      <w:r w:rsidR="007C6F32">
        <w:rPr>
          <w:rFonts w:ascii="Times New Roman" w:hAnsi="Times New Roman" w:cs="Times New Roman"/>
          <w:b/>
        </w:rPr>
        <w:t xml:space="preserve"> production” provides additional graphs, referred to in the paper.</w:t>
      </w:r>
    </w:p>
    <w:p w:rsidR="00DD25D6" w:rsidRDefault="00DD25D6" w:rsidP="00DD25D6">
      <w:pPr>
        <w:spacing w:line="480" w:lineRule="auto"/>
        <w:rPr>
          <w:rFonts w:ascii="Times New Roman" w:hAnsi="Times New Roman" w:cs="Times New Roman"/>
          <w:b/>
        </w:rPr>
      </w:pPr>
    </w:p>
    <w:p w:rsidR="00C41843" w:rsidRDefault="00C41843" w:rsidP="00DD25D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200650" cy="5552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ing_abundance_recre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81" cy="55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43" w:rsidRPr="00C41843" w:rsidRDefault="00C41843" w:rsidP="00DD25D6">
      <w:pPr>
        <w:spacing w:line="480" w:lineRule="auto"/>
        <w:rPr>
          <w:rFonts w:ascii="Times New Roman" w:hAnsi="Times New Roman" w:cs="Times New Roman"/>
          <w:b/>
        </w:rPr>
      </w:pPr>
      <w:r w:rsidRPr="00C41843">
        <w:rPr>
          <w:rFonts w:ascii="Times New Roman" w:hAnsi="Times New Roman" w:cs="Times New Roman"/>
        </w:rPr>
        <w:t xml:space="preserve">Figure S1. </w:t>
      </w:r>
      <w:r w:rsidRPr="00C41843">
        <w:rPr>
          <w:rFonts w:ascii="Times New Roman" w:hAnsi="Times New Roman" w:cs="Times New Roman"/>
        </w:rPr>
        <w:t xml:space="preserve">Example simulation replicates to generate simulation initial crane population size. The black line shows </w:t>
      </w:r>
      <w:r w:rsidRPr="00C41843">
        <w:rPr>
          <w:rFonts w:ascii="Times New Roman" w:hAnsi="Times New Roman" w:cs="Times New Roman"/>
        </w:rPr>
        <w:t>empirical data between years 198</w:t>
      </w:r>
      <w:r w:rsidRPr="00C41843">
        <w:rPr>
          <w:rFonts w:ascii="Times New Roman" w:hAnsi="Times New Roman" w:cs="Times New Roman"/>
        </w:rPr>
        <w:t>9-20</w:t>
      </w:r>
      <w:r w:rsidRPr="00C41843">
        <w:rPr>
          <w:rFonts w:ascii="Times New Roman" w:hAnsi="Times New Roman" w:cs="Times New Roman"/>
        </w:rPr>
        <w:t xml:space="preserve">19 from Lake </w:t>
      </w:r>
      <w:proofErr w:type="spellStart"/>
      <w:r w:rsidRPr="00C41843">
        <w:rPr>
          <w:rFonts w:ascii="Times New Roman" w:hAnsi="Times New Roman" w:cs="Times New Roman"/>
        </w:rPr>
        <w:t>Hornborga</w:t>
      </w:r>
      <w:proofErr w:type="spellEnd"/>
      <w:r w:rsidRPr="00C41843">
        <w:rPr>
          <w:rFonts w:ascii="Times New Roman" w:hAnsi="Times New Roman" w:cs="Times New Roman"/>
        </w:rPr>
        <w:t>, Sweden</w:t>
      </w:r>
      <w:r w:rsidRPr="00C41843">
        <w:rPr>
          <w:rFonts w:ascii="Times New Roman" w:hAnsi="Times New Roman" w:cs="Times New Roman"/>
        </w:rPr>
        <w:t xml:space="preserve">. Each red line shows a unique replicate, starting at 3000 individuals in 1989 and following a trajectory that approximates the empirical exponential growth and </w:t>
      </w:r>
      <w:r w:rsidRPr="00C41843">
        <w:rPr>
          <w:rFonts w:ascii="Times New Roman" w:hAnsi="Times New Roman" w:cs="Times New Roman"/>
        </w:rPr>
        <w:t xml:space="preserve">crane values as observed during 1989-2019. </w:t>
      </w:r>
    </w:p>
    <w:p w:rsidR="00DD25D6" w:rsidRDefault="00DD25D6" w:rsidP="00DD25D6">
      <w:pPr>
        <w:spacing w:line="480" w:lineRule="auto"/>
        <w:ind w:left="360"/>
      </w:pPr>
      <w:r>
        <w:rPr>
          <w:noProof/>
        </w:rPr>
        <w:lastRenderedPageBreak/>
        <w:drawing>
          <wp:inline distT="0" distB="0" distL="0" distR="0" wp14:anchorId="741AF56A" wp14:editId="4945E0DD">
            <wp:extent cx="5149850" cy="367665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6" w:rsidRDefault="00077058" w:rsidP="00DD25D6">
      <w:pPr>
        <w:pStyle w:val="Index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S2</w:t>
      </w:r>
      <w:r w:rsidR="00DD25D6">
        <w:rPr>
          <w:rFonts w:ascii="Times New Roman" w:hAnsi="Times New Roman" w:cs="Times New Roman"/>
        </w:rPr>
        <w:t xml:space="preserve">. Effect of population size on agricultural production (percentage production of maximum </w:t>
      </w:r>
      <w:r w:rsidR="00AD3039">
        <w:rPr>
          <w:rFonts w:ascii="Times New Roman" w:hAnsi="Times New Roman" w:cs="Times New Roman"/>
        </w:rPr>
        <w:t xml:space="preserve">expected </w:t>
      </w:r>
      <w:r w:rsidR="00DD25D6">
        <w:rPr>
          <w:rFonts w:ascii="Times New Roman" w:hAnsi="Times New Roman" w:cs="Times New Roman"/>
        </w:rPr>
        <w:t>production) at staging sites of common cranes for all managem</w:t>
      </w:r>
      <w:r w:rsidR="00AD3039">
        <w:rPr>
          <w:rFonts w:ascii="Times New Roman" w:hAnsi="Times New Roman" w:cs="Times New Roman"/>
        </w:rPr>
        <w:t>ent scenarios combined year 2020-2049</w:t>
      </w:r>
      <w:r w:rsidR="00DD25D6">
        <w:rPr>
          <w:rFonts w:ascii="Times New Roman" w:hAnsi="Times New Roman" w:cs="Times New Roman"/>
        </w:rPr>
        <w:t>. The percentage agricultural production of maximum production is produced from 160 model simulations (40 simulations per scenario).</w:t>
      </w:r>
    </w:p>
    <w:p w:rsidR="00DD25D6" w:rsidRDefault="00DD25D6" w:rsidP="00DD25D6">
      <w:pPr>
        <w:spacing w:line="480" w:lineRule="auto"/>
        <w:ind w:left="360"/>
      </w:pPr>
    </w:p>
    <w:p w:rsidR="00DD25D6" w:rsidRDefault="00DD25D6" w:rsidP="00DD25D6">
      <w:pPr>
        <w:spacing w:line="480" w:lineRule="auto"/>
        <w:ind w:left="360"/>
      </w:pPr>
    </w:p>
    <w:p w:rsidR="00DD25D6" w:rsidRDefault="00FD5800" w:rsidP="00DD25D6">
      <w:pPr>
        <w:pStyle w:val="Index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53254" cy="3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S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37" cy="33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6" w:rsidRDefault="00420D27" w:rsidP="00DD25D6">
      <w:pPr>
        <w:pStyle w:val="Index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S3</w:t>
      </w:r>
      <w:r w:rsidR="00AD3039">
        <w:rPr>
          <w:rFonts w:ascii="Times New Roman" w:hAnsi="Times New Roman" w:cs="Times New Roman"/>
        </w:rPr>
        <w:t>. Effect of farmer</w:t>
      </w:r>
      <w:r w:rsidR="00DD25D6">
        <w:rPr>
          <w:rFonts w:ascii="Times New Roman" w:hAnsi="Times New Roman" w:cs="Times New Roman"/>
        </w:rPr>
        <w:t xml:space="preserve"> budget</w:t>
      </w:r>
      <w:r w:rsidR="00AD3039">
        <w:rPr>
          <w:rFonts w:ascii="Times New Roman" w:hAnsi="Times New Roman" w:cs="Times New Roman"/>
        </w:rPr>
        <w:t>s</w:t>
      </w:r>
      <w:r w:rsidR="00DD25D6">
        <w:rPr>
          <w:rFonts w:ascii="Times New Roman" w:hAnsi="Times New Roman" w:cs="Times New Roman"/>
        </w:rPr>
        <w:t xml:space="preserve"> on number of mean number of scaring actions per stakeholder at staging sites of common cranes for </w:t>
      </w:r>
      <w:r w:rsidR="004B537F">
        <w:rPr>
          <w:rFonts w:ascii="Times New Roman" w:hAnsi="Times New Roman" w:cs="Times New Roman"/>
        </w:rPr>
        <w:t>management scenario at year 2024</w:t>
      </w:r>
      <w:r w:rsidR="00AD3039">
        <w:rPr>
          <w:rFonts w:ascii="Times New Roman" w:hAnsi="Times New Roman" w:cs="Times New Roman"/>
        </w:rPr>
        <w:t>, b</w:t>
      </w:r>
      <w:r w:rsidR="00DD25D6">
        <w:rPr>
          <w:rFonts w:ascii="Times New Roman" w:hAnsi="Times New Roman" w:cs="Times New Roman"/>
        </w:rPr>
        <w:t>.) culling and scaring</w:t>
      </w:r>
      <w:r w:rsidR="00AD3039" w:rsidRPr="00AD3039">
        <w:rPr>
          <w:rFonts w:ascii="Times New Roman" w:hAnsi="Times New Roman" w:cs="Times New Roman"/>
        </w:rPr>
        <w:t xml:space="preserve"> </w:t>
      </w:r>
      <w:r w:rsidR="00AD3039">
        <w:rPr>
          <w:rFonts w:ascii="Times New Roman" w:hAnsi="Times New Roman" w:cs="Times New Roman"/>
        </w:rPr>
        <w:t>without a realized management target and d</w:t>
      </w:r>
      <w:r w:rsidR="00DD25D6">
        <w:rPr>
          <w:rFonts w:ascii="Times New Roman" w:hAnsi="Times New Roman" w:cs="Times New Roman"/>
        </w:rPr>
        <w:t>.)  scaring and culling, with a</w:t>
      </w:r>
      <w:r w:rsidR="00AD3039">
        <w:rPr>
          <w:rFonts w:ascii="Times New Roman" w:hAnsi="Times New Roman" w:cs="Times New Roman"/>
        </w:rPr>
        <w:t xml:space="preserve"> maximum management target of 15</w:t>
      </w:r>
      <w:r w:rsidR="00DD25D6">
        <w:rPr>
          <w:rFonts w:ascii="Times New Roman" w:hAnsi="Times New Roman" w:cs="Times New Roman"/>
        </w:rPr>
        <w:t>,000 individuals. No scaring act</w:t>
      </w:r>
      <w:r w:rsidR="0089305A">
        <w:rPr>
          <w:rFonts w:ascii="Times New Roman" w:hAnsi="Times New Roman" w:cs="Times New Roman"/>
        </w:rPr>
        <w:t xml:space="preserve">ions was conducted in scenario </w:t>
      </w:r>
      <w:proofErr w:type="gramStart"/>
      <w:r w:rsidR="0089305A">
        <w:rPr>
          <w:rFonts w:ascii="Times New Roman" w:hAnsi="Times New Roman" w:cs="Times New Roman"/>
        </w:rPr>
        <w:t>a</w:t>
      </w:r>
      <w:proofErr w:type="gramEnd"/>
      <w:r w:rsidR="0089305A">
        <w:rPr>
          <w:rFonts w:ascii="Times New Roman" w:hAnsi="Times New Roman" w:cs="Times New Roman"/>
        </w:rPr>
        <w:t xml:space="preserve"> and c</w:t>
      </w:r>
      <w:r w:rsidR="00DD25D6">
        <w:rPr>
          <w:rFonts w:ascii="Times New Roman" w:hAnsi="Times New Roman" w:cs="Times New Roman"/>
        </w:rPr>
        <w:t>. The mean numbe</w:t>
      </w:r>
      <w:r w:rsidR="00AD3039">
        <w:rPr>
          <w:rFonts w:ascii="Times New Roman" w:hAnsi="Times New Roman" w:cs="Times New Roman"/>
        </w:rPr>
        <w:t>r of culled individuals per farmer</w:t>
      </w:r>
      <w:r w:rsidR="00DD25D6">
        <w:rPr>
          <w:rFonts w:ascii="Times New Roman" w:hAnsi="Times New Roman" w:cs="Times New Roman"/>
        </w:rPr>
        <w:t xml:space="preserve"> are based o</w:t>
      </w:r>
      <w:r w:rsidR="00AD3039">
        <w:rPr>
          <w:rFonts w:ascii="Times New Roman" w:hAnsi="Times New Roman" w:cs="Times New Roman"/>
        </w:rPr>
        <w:t>n 50 farmers</w:t>
      </w:r>
      <w:r w:rsidR="00DD25D6">
        <w:rPr>
          <w:rFonts w:ascii="Times New Roman" w:hAnsi="Times New Roman" w:cs="Times New Roman"/>
        </w:rPr>
        <w:t xml:space="preserve"> and are pro</w:t>
      </w:r>
      <w:r w:rsidR="00AD3039">
        <w:rPr>
          <w:rFonts w:ascii="Times New Roman" w:hAnsi="Times New Roman" w:cs="Times New Roman"/>
        </w:rPr>
        <w:t>duced from 40 model simulations per scenario.</w:t>
      </w:r>
    </w:p>
    <w:p w:rsidR="00420D27" w:rsidRDefault="00420D27" w:rsidP="00420D27">
      <w:pPr>
        <w:pStyle w:val="Index"/>
        <w:spacing w:line="480" w:lineRule="auto"/>
      </w:pPr>
      <w:r>
        <w:rPr>
          <w:noProof/>
        </w:rPr>
        <w:drawing>
          <wp:inline distT="0" distB="0" distL="0" distR="0" wp14:anchorId="5C22F7EE" wp14:editId="448E48BE">
            <wp:extent cx="4311394" cy="30796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S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54" cy="30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7" w:rsidRDefault="00420D27" w:rsidP="00420D27">
      <w:pPr>
        <w:pStyle w:val="Index"/>
        <w:spacing w:line="480" w:lineRule="auto"/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S4</w:t>
      </w:r>
      <w:r>
        <w:rPr>
          <w:rFonts w:ascii="Times New Roman" w:hAnsi="Times New Roman" w:cs="Times New Roman"/>
        </w:rPr>
        <w:t>. Effects of farmer budgets on mean number of culled individuals per farmer at staging sites of common cranes for management scenario in year 2024, c.) only culling, without a realized management target and d.)  scaring and culling, with a maximum management target of 15,000 individuals. No culling was conducted year 2024</w:t>
      </w:r>
      <w:r w:rsidR="0089305A">
        <w:rPr>
          <w:rFonts w:ascii="Times New Roman" w:hAnsi="Times New Roman" w:cs="Times New Roman"/>
        </w:rPr>
        <w:t xml:space="preserve"> in scenario a and b</w:t>
      </w:r>
      <w:bookmarkStart w:id="0" w:name="_GoBack"/>
      <w:bookmarkEnd w:id="0"/>
      <w:r>
        <w:rPr>
          <w:rFonts w:ascii="Times New Roman" w:hAnsi="Times New Roman" w:cs="Times New Roman"/>
        </w:rPr>
        <w:t>. The mean number of culled individuals per farmer are based on the simulation output data given 50 farmers and 40 model simulations per scenario.</w:t>
      </w:r>
    </w:p>
    <w:p w:rsidR="00420D27" w:rsidRDefault="00420D27" w:rsidP="00DD25D6">
      <w:pPr>
        <w:pStyle w:val="Index"/>
        <w:spacing w:line="480" w:lineRule="auto"/>
        <w:rPr>
          <w:rFonts w:ascii="Times New Roman" w:hAnsi="Times New Roman" w:cs="Times New Roman"/>
        </w:rPr>
      </w:pPr>
    </w:p>
    <w:p w:rsidR="00DD25D6" w:rsidRDefault="00486EB2" w:rsidP="00DD25D6">
      <w:pPr>
        <w:spacing w:line="480" w:lineRule="auto"/>
        <w:ind w:left="360"/>
      </w:pPr>
      <w:r>
        <w:rPr>
          <w:noProof/>
        </w:rPr>
        <w:drawing>
          <wp:inline distT="0" distB="0" distL="0" distR="0">
            <wp:extent cx="4516211" cy="3226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S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6" cy="32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D6" w:rsidRDefault="00C41843" w:rsidP="00DD25D6">
      <w:pPr>
        <w:pStyle w:val="Index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S5</w:t>
      </w:r>
      <w:r w:rsidR="00DD25D6">
        <w:rPr>
          <w:rFonts w:ascii="Times New Roman" w:hAnsi="Times New Roman" w:cs="Times New Roman"/>
        </w:rPr>
        <w:t>. Effect of farmer budgets, including variation (±50) in budget between farmers, on expected population size of common cranes at year 2024 in four different management scenarios; a.) no management, b.) scaring and culling, with a maximum management target of 100,000 individuals, c.) only culling, with a maximum management target of 100,000 cranes, d.)  scaring and culling, with a maximum management targ</w:t>
      </w:r>
      <w:r w:rsidR="00EA066F">
        <w:rPr>
          <w:rFonts w:ascii="Times New Roman" w:hAnsi="Times New Roman" w:cs="Times New Roman"/>
        </w:rPr>
        <w:t>et of 15,000 cranes (dotted black</w:t>
      </w:r>
      <w:r w:rsidR="00DD25D6">
        <w:rPr>
          <w:rFonts w:ascii="Times New Roman" w:hAnsi="Times New Roman" w:cs="Times New Roman"/>
        </w:rPr>
        <w:t xml:space="preserve"> line). The mean (black line),</w:t>
      </w:r>
      <w:r w:rsidR="00EA066F">
        <w:rPr>
          <w:rFonts w:ascii="Times New Roman" w:hAnsi="Times New Roman" w:cs="Times New Roman"/>
        </w:rPr>
        <w:t xml:space="preserve"> minimum and maximum (grey shaded areas</w:t>
      </w:r>
      <w:r w:rsidR="00DD25D6">
        <w:rPr>
          <w:rFonts w:ascii="Times New Roman" w:hAnsi="Times New Roman" w:cs="Times New Roman"/>
        </w:rPr>
        <w:t xml:space="preserve">) expected population sizes are based on the simulation output data at year 2024, given 50 stakeholders and are produced from 40 model simulations. </w:t>
      </w:r>
    </w:p>
    <w:p w:rsidR="007C6F32" w:rsidRPr="00AB5790" w:rsidRDefault="007C6F32" w:rsidP="00E434D5">
      <w:pPr>
        <w:rPr>
          <w:rFonts w:ascii="Times New Roman" w:hAnsi="Times New Roman" w:cs="Times New Roman"/>
        </w:rPr>
      </w:pPr>
    </w:p>
    <w:p w:rsidR="005669D8" w:rsidRDefault="005669D8"/>
    <w:sectPr w:rsidR="0056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D5"/>
    <w:rsid w:val="00077058"/>
    <w:rsid w:val="00213A54"/>
    <w:rsid w:val="00420D27"/>
    <w:rsid w:val="00486EB2"/>
    <w:rsid w:val="004B537F"/>
    <w:rsid w:val="005669D8"/>
    <w:rsid w:val="007C6F32"/>
    <w:rsid w:val="0089305A"/>
    <w:rsid w:val="00AD3039"/>
    <w:rsid w:val="00AF6A3C"/>
    <w:rsid w:val="00C41843"/>
    <w:rsid w:val="00DD25D6"/>
    <w:rsid w:val="00E434D5"/>
    <w:rsid w:val="00EA066F"/>
    <w:rsid w:val="00F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8A84"/>
  <w15:chartTrackingRefBased/>
  <w15:docId w15:val="{E9CB89B6-A649-4FEE-9BBD-2F055982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434D5"/>
    <w:pPr>
      <w:spacing w:after="0" w:line="360" w:lineRule="auto"/>
      <w:textAlignment w:val="baseline"/>
    </w:pPr>
    <w:rPr>
      <w:rFonts w:ascii="Arial" w:eastAsia="Times New Roman" w:hAnsi="Arial" w:cs="Arial"/>
      <w:b/>
      <w:color w:val="00000A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E434D5"/>
    <w:rPr>
      <w:rFonts w:ascii="Arial" w:eastAsia="Times New Roman" w:hAnsi="Arial" w:cs="Arial"/>
      <w:b/>
      <w:color w:val="00000A"/>
      <w:sz w:val="36"/>
      <w:szCs w:val="20"/>
      <w:lang w:eastAsia="zh-CN"/>
    </w:rPr>
  </w:style>
  <w:style w:type="paragraph" w:customStyle="1" w:styleId="Index">
    <w:name w:val="Index"/>
    <w:basedOn w:val="Normal"/>
    <w:qFormat/>
    <w:rsid w:val="00DD25D6"/>
    <w:pPr>
      <w:suppressLineNumbers/>
      <w:suppressAutoHyphen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5847-2E13-4F4E-8D9E-B9040334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Nilsson</dc:creator>
  <cp:keywords/>
  <dc:description/>
  <cp:lastModifiedBy>Lovisa Nilsson</cp:lastModifiedBy>
  <cp:revision>11</cp:revision>
  <dcterms:created xsi:type="dcterms:W3CDTF">2020-06-23T10:35:00Z</dcterms:created>
  <dcterms:modified xsi:type="dcterms:W3CDTF">2020-06-30T13:57:00Z</dcterms:modified>
</cp:coreProperties>
</file>