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22A86E91"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0EEEA775" w:rsidR="00AA5C2A" w:rsidRDefault="00762CBF">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29792384" w14:textId="77777777" w:rsidR="00C663C7" w:rsidRDefault="00C663C7" w:rsidP="00C663C7">
      <w:pPr>
        <w:rPr>
          <w:b/>
          <w:bCs/>
        </w:rPr>
      </w:pPr>
      <w:r>
        <w:rPr>
          <w:b/>
          <w:bCs/>
        </w:rPr>
        <w:t xml:space="preserve">Methods </w:t>
      </w:r>
    </w:p>
    <w:p w14:paraId="275454AC" w14:textId="77777777" w:rsidR="00C663C7" w:rsidRDefault="00C663C7" w:rsidP="00C663C7">
      <w:pPr>
        <w:rPr>
          <w:i/>
          <w:iCs/>
        </w:rPr>
      </w:pPr>
      <w:r>
        <w:rPr>
          <w:i/>
          <w:iCs/>
        </w:rPr>
        <w:t>GMSE</w:t>
      </w:r>
    </w:p>
    <w:p w14:paraId="69411C87" w14:textId="77777777" w:rsidR="00C663C7" w:rsidRDefault="00C663C7" w:rsidP="00C663C7">
      <w:r>
        <w:t xml:space="preserve">GMSE is designed to simulate dynamic decision-making by stakeholders in a social-ecological system </w:t>
      </w:r>
      <w:r>
        <w:fldChar w:fldCharType="begin"/>
      </w:r>
      <w:r>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DF6630">
        <w:rPr>
          <w:rFonts w:ascii="Calibri" w:hAnsi="Calibri" w:cs="Calibri"/>
        </w:rPr>
        <w:t>(Duthie et al., 2018)</w:t>
      </w:r>
      <w:r>
        <w:fldChar w:fldCharType="end"/>
      </w:r>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t>submodel</w:t>
      </w:r>
      <w:proofErr w:type="spellEnd"/>
      <w:r>
        <w:t xml:space="preserve"> has four methods available which mimic commonly used biological monitoring techniques. (3) the manager model which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 xml:space="preserve">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01F06347" w14:textId="77777777" w:rsidR="00C663C7" w:rsidRDefault="00C663C7" w:rsidP="00C663C7">
      <w:r>
        <w:t xml:space="preserve">The primary approach to altering system dynamics is via the manager and user budgets. These parameters are relative rather than absolute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as high as possible. The budgets, and the associated dynamics, can be used to replicate various real-world systems and scenarios such as conservation conflicts, power dynamics, and lobbying </w:t>
      </w:r>
      <w:r>
        <w:fldChar w:fldCharType="begin"/>
      </w:r>
      <w:r>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fldChar w:fldCharType="separate"/>
      </w:r>
      <w:r w:rsidRPr="00006AE7">
        <w:rPr>
          <w:rFonts w:ascii="Calibri" w:hAnsi="Calibri" w:cs="Calibri"/>
        </w:rPr>
        <w:t>(Cusack et al., 2020; Duthie et al., 2018; Nilsson et al., 2019)</w:t>
      </w:r>
      <w:r>
        <w:fldChar w:fldCharType="end"/>
      </w:r>
      <w:r>
        <w:t xml:space="preserve">. </w:t>
      </w:r>
    </w:p>
    <w:p w14:paraId="7E1D5469" w14:textId="77777777" w:rsidR="00C663C7" w:rsidRDefault="00C663C7" w:rsidP="00C663C7">
      <w:pPr>
        <w:rPr>
          <w:i/>
          <w:iCs/>
        </w:rPr>
      </w:pPr>
      <w:r>
        <w:rPr>
          <w:i/>
          <w:iCs/>
        </w:rPr>
        <w:t xml:space="preserve">Genetic algorithm </w:t>
      </w:r>
    </w:p>
    <w:p w14:paraId="463C3423" w14:textId="77777777" w:rsidR="00C663C7" w:rsidRDefault="00C663C7" w:rsidP="00C663C7">
      <w:r>
        <w:t xml:space="preserve">The GA is the core process by which the manager develops policy and users decide upon actions. The GA mimics the process of natural selection whereby each call to the GA results in several possible strategies being initialised. Multiple iterations then allow cross-over and mutation between the initialised strategies, ensuring that budgets are not exceeded. Each subsequent iteration of strategies is selected via a fitness function and a tournament. 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0EA8F42A" w14:textId="77777777" w:rsidR="00C663C7" w:rsidRDefault="00C663C7" w:rsidP="00C663C7">
      <w:pPr>
        <w:rPr>
          <w:i/>
          <w:iCs/>
        </w:rPr>
      </w:pPr>
      <w:r>
        <w:rPr>
          <w:noProof/>
        </w:rPr>
        <w:lastRenderedPageBreak/>
        <w:drawing>
          <wp:inline distT="0" distB="0" distL="0" distR="0" wp14:anchorId="37CC8AD6" wp14:editId="3CF6FB99">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02ABB3BF" w14:textId="77777777" w:rsidR="00C663C7" w:rsidRPr="00AB00D5" w:rsidRDefault="00C663C7" w:rsidP="00C663C7">
      <w:pPr>
        <w:rPr>
          <w:b/>
          <w:bCs/>
          <w:sz w:val="20"/>
          <w:szCs w:val="20"/>
        </w:rPr>
      </w:pPr>
      <w:commentRangeStart w:id="0"/>
      <w:r w:rsidRPr="00AB00D5">
        <w:rPr>
          <w:b/>
          <w:bCs/>
          <w:sz w:val="20"/>
          <w:szCs w:val="20"/>
        </w:rPr>
        <w:t>Figure 1</w:t>
      </w:r>
      <w:commentRangeEnd w:id="0"/>
      <w:r w:rsidRPr="00AB00D5">
        <w:rPr>
          <w:rStyle w:val="CommentReference"/>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101B5A9D" w14:textId="77777777" w:rsidR="00C663C7" w:rsidRPr="00DF6630" w:rsidRDefault="00C663C7" w:rsidP="00C663C7">
      <w:pPr>
        <w:rPr>
          <w:b/>
          <w:bCs/>
          <w:sz w:val="18"/>
          <w:szCs w:val="18"/>
        </w:rPr>
      </w:pPr>
    </w:p>
    <w:p w14:paraId="047003AC" w14:textId="77777777" w:rsidR="00C663C7" w:rsidRDefault="00C663C7" w:rsidP="00C663C7">
      <w:pPr>
        <w:rPr>
          <w:i/>
          <w:iCs/>
        </w:rPr>
      </w:pPr>
      <w:r>
        <w:rPr>
          <w:i/>
          <w:iCs/>
        </w:rPr>
        <w:t>Model parameterisation</w:t>
      </w:r>
    </w:p>
    <w:p w14:paraId="58497E4D" w14:textId="77777777" w:rsidR="00C663C7" w:rsidRPr="00AB1FE1" w:rsidRDefault="00C663C7" w:rsidP="00C663C7">
      <w:pPr>
        <w:rPr>
          <w:u w:val="single"/>
        </w:rPr>
      </w:pPr>
      <w:r w:rsidRPr="00AB1FE1">
        <w:rPr>
          <w:u w:val="single"/>
        </w:rPr>
        <w:t>Landscape</w:t>
      </w:r>
    </w:p>
    <w:p w14:paraId="167F3F3E" w14:textId="77777777" w:rsidR="00C663C7" w:rsidRDefault="00C663C7" w:rsidP="00C663C7">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sidRPr="00AB1FE1">
        <w:rPr>
          <w:vertAlign w:val="superscript"/>
        </w:rPr>
        <w:t>2</w:t>
      </w:r>
      <w:r>
        <w:t>). We allocated 30 “users” to the landscape, which in this case represented 30 villages or communities, each which had an equal area of spatially explicit land upon which they could act. This resulted in each village having 333.33 ha (3.33 km</w:t>
      </w:r>
      <w:r w:rsidRPr="00062F76">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AA9FD40" w14:textId="77777777" w:rsidR="00C663C7" w:rsidRDefault="00C663C7" w:rsidP="00C663C7">
      <w:pPr>
        <w:rPr>
          <w:u w:val="single"/>
        </w:rPr>
      </w:pPr>
      <w:r>
        <w:rPr>
          <w:u w:val="single"/>
        </w:rPr>
        <w:t xml:space="preserve">Resource population </w:t>
      </w:r>
    </w:p>
    <w:p w14:paraId="56653DEA" w14:textId="77777777" w:rsidR="00C663C7" w:rsidRDefault="00C663C7" w:rsidP="00C663C7">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sidRPr="00463AEE">
        <w:rPr>
          <w:vertAlign w:val="superscript"/>
        </w:rPr>
        <w:t>-1</w:t>
      </w:r>
      <w:r>
        <w:t>, n = 1,125,000</w:t>
      </w:r>
      <w:r w:rsidRPr="00463AEE">
        <w:t>)</w:t>
      </w:r>
      <w:r>
        <w:t xml:space="preserve">,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 xml:space="preserve">distributed across the landscape,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050526A8" w14:textId="77777777" w:rsidR="00C663C7" w:rsidRDefault="00C663C7" w:rsidP="00C663C7">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31A8BD0B" w14:textId="77777777" w:rsidR="00C663C7" w:rsidRDefault="00C663C7" w:rsidP="00C663C7">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16929CF" w14:textId="77777777" w:rsidR="00C663C7" w:rsidRDefault="00C663C7" w:rsidP="00C663C7">
      <w:pPr>
        <w:rPr>
          <w:u w:val="single"/>
        </w:rPr>
      </w:pPr>
      <w:r>
        <w:rPr>
          <w:u w:val="single"/>
        </w:rPr>
        <w:t>Users</w:t>
      </w:r>
    </w:p>
    <w:p w14:paraId="2A75C9BC" w14:textId="05D8B42D" w:rsidR="00C663C7" w:rsidRDefault="00C663C7" w:rsidP="00C663C7">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w:t>
      </w:r>
      <w:r w:rsidR="00BF0C96">
        <w:t>Figures S1a to S1d</w:t>
      </w:r>
      <w:r>
        <w:t>),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03C8FB7B" w14:textId="77777777" w:rsidR="00C663C7" w:rsidRDefault="00C663C7" w:rsidP="00C663C7">
      <w:pPr>
        <w:rPr>
          <w:u w:val="single"/>
        </w:rPr>
      </w:pPr>
      <w:r>
        <w:rPr>
          <w:u w:val="single"/>
        </w:rPr>
        <w:t>Manager</w:t>
      </w:r>
    </w:p>
    <w:p w14:paraId="50644A6A" w14:textId="77777777" w:rsidR="00C663C7" w:rsidRDefault="00C663C7" w:rsidP="00C663C7">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w:t>
      </w:r>
      <w:r>
        <w:lastRenderedPageBreak/>
        <w:t xml:space="preserve">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t>
      </w:r>
    </w:p>
    <w:p w14:paraId="3287AF35" w14:textId="77777777" w:rsidR="00C663C7" w:rsidRPr="009A2EB4" w:rsidRDefault="00C663C7" w:rsidP="00C663C7">
      <w:pPr>
        <w:rPr>
          <w:i/>
          <w:iCs/>
        </w:rPr>
      </w:pPr>
      <w:r w:rsidRPr="009A2EB4">
        <w:rPr>
          <w:i/>
          <w:iCs/>
        </w:rPr>
        <w:t xml:space="preserve">Scenarios </w:t>
      </w:r>
    </w:p>
    <w:p w14:paraId="1A5950E8" w14:textId="4A7B3742" w:rsidR="00C663C7" w:rsidRDefault="00C663C7" w:rsidP="00C663C7">
      <w:r>
        <w:t>We designed 5 scenarios with dynamic manager budgets that simulated different funding regimes that a manager or authority with responsibility over a conservation landscape may encounter in the real world (</w:t>
      </w:r>
      <w:r w:rsidRPr="00070E56">
        <w:t>Table 1, Figure 2</w:t>
      </w:r>
      <w:r>
        <w:t>). Scenarios 1 to 3 aimed to test three primary funding models (see individual scenario sections below), and scenarios 4 and 5 aimed to test the effects of uncertainty and variability in funding. Before running the final 5 scenarios we tested several null scenarios to ensure the landscape was operating as expected (</w:t>
      </w:r>
      <w:r w:rsidRPr="00CC0AEA">
        <w:t>Supporting Information</w:t>
      </w:r>
      <w:r w:rsidR="00CC0AEA">
        <w:t>, figures S2a to S2c</w:t>
      </w:r>
      <w:r>
        <w:t>). Due to the nature of the GA (i.e., identifying one out of multiple possible near-optimal solutions), and that each actor on the landscape calls the GA in each time step, stochasticity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mean, and lower and upper confidence intervals, respectively. For all scenarios we ensured that the total cumulative budget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w:t>
      </w:r>
      <w:r w:rsidRPr="00070E56">
        <w:t>Table 1, figure 2</w:t>
      </w:r>
      <w:r>
        <w:t xml:space="preserve">).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6F81A726" w14:textId="77777777" w:rsidR="00C663C7" w:rsidRDefault="00C663C7" w:rsidP="00C663C7">
      <w:r>
        <w:t xml:space="preserve">The manager and user budgets are not equal nor necessarily proportional, as they are used in very different ways </w:t>
      </w:r>
      <w:r>
        <w:fldChar w:fldCharType="begin"/>
      </w:r>
      <w:r>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C97F74">
        <w:rPr>
          <w:rFonts w:ascii="Calibri" w:hAnsi="Calibri" w:cs="Calibri"/>
        </w:rPr>
        <w:t>(Duthie et al., 2018)</w:t>
      </w:r>
      <w:r>
        <w:fldChar w:fldCharType="end"/>
      </w:r>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BF658F6" w14:textId="77777777" w:rsidR="00C663C7" w:rsidRDefault="00C663C7" w:rsidP="00C663C7">
      <w:r>
        <w:t xml:space="preserve">All simulations were conducted using the R package GMSE (Duthie et al 2018, v0.6.2.0), and all associated analyses described below were conducted in R </w:t>
      </w:r>
      <w:r>
        <w:fldChar w:fldCharType="begin"/>
      </w:r>
      <w:r>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fldChar w:fldCharType="separate"/>
      </w:r>
      <w:r w:rsidRPr="00FA38CC">
        <w:rPr>
          <w:rFonts w:ascii="Calibri" w:hAnsi="Calibri" w:cs="Calibri"/>
        </w:rPr>
        <w:t>(</w:t>
      </w:r>
      <w:r>
        <w:rPr>
          <w:rFonts w:ascii="Calibri" w:hAnsi="Calibri" w:cs="Calibri"/>
        </w:rPr>
        <w:t xml:space="preserve">v4.0.4, </w:t>
      </w:r>
      <w:r w:rsidRPr="00FA38CC">
        <w:rPr>
          <w:rFonts w:ascii="Calibri" w:hAnsi="Calibri" w:cs="Calibri"/>
        </w:rPr>
        <w:t>R Core Team, 2021)</w:t>
      </w:r>
      <w:r>
        <w:fldChar w:fldCharType="end"/>
      </w:r>
      <w:r>
        <w:t>.</w:t>
      </w:r>
    </w:p>
    <w:p w14:paraId="14BFAE76" w14:textId="77777777" w:rsidR="00C663C7" w:rsidRDefault="00C663C7" w:rsidP="00C663C7">
      <w:pPr>
        <w:rPr>
          <w:u w:val="single"/>
        </w:rPr>
      </w:pPr>
      <w:r>
        <w:rPr>
          <w:u w:val="single"/>
        </w:rPr>
        <w:t>Scenario 1</w:t>
      </w:r>
    </w:p>
    <w:p w14:paraId="18949739" w14:textId="77777777" w:rsidR="00C663C7" w:rsidRPr="00373BAB" w:rsidRDefault="00C663C7" w:rsidP="00C663C7">
      <w:r>
        <w:t>This scenario assumed that the manager budget does not change over the simulation period (</w:t>
      </w:r>
      <w:r w:rsidRPr="00070E56">
        <w:t>Figure 2)</w:t>
      </w:r>
      <w:r>
        <w:t xml:space="preserve">. This scenario was designed to represent a conservation landscape in which the authority has a </w:t>
      </w:r>
      <w:r>
        <w:lastRenderedPageBreak/>
        <w:t xml:space="preserve">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77A1B95" w14:textId="77777777" w:rsidR="00C663C7" w:rsidRDefault="00C663C7" w:rsidP="00C663C7">
      <w:pPr>
        <w:rPr>
          <w:u w:val="single"/>
        </w:rPr>
      </w:pPr>
      <w:r>
        <w:rPr>
          <w:u w:val="single"/>
        </w:rPr>
        <w:t>Scenario 2</w:t>
      </w:r>
    </w:p>
    <w:p w14:paraId="4280ED9C" w14:textId="77777777" w:rsidR="00C663C7" w:rsidRDefault="00C663C7" w:rsidP="00C663C7">
      <w:r>
        <w:t>This scenario assumed that the budget available to the manager starts low but increases with increasing pressure on the landscape (</w:t>
      </w:r>
      <w:r w:rsidRPr="00070E56">
        <w:t>Figure 2</w:t>
      </w:r>
      <w:r>
        <w:t>).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scenarios 3 to 5.</w:t>
      </w:r>
    </w:p>
    <w:p w14:paraId="67284246" w14:textId="77777777" w:rsidR="00C663C7" w:rsidRDefault="00C663C7" w:rsidP="00C663C7">
      <w:pPr>
        <w:rPr>
          <w:u w:val="single"/>
        </w:rPr>
      </w:pPr>
      <w:r>
        <w:rPr>
          <w:u w:val="single"/>
        </w:rPr>
        <w:t>Scenario 3</w:t>
      </w:r>
    </w:p>
    <w:p w14:paraId="0E837803" w14:textId="77777777" w:rsidR="00C663C7" w:rsidRDefault="00C663C7" w:rsidP="00C663C7">
      <w:r>
        <w:t>This scenario assumed that the budget available to the manager increases and decreases in a regular and predictable way, regardless of the changing pressure on the landscape (</w:t>
      </w:r>
      <w:r w:rsidRPr="00070E56">
        <w:t>Figure 2</w:t>
      </w:r>
      <w:r>
        <w:t>). This scenario was designed to replicate a conservation landscape in which the management authority is largely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649FB2E0" w14:textId="77777777" w:rsidR="00C663C7" w:rsidRPr="00B61BE2" w:rsidRDefault="00C663C7" w:rsidP="00C663C7">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5D9E2685" w14:textId="77777777" w:rsidR="00C663C7" w:rsidRPr="00243919" w:rsidRDefault="00C663C7" w:rsidP="00C663C7">
      <w:r>
        <w:t xml:space="preserve">Where </w:t>
      </w:r>
      <w:r>
        <w:rPr>
          <w:i/>
          <w:iCs/>
        </w:rPr>
        <w:t>MB</w:t>
      </w:r>
      <w:r>
        <w:t xml:space="preserve"> is a vector of resulting manager budget values, and </w:t>
      </w:r>
      <w:r>
        <w:rPr>
          <w:i/>
          <w:iCs/>
        </w:rPr>
        <w:t>t</w:t>
      </w:r>
      <w:r>
        <w:t xml:space="preserve"> is a vector of time steps (1:50).</w:t>
      </w:r>
    </w:p>
    <w:p w14:paraId="1738B2C8" w14:textId="77777777" w:rsidR="00C663C7" w:rsidRDefault="00C663C7" w:rsidP="00C663C7">
      <w:pPr>
        <w:rPr>
          <w:u w:val="single"/>
        </w:rPr>
      </w:pPr>
      <w:r>
        <w:rPr>
          <w:u w:val="single"/>
        </w:rPr>
        <w:t>Scenario 4</w:t>
      </w:r>
    </w:p>
    <w:p w14:paraId="752F5CCC" w14:textId="77777777" w:rsidR="00C663C7" w:rsidRDefault="00C663C7" w:rsidP="00C663C7">
      <w:r>
        <w:t>This scenario assumed that the budget available to the manager increased and decreased in unpredictable and irregular ways (</w:t>
      </w:r>
      <w:r w:rsidRPr="00070E56">
        <w:t>Figure 2</w:t>
      </w:r>
      <w:r>
        <w:t xml:space="preserve">).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Figure 2</w:t>
      </w:r>
      <w:r>
        <w:t xml:space="preserve"> shows 10 examples, see Supporting Information for all the waves used in the simulations). The Inverse Fourier Transform took the </w:t>
      </w:r>
      <w:commentRangeStart w:id="1"/>
      <w:r>
        <w:t>form:</w:t>
      </w:r>
      <w:commentRangeEnd w:id="1"/>
      <w:r>
        <w:rPr>
          <w:rStyle w:val="CommentReference"/>
        </w:rPr>
        <w:commentReference w:id="1"/>
      </w:r>
    </w:p>
    <w:p w14:paraId="3507FC84" w14:textId="77777777" w:rsidR="00C663C7" w:rsidRPr="002E591E" w:rsidRDefault="00C663C7" w:rsidP="00C663C7">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0E6F17EB" w14:textId="77777777" w:rsidR="00C663C7" w:rsidRPr="009002C0" w:rsidRDefault="00C663C7" w:rsidP="00C663C7">
      <w:pPr>
        <w:rPr>
          <w:i/>
          <w:iCs/>
        </w:rPr>
      </w:pPr>
      <w:r>
        <w:lastRenderedPageBreak/>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sidRPr="009002C0">
        <w:rPr>
          <w:rFonts w:cstheme="minorHAnsi"/>
        </w:rPr>
        <w:t>,</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6F53C2E" w14:textId="77777777" w:rsidR="00C663C7" w:rsidRDefault="00C663C7" w:rsidP="00C663C7">
      <w:pPr>
        <w:rPr>
          <w:u w:val="single"/>
        </w:rPr>
      </w:pPr>
      <w:r>
        <w:rPr>
          <w:u w:val="single"/>
        </w:rPr>
        <w:t>Scenario 5</w:t>
      </w:r>
    </w:p>
    <w:p w14:paraId="19129831" w14:textId="77777777" w:rsidR="00C663C7" w:rsidRDefault="00C663C7" w:rsidP="00C663C7">
      <w:r>
        <w:t>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w:t>
      </w:r>
      <w:r w:rsidRPr="00070E56">
        <w:t>igure 2 s</w:t>
      </w:r>
      <w:r>
        <w:t>hows 10 examples, see Supporting Information for all the waves used in the simulations). To simulate this scenario, we produced a set of three random sine waves by randomly sampling values between 0.01 and 0.2 for the fundamental frequency, between 1 and 5 for the wave frequency, between values 1 and 300</w:t>
      </w:r>
      <w:r w:rsidRPr="00243919">
        <w:t xml:space="preserve"> </w:t>
      </w:r>
      <w:r>
        <w:t xml:space="preserve">for the wave strength (amplitude), and </w:t>
      </w:r>
      <w:r w:rsidRPr="001A393C">
        <w:t>between 0 and</w:t>
      </w:r>
      <w:r>
        <w:t xml:space="preserve"> 180 for the wave delay. The three sine waves were used to produce a new random complex wave for each replicate, using the same formula as in Scenario 4. </w:t>
      </w:r>
    </w:p>
    <w:p w14:paraId="79653D5B" w14:textId="77777777" w:rsidR="00C663C7" w:rsidRDefault="00C663C7" w:rsidP="00C663C7">
      <w:pPr>
        <w:rPr>
          <w:u w:val="single"/>
        </w:rPr>
      </w:pPr>
      <w:r>
        <w:rPr>
          <w:u w:val="single"/>
        </w:rPr>
        <w:t xml:space="preserve">Standardisation </w:t>
      </w:r>
    </w:p>
    <w:p w14:paraId="3BEFB6AF" w14:textId="77777777" w:rsidR="00C663C7" w:rsidRDefault="00C663C7" w:rsidP="00C663C7">
      <w:r>
        <w:t xml:space="preserve">Manager budgets in Scenario 1 had a constant value which summed to 25,000 over the </w:t>
      </w:r>
      <w:proofErr w:type="gramStart"/>
      <w:r>
        <w:t>50 time</w:t>
      </w:r>
      <w:proofErr w:type="gramEnd"/>
      <w:r>
        <w:t xml:space="preserve"> steps, and for scenarios 2 to 5 we standardised the manager budgets to 25,000, using:</w:t>
      </w:r>
    </w:p>
    <w:p w14:paraId="76401D54" w14:textId="77777777" w:rsidR="00C663C7" w:rsidRPr="001A393C" w:rsidRDefault="00C663C7" w:rsidP="00C663C7">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14B223D8" w14:textId="77777777" w:rsidR="00C663C7" w:rsidRDefault="00C663C7" w:rsidP="00C663C7">
      <w:r>
        <w:t xml:space="preserve">where </w:t>
      </w:r>
      <w:r>
        <w:rPr>
          <w:i/>
          <w:iCs/>
        </w:rPr>
        <w:t>x</w:t>
      </w:r>
      <w:r>
        <w:t xml:space="preserve"> is the vector of manager budget values produced in the above sections. </w:t>
      </w:r>
    </w:p>
    <w:p w14:paraId="1115C08E" w14:textId="77777777" w:rsidR="00C663C7" w:rsidRPr="00B32881" w:rsidRDefault="00C663C7" w:rsidP="00C663C7"/>
    <w:p w14:paraId="0A88CC13" w14:textId="77777777" w:rsidR="00C663C7" w:rsidRDefault="00C663C7" w:rsidP="00C663C7">
      <w:pPr>
        <w:rPr>
          <w:u w:val="single"/>
        </w:rPr>
      </w:pPr>
      <w:r>
        <w:rPr>
          <w:u w:val="single"/>
        </w:rPr>
        <w:t>Maximum harvest under maximum conflict</w:t>
      </w:r>
    </w:p>
    <w:p w14:paraId="3D09A921" w14:textId="77777777" w:rsidR="00C663C7" w:rsidRDefault="00C663C7" w:rsidP="00C663C7">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their budget to reduce culling</w:t>
      </w:r>
      <w:r>
        <w:t>,</w:t>
      </w:r>
      <w:r w:rsidRPr="00D25D18">
        <w:t xml:space="preserve"> and the user uses all their budget to cull.</w:t>
      </w:r>
      <w:r>
        <w:t xml:space="preserve"> The manager uses 10 budget points to increase the cost of culling by 1. There is always a minimum cost of an action of 10. Therefore, the cost of an action for the user, assuming the manager is using all their budget to increase the cost of the action, will be:</w:t>
      </w:r>
    </w:p>
    <w:p w14:paraId="36AA219E" w14:textId="77777777" w:rsidR="00C663C7" w:rsidRPr="002E67D4" w:rsidRDefault="00C663C7" w:rsidP="00C663C7">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37D880F1" w14:textId="77777777" w:rsidR="00C663C7" w:rsidRPr="00B803BA" w:rsidRDefault="00C663C7" w:rsidP="00C663C7">
      <w:r>
        <w:rPr>
          <w:rFonts w:eastAsiaTheme="minorEastAsia"/>
        </w:rPr>
        <w:t xml:space="preserve">Where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07D76F87" w14:textId="77777777" w:rsidR="00C663C7" w:rsidRDefault="00C663C7" w:rsidP="00C663C7"/>
    <w:p w14:paraId="6EDE3694" w14:textId="77777777" w:rsidR="00C663C7" w:rsidRPr="001A393C" w:rsidRDefault="00C663C7" w:rsidP="00C663C7">
      <w:pPr>
        <w:sectPr w:rsidR="00C663C7" w:rsidRPr="001A393C">
          <w:pgSz w:w="11906" w:h="16838"/>
          <w:pgMar w:top="1440" w:right="1440" w:bottom="1440" w:left="1440" w:header="708" w:footer="708" w:gutter="0"/>
          <w:cols w:space="708"/>
          <w:docGrid w:linePitch="360"/>
        </w:sectPr>
      </w:pPr>
    </w:p>
    <w:p w14:paraId="5DE0AFDE" w14:textId="77777777" w:rsidR="00C663C7" w:rsidRPr="00AB00D5" w:rsidRDefault="00C663C7" w:rsidP="00C663C7">
      <w:pPr>
        <w:rPr>
          <w:b/>
          <w:bCs/>
          <w:sz w:val="20"/>
          <w:szCs w:val="20"/>
        </w:rPr>
      </w:pPr>
      <w:r w:rsidRPr="00AB00D5">
        <w:rPr>
          <w:b/>
          <w:bCs/>
          <w:sz w:val="20"/>
          <w:szCs w:val="20"/>
        </w:rPr>
        <w:lastRenderedPageBreak/>
        <w:t>Table 1. 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C663C7" w:rsidRPr="00A84B94" w14:paraId="3739636F" w14:textId="77777777" w:rsidTr="00952271">
        <w:tc>
          <w:tcPr>
            <w:tcW w:w="993" w:type="dxa"/>
            <w:vMerge w:val="restart"/>
            <w:tcBorders>
              <w:top w:val="single" w:sz="12" w:space="0" w:color="auto"/>
            </w:tcBorders>
            <w:vAlign w:val="center"/>
          </w:tcPr>
          <w:p w14:paraId="0FC7CB44" w14:textId="77777777" w:rsidR="00C663C7" w:rsidRPr="00A84B94" w:rsidRDefault="00C663C7" w:rsidP="00952271">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ECDAD97" w14:textId="77777777" w:rsidR="00C663C7" w:rsidRPr="00A84B94" w:rsidRDefault="00C663C7" w:rsidP="00952271">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33897B68" w14:textId="77777777" w:rsidR="00C663C7" w:rsidRPr="00A84B94" w:rsidRDefault="00C663C7" w:rsidP="00952271">
            <w:pPr>
              <w:jc w:val="center"/>
              <w:rPr>
                <w:b/>
                <w:bCs/>
                <w:sz w:val="20"/>
                <w:szCs w:val="20"/>
              </w:rPr>
            </w:pPr>
            <w:r w:rsidRPr="00A84B94">
              <w:rPr>
                <w:b/>
                <w:bCs/>
                <w:sz w:val="20"/>
                <w:szCs w:val="20"/>
              </w:rPr>
              <w:t>Manager budget</w:t>
            </w:r>
          </w:p>
        </w:tc>
        <w:tc>
          <w:tcPr>
            <w:tcW w:w="420" w:type="dxa"/>
            <w:tcBorders>
              <w:top w:val="single" w:sz="12" w:space="0" w:color="auto"/>
            </w:tcBorders>
          </w:tcPr>
          <w:p w14:paraId="3C5020DE" w14:textId="77777777" w:rsidR="00C663C7" w:rsidRPr="00A84B94" w:rsidRDefault="00C663C7" w:rsidP="00952271">
            <w:pPr>
              <w:jc w:val="center"/>
              <w:rPr>
                <w:b/>
                <w:bCs/>
                <w:sz w:val="20"/>
                <w:szCs w:val="20"/>
              </w:rPr>
            </w:pPr>
          </w:p>
        </w:tc>
        <w:tc>
          <w:tcPr>
            <w:tcW w:w="4172" w:type="dxa"/>
            <w:gridSpan w:val="3"/>
            <w:tcBorders>
              <w:top w:val="single" w:sz="12" w:space="0" w:color="auto"/>
            </w:tcBorders>
          </w:tcPr>
          <w:p w14:paraId="6909C78D" w14:textId="77777777" w:rsidR="00C663C7" w:rsidRPr="00A84B94" w:rsidRDefault="00C663C7" w:rsidP="00952271">
            <w:pPr>
              <w:jc w:val="center"/>
              <w:rPr>
                <w:b/>
                <w:bCs/>
                <w:sz w:val="20"/>
                <w:szCs w:val="20"/>
              </w:rPr>
            </w:pPr>
            <w:r>
              <w:rPr>
                <w:b/>
                <w:bCs/>
                <w:sz w:val="20"/>
                <w:szCs w:val="20"/>
              </w:rPr>
              <w:t xml:space="preserve">Community resources </w:t>
            </w:r>
          </w:p>
        </w:tc>
      </w:tr>
      <w:tr w:rsidR="00C663C7" w:rsidRPr="00A84B94" w14:paraId="2DF024DA" w14:textId="77777777" w:rsidTr="00952271">
        <w:tc>
          <w:tcPr>
            <w:tcW w:w="993" w:type="dxa"/>
            <w:vMerge/>
            <w:tcBorders>
              <w:bottom w:val="single" w:sz="12" w:space="0" w:color="auto"/>
            </w:tcBorders>
          </w:tcPr>
          <w:p w14:paraId="2FA872CA" w14:textId="77777777" w:rsidR="00C663C7" w:rsidRPr="00A84B94" w:rsidRDefault="00C663C7" w:rsidP="00952271">
            <w:pPr>
              <w:jc w:val="center"/>
              <w:rPr>
                <w:b/>
                <w:bCs/>
                <w:sz w:val="20"/>
                <w:szCs w:val="20"/>
              </w:rPr>
            </w:pPr>
          </w:p>
        </w:tc>
        <w:tc>
          <w:tcPr>
            <w:tcW w:w="5103" w:type="dxa"/>
            <w:vMerge/>
            <w:tcBorders>
              <w:bottom w:val="single" w:sz="12" w:space="0" w:color="auto"/>
            </w:tcBorders>
          </w:tcPr>
          <w:p w14:paraId="6C488493" w14:textId="77777777" w:rsidR="00C663C7" w:rsidRPr="00A84B94" w:rsidRDefault="00C663C7" w:rsidP="00952271">
            <w:pPr>
              <w:jc w:val="center"/>
              <w:rPr>
                <w:b/>
                <w:bCs/>
                <w:sz w:val="20"/>
                <w:szCs w:val="20"/>
              </w:rPr>
            </w:pPr>
          </w:p>
        </w:tc>
        <w:tc>
          <w:tcPr>
            <w:tcW w:w="1417" w:type="dxa"/>
            <w:tcBorders>
              <w:top w:val="single" w:sz="6" w:space="0" w:color="auto"/>
              <w:bottom w:val="single" w:sz="12" w:space="0" w:color="auto"/>
            </w:tcBorders>
          </w:tcPr>
          <w:p w14:paraId="3512E966" w14:textId="77777777" w:rsidR="00C663C7" w:rsidRPr="00A84B94" w:rsidRDefault="00C663C7" w:rsidP="00952271">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3190BA68" w14:textId="77777777" w:rsidR="00C663C7" w:rsidRPr="00A84B94" w:rsidRDefault="00C663C7" w:rsidP="00952271">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184C0525" w14:textId="77777777" w:rsidR="00C663C7" w:rsidRPr="00A84B94" w:rsidRDefault="00C663C7" w:rsidP="00952271">
            <w:pPr>
              <w:jc w:val="center"/>
              <w:rPr>
                <w:b/>
                <w:bCs/>
                <w:sz w:val="20"/>
                <w:szCs w:val="20"/>
              </w:rPr>
            </w:pPr>
          </w:p>
        </w:tc>
        <w:tc>
          <w:tcPr>
            <w:tcW w:w="1418" w:type="dxa"/>
            <w:tcBorders>
              <w:top w:val="single" w:sz="6" w:space="0" w:color="auto"/>
              <w:bottom w:val="single" w:sz="12" w:space="0" w:color="auto"/>
            </w:tcBorders>
          </w:tcPr>
          <w:p w14:paraId="376E1C5B" w14:textId="77777777" w:rsidR="00C663C7" w:rsidRPr="00A84B94" w:rsidRDefault="00C663C7" w:rsidP="00952271">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1642A694" w14:textId="77777777" w:rsidR="00C663C7" w:rsidRPr="00A84B94" w:rsidRDefault="00C663C7" w:rsidP="00952271">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15FD353D" w14:textId="77777777" w:rsidR="00C663C7" w:rsidRPr="00A84B94" w:rsidRDefault="00C663C7" w:rsidP="00952271">
            <w:pPr>
              <w:jc w:val="center"/>
              <w:rPr>
                <w:b/>
                <w:bCs/>
                <w:sz w:val="20"/>
                <w:szCs w:val="20"/>
              </w:rPr>
            </w:pPr>
            <w:r w:rsidRPr="00A84B94">
              <w:rPr>
                <w:b/>
                <w:bCs/>
                <w:sz w:val="20"/>
                <w:szCs w:val="20"/>
              </w:rPr>
              <w:t xml:space="preserve">Total cumulative </w:t>
            </w:r>
            <w:r>
              <w:rPr>
                <w:b/>
                <w:bCs/>
                <w:sz w:val="20"/>
                <w:szCs w:val="20"/>
              </w:rPr>
              <w:t>resources</w:t>
            </w:r>
          </w:p>
        </w:tc>
      </w:tr>
      <w:tr w:rsidR="00C663C7" w:rsidRPr="009A2EB4" w14:paraId="0ADC028F" w14:textId="77777777" w:rsidTr="00952271">
        <w:tc>
          <w:tcPr>
            <w:tcW w:w="993" w:type="dxa"/>
            <w:tcBorders>
              <w:top w:val="single" w:sz="12" w:space="0" w:color="auto"/>
            </w:tcBorders>
          </w:tcPr>
          <w:p w14:paraId="70C281CE" w14:textId="77777777" w:rsidR="00C663C7" w:rsidRPr="009A2EB4" w:rsidRDefault="00C663C7" w:rsidP="00952271">
            <w:pPr>
              <w:rPr>
                <w:sz w:val="20"/>
                <w:szCs w:val="20"/>
              </w:rPr>
            </w:pPr>
            <w:r w:rsidRPr="009A2EB4">
              <w:rPr>
                <w:sz w:val="20"/>
                <w:szCs w:val="20"/>
              </w:rPr>
              <w:t>1</w:t>
            </w:r>
          </w:p>
        </w:tc>
        <w:tc>
          <w:tcPr>
            <w:tcW w:w="5103" w:type="dxa"/>
            <w:tcBorders>
              <w:top w:val="single" w:sz="12" w:space="0" w:color="auto"/>
            </w:tcBorders>
          </w:tcPr>
          <w:p w14:paraId="70FAA808" w14:textId="77777777" w:rsidR="00C663C7" w:rsidRPr="009A2EB4" w:rsidRDefault="00C663C7" w:rsidP="00952271">
            <w:pPr>
              <w:rPr>
                <w:sz w:val="20"/>
                <w:szCs w:val="20"/>
              </w:rPr>
            </w:pPr>
            <w:r w:rsidRPr="009A2EB4">
              <w:rPr>
                <w:sz w:val="20"/>
                <w:szCs w:val="20"/>
              </w:rPr>
              <w:t>Manager budget remains constant (i.e., does not increase)</w:t>
            </w:r>
            <w:r>
              <w:rPr>
                <w:sz w:val="20"/>
                <w:szCs w:val="20"/>
              </w:rPr>
              <w:t xml:space="preserve"> over time. Community resources increases linearly</w:t>
            </w:r>
            <w:r w:rsidRPr="009A2EB4">
              <w:rPr>
                <w:sz w:val="20"/>
                <w:szCs w:val="20"/>
              </w:rPr>
              <w:t xml:space="preserve"> </w:t>
            </w:r>
          </w:p>
        </w:tc>
        <w:tc>
          <w:tcPr>
            <w:tcW w:w="1417" w:type="dxa"/>
            <w:tcBorders>
              <w:top w:val="single" w:sz="12" w:space="0" w:color="auto"/>
            </w:tcBorders>
          </w:tcPr>
          <w:p w14:paraId="5B0D1FD5" w14:textId="77777777" w:rsidR="00C663C7" w:rsidRPr="009A2EB4" w:rsidRDefault="00C663C7" w:rsidP="00952271">
            <w:pPr>
              <w:jc w:val="center"/>
              <w:rPr>
                <w:sz w:val="20"/>
                <w:szCs w:val="20"/>
              </w:rPr>
            </w:pPr>
            <w:r>
              <w:rPr>
                <w:sz w:val="20"/>
                <w:szCs w:val="20"/>
              </w:rPr>
              <w:t>500</w:t>
            </w:r>
          </w:p>
        </w:tc>
        <w:tc>
          <w:tcPr>
            <w:tcW w:w="1843" w:type="dxa"/>
            <w:tcBorders>
              <w:top w:val="single" w:sz="12" w:space="0" w:color="auto"/>
            </w:tcBorders>
          </w:tcPr>
          <w:p w14:paraId="218B21FF" w14:textId="77777777" w:rsidR="00C663C7" w:rsidRPr="009A2EB4" w:rsidRDefault="00C663C7" w:rsidP="00952271">
            <w:pPr>
              <w:jc w:val="center"/>
              <w:rPr>
                <w:sz w:val="20"/>
                <w:szCs w:val="20"/>
              </w:rPr>
            </w:pPr>
            <w:r>
              <w:rPr>
                <w:sz w:val="20"/>
                <w:szCs w:val="20"/>
              </w:rPr>
              <w:t>25,000</w:t>
            </w:r>
          </w:p>
        </w:tc>
        <w:tc>
          <w:tcPr>
            <w:tcW w:w="420" w:type="dxa"/>
            <w:tcBorders>
              <w:top w:val="single" w:sz="12" w:space="0" w:color="auto"/>
            </w:tcBorders>
          </w:tcPr>
          <w:p w14:paraId="71A3F186" w14:textId="77777777" w:rsidR="00C663C7" w:rsidRPr="009A2EB4" w:rsidRDefault="00C663C7" w:rsidP="00952271">
            <w:pPr>
              <w:jc w:val="center"/>
              <w:rPr>
                <w:sz w:val="20"/>
                <w:szCs w:val="20"/>
              </w:rPr>
            </w:pPr>
          </w:p>
        </w:tc>
        <w:tc>
          <w:tcPr>
            <w:tcW w:w="1418" w:type="dxa"/>
            <w:tcBorders>
              <w:top w:val="single" w:sz="12" w:space="0" w:color="auto"/>
            </w:tcBorders>
          </w:tcPr>
          <w:p w14:paraId="3975A33B" w14:textId="77777777" w:rsidR="00C663C7" w:rsidRPr="009A2EB4" w:rsidRDefault="00C663C7" w:rsidP="00952271">
            <w:pPr>
              <w:jc w:val="center"/>
              <w:rPr>
                <w:sz w:val="20"/>
                <w:szCs w:val="20"/>
              </w:rPr>
            </w:pPr>
            <w:r>
              <w:rPr>
                <w:sz w:val="20"/>
                <w:szCs w:val="20"/>
              </w:rPr>
              <w:t>2000</w:t>
            </w:r>
          </w:p>
        </w:tc>
        <w:tc>
          <w:tcPr>
            <w:tcW w:w="1134" w:type="dxa"/>
            <w:tcBorders>
              <w:top w:val="single" w:sz="12" w:space="0" w:color="auto"/>
            </w:tcBorders>
          </w:tcPr>
          <w:p w14:paraId="7103EA85" w14:textId="77777777" w:rsidR="00C663C7" w:rsidRPr="009A2EB4" w:rsidRDefault="00C663C7" w:rsidP="00952271">
            <w:pPr>
              <w:jc w:val="center"/>
              <w:rPr>
                <w:sz w:val="20"/>
                <w:szCs w:val="20"/>
              </w:rPr>
            </w:pPr>
            <w:r>
              <w:rPr>
                <w:sz w:val="20"/>
                <w:szCs w:val="20"/>
              </w:rPr>
              <w:t>75</w:t>
            </w:r>
          </w:p>
        </w:tc>
        <w:tc>
          <w:tcPr>
            <w:tcW w:w="1620" w:type="dxa"/>
            <w:tcBorders>
              <w:top w:val="single" w:sz="12" w:space="0" w:color="auto"/>
            </w:tcBorders>
          </w:tcPr>
          <w:p w14:paraId="3E48D339" w14:textId="77777777" w:rsidR="00C663C7" w:rsidRPr="009A2EB4" w:rsidRDefault="00C663C7" w:rsidP="00952271">
            <w:pPr>
              <w:jc w:val="center"/>
              <w:rPr>
                <w:sz w:val="20"/>
                <w:szCs w:val="20"/>
              </w:rPr>
            </w:pPr>
            <w:r>
              <w:rPr>
                <w:sz w:val="20"/>
                <w:szCs w:val="20"/>
              </w:rPr>
              <w:t>191,875</w:t>
            </w:r>
          </w:p>
        </w:tc>
      </w:tr>
      <w:tr w:rsidR="00C663C7" w:rsidRPr="009A2EB4" w14:paraId="0A94EA24" w14:textId="77777777" w:rsidTr="00952271">
        <w:tc>
          <w:tcPr>
            <w:tcW w:w="993" w:type="dxa"/>
          </w:tcPr>
          <w:p w14:paraId="355ADB0D" w14:textId="77777777" w:rsidR="00C663C7" w:rsidRPr="009A2EB4" w:rsidRDefault="00C663C7" w:rsidP="00952271">
            <w:pPr>
              <w:rPr>
                <w:sz w:val="20"/>
                <w:szCs w:val="20"/>
              </w:rPr>
            </w:pPr>
            <w:r w:rsidRPr="009A2EB4">
              <w:rPr>
                <w:sz w:val="20"/>
                <w:szCs w:val="20"/>
              </w:rPr>
              <w:t>2</w:t>
            </w:r>
          </w:p>
        </w:tc>
        <w:tc>
          <w:tcPr>
            <w:tcW w:w="5103" w:type="dxa"/>
          </w:tcPr>
          <w:p w14:paraId="799256EA" w14:textId="77777777" w:rsidR="00C663C7" w:rsidRPr="009A2EB4" w:rsidRDefault="00C663C7" w:rsidP="00952271">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Pr>
                <w:sz w:val="20"/>
                <w:szCs w:val="20"/>
              </w:rPr>
              <w:t>, reflecting a regular and predictable increase in resources over time. Community resources increase linearly</w:t>
            </w:r>
          </w:p>
        </w:tc>
        <w:tc>
          <w:tcPr>
            <w:tcW w:w="1417" w:type="dxa"/>
          </w:tcPr>
          <w:p w14:paraId="7E1D3D00" w14:textId="77777777" w:rsidR="00C663C7" w:rsidRPr="009A2EB4" w:rsidRDefault="00C663C7" w:rsidP="00952271">
            <w:pPr>
              <w:jc w:val="center"/>
              <w:rPr>
                <w:sz w:val="20"/>
                <w:szCs w:val="20"/>
              </w:rPr>
            </w:pPr>
            <w:r>
              <w:rPr>
                <w:sz w:val="20"/>
                <w:szCs w:val="20"/>
              </w:rPr>
              <w:t>126.9</w:t>
            </w:r>
          </w:p>
        </w:tc>
        <w:tc>
          <w:tcPr>
            <w:tcW w:w="1843" w:type="dxa"/>
          </w:tcPr>
          <w:p w14:paraId="42BA1BB7" w14:textId="77777777" w:rsidR="00C663C7" w:rsidRPr="009A2EB4" w:rsidRDefault="00C663C7" w:rsidP="00952271">
            <w:pPr>
              <w:jc w:val="center"/>
              <w:rPr>
                <w:sz w:val="20"/>
                <w:szCs w:val="20"/>
              </w:rPr>
            </w:pPr>
            <w:r>
              <w:rPr>
                <w:sz w:val="20"/>
                <w:szCs w:val="20"/>
              </w:rPr>
              <w:t>25,000</w:t>
            </w:r>
          </w:p>
        </w:tc>
        <w:tc>
          <w:tcPr>
            <w:tcW w:w="420" w:type="dxa"/>
          </w:tcPr>
          <w:p w14:paraId="78C618EA" w14:textId="77777777" w:rsidR="00C663C7" w:rsidRPr="009A2EB4" w:rsidRDefault="00C663C7" w:rsidP="00952271">
            <w:pPr>
              <w:jc w:val="center"/>
              <w:rPr>
                <w:sz w:val="20"/>
                <w:szCs w:val="20"/>
              </w:rPr>
            </w:pPr>
          </w:p>
        </w:tc>
        <w:tc>
          <w:tcPr>
            <w:tcW w:w="1418" w:type="dxa"/>
          </w:tcPr>
          <w:p w14:paraId="62B6B640" w14:textId="77777777" w:rsidR="00C663C7" w:rsidRPr="009A2EB4" w:rsidRDefault="00C663C7" w:rsidP="00952271">
            <w:pPr>
              <w:jc w:val="center"/>
              <w:rPr>
                <w:sz w:val="20"/>
                <w:szCs w:val="20"/>
              </w:rPr>
            </w:pPr>
            <w:r>
              <w:rPr>
                <w:sz w:val="20"/>
                <w:szCs w:val="20"/>
              </w:rPr>
              <w:t>2000</w:t>
            </w:r>
          </w:p>
        </w:tc>
        <w:tc>
          <w:tcPr>
            <w:tcW w:w="1134" w:type="dxa"/>
          </w:tcPr>
          <w:p w14:paraId="167AAF29" w14:textId="77777777" w:rsidR="00C663C7" w:rsidRPr="009A2EB4" w:rsidRDefault="00C663C7" w:rsidP="00952271">
            <w:pPr>
              <w:jc w:val="center"/>
              <w:rPr>
                <w:sz w:val="20"/>
                <w:szCs w:val="20"/>
              </w:rPr>
            </w:pPr>
            <w:r>
              <w:rPr>
                <w:sz w:val="20"/>
                <w:szCs w:val="20"/>
              </w:rPr>
              <w:t>75</w:t>
            </w:r>
          </w:p>
        </w:tc>
        <w:tc>
          <w:tcPr>
            <w:tcW w:w="1620" w:type="dxa"/>
          </w:tcPr>
          <w:p w14:paraId="7B9E7FAC" w14:textId="77777777" w:rsidR="00C663C7" w:rsidRPr="009A2EB4" w:rsidRDefault="00C663C7" w:rsidP="00952271">
            <w:pPr>
              <w:jc w:val="center"/>
              <w:rPr>
                <w:sz w:val="20"/>
                <w:szCs w:val="20"/>
              </w:rPr>
            </w:pPr>
            <w:r>
              <w:rPr>
                <w:sz w:val="20"/>
                <w:szCs w:val="20"/>
              </w:rPr>
              <w:t>191,875</w:t>
            </w:r>
          </w:p>
        </w:tc>
      </w:tr>
      <w:tr w:rsidR="00C663C7" w:rsidRPr="009A2EB4" w14:paraId="7A0EE33E" w14:textId="77777777" w:rsidTr="00952271">
        <w:tc>
          <w:tcPr>
            <w:tcW w:w="993" w:type="dxa"/>
          </w:tcPr>
          <w:p w14:paraId="0DE715E9" w14:textId="77777777" w:rsidR="00C663C7" w:rsidRPr="009A2EB4" w:rsidRDefault="00C663C7" w:rsidP="00952271">
            <w:pPr>
              <w:rPr>
                <w:sz w:val="20"/>
                <w:szCs w:val="20"/>
              </w:rPr>
            </w:pPr>
            <w:r w:rsidRPr="009A2EB4">
              <w:rPr>
                <w:sz w:val="20"/>
                <w:szCs w:val="20"/>
              </w:rPr>
              <w:t>3</w:t>
            </w:r>
          </w:p>
        </w:tc>
        <w:tc>
          <w:tcPr>
            <w:tcW w:w="5103" w:type="dxa"/>
          </w:tcPr>
          <w:p w14:paraId="75405346" w14:textId="77777777" w:rsidR="00C663C7" w:rsidRPr="009A2EB4" w:rsidRDefault="00C663C7" w:rsidP="00952271">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3FC79725" w14:textId="77777777" w:rsidR="00C663C7" w:rsidRPr="009A2EB4" w:rsidRDefault="00C663C7" w:rsidP="00952271">
            <w:pPr>
              <w:jc w:val="center"/>
              <w:rPr>
                <w:sz w:val="20"/>
                <w:szCs w:val="20"/>
              </w:rPr>
            </w:pPr>
            <w:r>
              <w:rPr>
                <w:sz w:val="20"/>
                <w:szCs w:val="20"/>
              </w:rPr>
              <w:t>499.3</w:t>
            </w:r>
          </w:p>
        </w:tc>
        <w:tc>
          <w:tcPr>
            <w:tcW w:w="1843" w:type="dxa"/>
          </w:tcPr>
          <w:p w14:paraId="66FE43E0" w14:textId="77777777" w:rsidR="00C663C7" w:rsidRPr="009A2EB4" w:rsidRDefault="00C663C7" w:rsidP="00952271">
            <w:pPr>
              <w:jc w:val="center"/>
              <w:rPr>
                <w:sz w:val="20"/>
                <w:szCs w:val="20"/>
              </w:rPr>
            </w:pPr>
            <w:r>
              <w:rPr>
                <w:sz w:val="20"/>
                <w:szCs w:val="20"/>
              </w:rPr>
              <w:t>25,000</w:t>
            </w:r>
          </w:p>
        </w:tc>
        <w:tc>
          <w:tcPr>
            <w:tcW w:w="420" w:type="dxa"/>
          </w:tcPr>
          <w:p w14:paraId="437ED59F" w14:textId="77777777" w:rsidR="00C663C7" w:rsidRPr="009A2EB4" w:rsidRDefault="00C663C7" w:rsidP="00952271">
            <w:pPr>
              <w:jc w:val="center"/>
              <w:rPr>
                <w:sz w:val="20"/>
                <w:szCs w:val="20"/>
              </w:rPr>
            </w:pPr>
          </w:p>
        </w:tc>
        <w:tc>
          <w:tcPr>
            <w:tcW w:w="1418" w:type="dxa"/>
          </w:tcPr>
          <w:p w14:paraId="73D60827" w14:textId="77777777" w:rsidR="00C663C7" w:rsidRPr="009A2EB4" w:rsidRDefault="00C663C7" w:rsidP="00952271">
            <w:pPr>
              <w:jc w:val="center"/>
              <w:rPr>
                <w:sz w:val="20"/>
                <w:szCs w:val="20"/>
              </w:rPr>
            </w:pPr>
            <w:r>
              <w:rPr>
                <w:sz w:val="20"/>
                <w:szCs w:val="20"/>
              </w:rPr>
              <w:t>2000</w:t>
            </w:r>
          </w:p>
        </w:tc>
        <w:tc>
          <w:tcPr>
            <w:tcW w:w="1134" w:type="dxa"/>
          </w:tcPr>
          <w:p w14:paraId="7503C6BC" w14:textId="77777777" w:rsidR="00C663C7" w:rsidRPr="009A2EB4" w:rsidRDefault="00C663C7" w:rsidP="00952271">
            <w:pPr>
              <w:jc w:val="center"/>
              <w:rPr>
                <w:sz w:val="20"/>
                <w:szCs w:val="20"/>
              </w:rPr>
            </w:pPr>
            <w:r>
              <w:rPr>
                <w:sz w:val="20"/>
                <w:szCs w:val="20"/>
              </w:rPr>
              <w:t>75</w:t>
            </w:r>
          </w:p>
        </w:tc>
        <w:tc>
          <w:tcPr>
            <w:tcW w:w="1620" w:type="dxa"/>
          </w:tcPr>
          <w:p w14:paraId="2CEC2331" w14:textId="77777777" w:rsidR="00C663C7" w:rsidRPr="009A2EB4" w:rsidRDefault="00C663C7" w:rsidP="00952271">
            <w:pPr>
              <w:jc w:val="center"/>
              <w:rPr>
                <w:sz w:val="20"/>
                <w:szCs w:val="20"/>
              </w:rPr>
            </w:pPr>
            <w:r>
              <w:rPr>
                <w:sz w:val="20"/>
                <w:szCs w:val="20"/>
              </w:rPr>
              <w:t>191,875</w:t>
            </w:r>
          </w:p>
        </w:tc>
      </w:tr>
      <w:tr w:rsidR="00C663C7" w:rsidRPr="009A2EB4" w14:paraId="30ADAA2F" w14:textId="77777777" w:rsidTr="00952271">
        <w:tc>
          <w:tcPr>
            <w:tcW w:w="993" w:type="dxa"/>
          </w:tcPr>
          <w:p w14:paraId="2830B690" w14:textId="77777777" w:rsidR="00C663C7" w:rsidRPr="009A2EB4" w:rsidRDefault="00C663C7" w:rsidP="00952271">
            <w:pPr>
              <w:rPr>
                <w:sz w:val="20"/>
                <w:szCs w:val="20"/>
              </w:rPr>
            </w:pPr>
            <w:r w:rsidRPr="009A2EB4">
              <w:rPr>
                <w:sz w:val="20"/>
                <w:szCs w:val="20"/>
              </w:rPr>
              <w:t>4</w:t>
            </w:r>
          </w:p>
        </w:tc>
        <w:tc>
          <w:tcPr>
            <w:tcW w:w="5103" w:type="dxa"/>
          </w:tcPr>
          <w:p w14:paraId="6FD881A9"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5FF317F2" w14:textId="77777777" w:rsidR="00C663C7" w:rsidRPr="009A2EB4" w:rsidRDefault="00C663C7" w:rsidP="00952271">
            <w:pPr>
              <w:jc w:val="center"/>
              <w:rPr>
                <w:sz w:val="20"/>
                <w:szCs w:val="20"/>
              </w:rPr>
            </w:pPr>
            <w:r>
              <w:rPr>
                <w:sz w:val="20"/>
                <w:szCs w:val="20"/>
              </w:rPr>
              <w:t>Variable</w:t>
            </w:r>
          </w:p>
        </w:tc>
        <w:tc>
          <w:tcPr>
            <w:tcW w:w="1843" w:type="dxa"/>
          </w:tcPr>
          <w:p w14:paraId="0BEA79F5" w14:textId="77777777" w:rsidR="00C663C7" w:rsidRPr="009A2EB4" w:rsidRDefault="00C663C7" w:rsidP="00952271">
            <w:pPr>
              <w:jc w:val="center"/>
              <w:rPr>
                <w:sz w:val="20"/>
                <w:szCs w:val="20"/>
              </w:rPr>
            </w:pPr>
            <w:r>
              <w:rPr>
                <w:sz w:val="20"/>
                <w:szCs w:val="20"/>
              </w:rPr>
              <w:t>25,000</w:t>
            </w:r>
          </w:p>
        </w:tc>
        <w:tc>
          <w:tcPr>
            <w:tcW w:w="420" w:type="dxa"/>
          </w:tcPr>
          <w:p w14:paraId="3D5553B7" w14:textId="77777777" w:rsidR="00C663C7" w:rsidRPr="009A2EB4" w:rsidRDefault="00C663C7" w:rsidP="00952271">
            <w:pPr>
              <w:jc w:val="center"/>
              <w:rPr>
                <w:sz w:val="20"/>
                <w:szCs w:val="20"/>
              </w:rPr>
            </w:pPr>
          </w:p>
        </w:tc>
        <w:tc>
          <w:tcPr>
            <w:tcW w:w="1418" w:type="dxa"/>
          </w:tcPr>
          <w:p w14:paraId="0D7977AA" w14:textId="77777777" w:rsidR="00C663C7" w:rsidRPr="009A2EB4" w:rsidRDefault="00C663C7" w:rsidP="00952271">
            <w:pPr>
              <w:jc w:val="center"/>
              <w:rPr>
                <w:sz w:val="20"/>
                <w:szCs w:val="20"/>
              </w:rPr>
            </w:pPr>
            <w:r>
              <w:rPr>
                <w:sz w:val="20"/>
                <w:szCs w:val="20"/>
              </w:rPr>
              <w:t>2000</w:t>
            </w:r>
          </w:p>
        </w:tc>
        <w:tc>
          <w:tcPr>
            <w:tcW w:w="1134" w:type="dxa"/>
          </w:tcPr>
          <w:p w14:paraId="07F0629E" w14:textId="77777777" w:rsidR="00C663C7" w:rsidRPr="009A2EB4" w:rsidRDefault="00C663C7" w:rsidP="00952271">
            <w:pPr>
              <w:jc w:val="center"/>
              <w:rPr>
                <w:sz w:val="20"/>
                <w:szCs w:val="20"/>
              </w:rPr>
            </w:pPr>
            <w:r>
              <w:rPr>
                <w:sz w:val="20"/>
                <w:szCs w:val="20"/>
              </w:rPr>
              <w:t>75</w:t>
            </w:r>
          </w:p>
        </w:tc>
        <w:tc>
          <w:tcPr>
            <w:tcW w:w="1620" w:type="dxa"/>
          </w:tcPr>
          <w:p w14:paraId="2C04012B" w14:textId="77777777" w:rsidR="00C663C7" w:rsidRPr="009A2EB4" w:rsidRDefault="00C663C7" w:rsidP="00952271">
            <w:pPr>
              <w:jc w:val="center"/>
              <w:rPr>
                <w:sz w:val="20"/>
                <w:szCs w:val="20"/>
              </w:rPr>
            </w:pPr>
            <w:r>
              <w:rPr>
                <w:sz w:val="20"/>
                <w:szCs w:val="20"/>
              </w:rPr>
              <w:t>191,875</w:t>
            </w:r>
          </w:p>
        </w:tc>
      </w:tr>
      <w:tr w:rsidR="00C663C7" w:rsidRPr="009A2EB4" w14:paraId="2341053B" w14:textId="77777777" w:rsidTr="00952271">
        <w:tc>
          <w:tcPr>
            <w:tcW w:w="993" w:type="dxa"/>
            <w:tcBorders>
              <w:bottom w:val="single" w:sz="12" w:space="0" w:color="auto"/>
            </w:tcBorders>
          </w:tcPr>
          <w:p w14:paraId="1166A591" w14:textId="77777777" w:rsidR="00C663C7" w:rsidRPr="009A2EB4" w:rsidRDefault="00C663C7" w:rsidP="00952271">
            <w:pPr>
              <w:rPr>
                <w:sz w:val="20"/>
                <w:szCs w:val="20"/>
              </w:rPr>
            </w:pPr>
            <w:r w:rsidRPr="009A2EB4">
              <w:rPr>
                <w:sz w:val="20"/>
                <w:szCs w:val="20"/>
              </w:rPr>
              <w:t>5</w:t>
            </w:r>
          </w:p>
        </w:tc>
        <w:tc>
          <w:tcPr>
            <w:tcW w:w="5103" w:type="dxa"/>
            <w:tcBorders>
              <w:bottom w:val="single" w:sz="12" w:space="0" w:color="auto"/>
            </w:tcBorders>
          </w:tcPr>
          <w:p w14:paraId="29EA7302"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224AEA92" w14:textId="77777777" w:rsidR="00C663C7" w:rsidRPr="009A2EB4" w:rsidRDefault="00C663C7" w:rsidP="00952271">
            <w:pPr>
              <w:jc w:val="center"/>
              <w:rPr>
                <w:sz w:val="20"/>
                <w:szCs w:val="20"/>
              </w:rPr>
            </w:pPr>
            <w:r>
              <w:rPr>
                <w:sz w:val="20"/>
                <w:szCs w:val="20"/>
              </w:rPr>
              <w:t>Variable</w:t>
            </w:r>
          </w:p>
        </w:tc>
        <w:tc>
          <w:tcPr>
            <w:tcW w:w="1843" w:type="dxa"/>
            <w:tcBorders>
              <w:bottom w:val="single" w:sz="12" w:space="0" w:color="auto"/>
            </w:tcBorders>
          </w:tcPr>
          <w:p w14:paraId="2F15AA86" w14:textId="77777777" w:rsidR="00C663C7" w:rsidRPr="009A2EB4" w:rsidRDefault="00C663C7" w:rsidP="00952271">
            <w:pPr>
              <w:jc w:val="center"/>
              <w:rPr>
                <w:sz w:val="20"/>
                <w:szCs w:val="20"/>
              </w:rPr>
            </w:pPr>
            <w:r>
              <w:rPr>
                <w:sz w:val="20"/>
                <w:szCs w:val="20"/>
              </w:rPr>
              <w:t>25,000</w:t>
            </w:r>
          </w:p>
        </w:tc>
        <w:tc>
          <w:tcPr>
            <w:tcW w:w="420" w:type="dxa"/>
            <w:tcBorders>
              <w:bottom w:val="single" w:sz="12" w:space="0" w:color="auto"/>
            </w:tcBorders>
          </w:tcPr>
          <w:p w14:paraId="6D3B9518" w14:textId="77777777" w:rsidR="00C663C7" w:rsidRPr="009A2EB4" w:rsidRDefault="00C663C7" w:rsidP="00952271">
            <w:pPr>
              <w:jc w:val="center"/>
              <w:rPr>
                <w:sz w:val="20"/>
                <w:szCs w:val="20"/>
              </w:rPr>
            </w:pPr>
          </w:p>
        </w:tc>
        <w:tc>
          <w:tcPr>
            <w:tcW w:w="1418" w:type="dxa"/>
            <w:tcBorders>
              <w:bottom w:val="single" w:sz="12" w:space="0" w:color="auto"/>
            </w:tcBorders>
          </w:tcPr>
          <w:p w14:paraId="21D39F53" w14:textId="77777777" w:rsidR="00C663C7" w:rsidRPr="009A2EB4" w:rsidRDefault="00C663C7" w:rsidP="00952271">
            <w:pPr>
              <w:jc w:val="center"/>
              <w:rPr>
                <w:sz w:val="20"/>
                <w:szCs w:val="20"/>
              </w:rPr>
            </w:pPr>
            <w:r>
              <w:rPr>
                <w:sz w:val="20"/>
                <w:szCs w:val="20"/>
              </w:rPr>
              <w:t>2000</w:t>
            </w:r>
          </w:p>
        </w:tc>
        <w:tc>
          <w:tcPr>
            <w:tcW w:w="1134" w:type="dxa"/>
            <w:tcBorders>
              <w:bottom w:val="single" w:sz="12" w:space="0" w:color="auto"/>
            </w:tcBorders>
          </w:tcPr>
          <w:p w14:paraId="4E93F251" w14:textId="77777777" w:rsidR="00C663C7" w:rsidRPr="009A2EB4" w:rsidRDefault="00C663C7" w:rsidP="00952271">
            <w:pPr>
              <w:jc w:val="center"/>
              <w:rPr>
                <w:sz w:val="20"/>
                <w:szCs w:val="20"/>
              </w:rPr>
            </w:pPr>
            <w:r>
              <w:rPr>
                <w:sz w:val="20"/>
                <w:szCs w:val="20"/>
              </w:rPr>
              <w:t>75</w:t>
            </w:r>
          </w:p>
        </w:tc>
        <w:tc>
          <w:tcPr>
            <w:tcW w:w="1620" w:type="dxa"/>
            <w:tcBorders>
              <w:bottom w:val="single" w:sz="12" w:space="0" w:color="auto"/>
            </w:tcBorders>
          </w:tcPr>
          <w:p w14:paraId="1CC3EBFD" w14:textId="77777777" w:rsidR="00C663C7" w:rsidRPr="009A2EB4" w:rsidRDefault="00C663C7" w:rsidP="00952271">
            <w:pPr>
              <w:jc w:val="center"/>
              <w:rPr>
                <w:sz w:val="20"/>
                <w:szCs w:val="20"/>
              </w:rPr>
            </w:pPr>
            <w:r>
              <w:rPr>
                <w:sz w:val="20"/>
                <w:szCs w:val="20"/>
              </w:rPr>
              <w:t>191,875</w:t>
            </w:r>
          </w:p>
        </w:tc>
      </w:tr>
    </w:tbl>
    <w:p w14:paraId="10726461" w14:textId="77777777" w:rsidR="00C663C7" w:rsidRDefault="00C663C7" w:rsidP="00C663C7"/>
    <w:p w14:paraId="0F819CB5" w14:textId="77777777" w:rsidR="00C663C7" w:rsidRDefault="00C663C7" w:rsidP="00C663C7"/>
    <w:p w14:paraId="7A657975" w14:textId="77777777" w:rsidR="00C663C7" w:rsidRDefault="00C663C7" w:rsidP="00C663C7"/>
    <w:p w14:paraId="21F17611" w14:textId="77777777" w:rsidR="00C663C7" w:rsidRDefault="00C663C7" w:rsidP="00C663C7"/>
    <w:p w14:paraId="474B27B1" w14:textId="77777777" w:rsidR="00C663C7" w:rsidRDefault="00C663C7" w:rsidP="00C663C7">
      <w:pPr>
        <w:sectPr w:rsidR="00C663C7" w:rsidSect="006A7270">
          <w:pgSz w:w="16838" w:h="11906" w:orient="landscape"/>
          <w:pgMar w:top="1440" w:right="1440" w:bottom="1440" w:left="1440" w:header="708" w:footer="708" w:gutter="0"/>
          <w:cols w:space="708"/>
          <w:docGrid w:linePitch="360"/>
        </w:sectPr>
      </w:pPr>
    </w:p>
    <w:p w14:paraId="293E9003" w14:textId="77777777" w:rsidR="00C663C7" w:rsidRDefault="00C663C7" w:rsidP="00C663C7">
      <w:r>
        <w:rPr>
          <w:noProof/>
        </w:rPr>
        <w:lastRenderedPageBreak/>
        <w:drawing>
          <wp:anchor distT="0" distB="0" distL="114300" distR="114300" simplePos="0" relativeHeight="251659264" behindDoc="1" locked="0" layoutInCell="1" allowOverlap="1" wp14:anchorId="6A1EFDD6" wp14:editId="41FCF21A">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8D58" w14:textId="77777777" w:rsidR="00C663C7" w:rsidRPr="008E1066" w:rsidRDefault="00C663C7" w:rsidP="00C663C7"/>
    <w:p w14:paraId="68664308" w14:textId="77777777" w:rsidR="00C663C7" w:rsidRPr="008E1066" w:rsidRDefault="00C663C7" w:rsidP="00C663C7"/>
    <w:p w14:paraId="3626707C" w14:textId="77777777" w:rsidR="00C663C7" w:rsidRPr="008E1066" w:rsidRDefault="00C663C7" w:rsidP="00C663C7"/>
    <w:p w14:paraId="7BB61212" w14:textId="77777777" w:rsidR="00C663C7" w:rsidRPr="008E1066" w:rsidRDefault="00C663C7" w:rsidP="00C663C7"/>
    <w:p w14:paraId="12E03241" w14:textId="77777777" w:rsidR="00C663C7" w:rsidRPr="008E1066" w:rsidRDefault="00C663C7" w:rsidP="00C663C7"/>
    <w:p w14:paraId="3DF4A8E0" w14:textId="77777777" w:rsidR="00C663C7" w:rsidRPr="008E1066" w:rsidRDefault="00C663C7" w:rsidP="00C663C7"/>
    <w:p w14:paraId="6DFF7B3B" w14:textId="77777777" w:rsidR="00C663C7" w:rsidRPr="008E1066" w:rsidRDefault="00C663C7" w:rsidP="00C663C7"/>
    <w:p w14:paraId="7D2768D0" w14:textId="77777777" w:rsidR="00C663C7" w:rsidRPr="008E1066" w:rsidRDefault="00C663C7" w:rsidP="00C663C7"/>
    <w:p w14:paraId="6BECE06E" w14:textId="77777777" w:rsidR="00C663C7" w:rsidRPr="008E1066" w:rsidRDefault="00C663C7" w:rsidP="00C663C7"/>
    <w:p w14:paraId="796AD950" w14:textId="77777777" w:rsidR="00C663C7" w:rsidRPr="008E1066" w:rsidRDefault="00C663C7" w:rsidP="00C663C7"/>
    <w:p w14:paraId="131FCDEC" w14:textId="77777777" w:rsidR="00C663C7" w:rsidRPr="008E1066" w:rsidRDefault="00C663C7" w:rsidP="00C663C7"/>
    <w:p w14:paraId="462B93F3" w14:textId="77777777" w:rsidR="00C663C7" w:rsidRPr="008E1066" w:rsidRDefault="00C663C7" w:rsidP="00C663C7"/>
    <w:p w14:paraId="10D7BA7B" w14:textId="77777777" w:rsidR="00C663C7" w:rsidRPr="008E1066" w:rsidRDefault="00C663C7" w:rsidP="00C663C7"/>
    <w:p w14:paraId="3F19B50F" w14:textId="77777777" w:rsidR="00C663C7" w:rsidRPr="008E1066" w:rsidRDefault="00C663C7" w:rsidP="00C663C7"/>
    <w:p w14:paraId="5843D903" w14:textId="77777777" w:rsidR="00C663C7" w:rsidRDefault="00C663C7" w:rsidP="00C663C7"/>
    <w:p w14:paraId="3DE93CC1" w14:textId="77777777" w:rsidR="00C663C7" w:rsidRPr="00AB00D5" w:rsidRDefault="00C663C7" w:rsidP="00C663C7">
      <w:pPr>
        <w:rPr>
          <w:b/>
          <w:bCs/>
          <w:sz w:val="20"/>
          <w:szCs w:val="20"/>
        </w:rPr>
      </w:pPr>
      <w:r w:rsidRPr="00AB00D5">
        <w:rPr>
          <w:b/>
          <w:bCs/>
          <w:sz w:val="20"/>
          <w:szCs w:val="20"/>
        </w:rPr>
        <w:t xml:space="preserve">Figure 2. Manager budgets and </w:t>
      </w:r>
      <w:r>
        <w:rPr>
          <w:b/>
          <w:bCs/>
          <w:sz w:val="20"/>
          <w:szCs w:val="20"/>
        </w:rPr>
        <w:t>community</w:t>
      </w:r>
      <w:r w:rsidRPr="00AB00D5">
        <w:rPr>
          <w:b/>
          <w:bCs/>
          <w:sz w:val="20"/>
          <w:szCs w:val="20"/>
        </w:rPr>
        <w:t xml:space="preserve"> resources</w:t>
      </w:r>
      <w:r>
        <w:rPr>
          <w:b/>
          <w:bCs/>
          <w:sz w:val="20"/>
          <w:szCs w:val="20"/>
        </w:rPr>
        <w:t xml:space="preserve"> (user budget)</w:t>
      </w:r>
      <w:r w:rsidRPr="00AB00D5">
        <w:rPr>
          <w:b/>
          <w:bCs/>
          <w:sz w:val="20"/>
          <w:szCs w:val="20"/>
        </w:rPr>
        <w:t xml:space="preserve"> for the five scenarios. Scenarios 4 and 5 have</w:t>
      </w:r>
      <w:r>
        <w:rPr>
          <w:b/>
          <w:bCs/>
          <w:sz w:val="20"/>
          <w:szCs w:val="20"/>
        </w:rPr>
        <w:t xml:space="preserve"> a</w:t>
      </w:r>
      <w:r w:rsidRPr="00AB00D5">
        <w:rPr>
          <w:b/>
          <w:bCs/>
          <w:sz w:val="20"/>
          <w:szCs w:val="20"/>
        </w:rPr>
        <w:t xml:space="preserve"> different manager budget for each replicate simulation, and so this figure shows 10 examples for each.</w:t>
      </w:r>
    </w:p>
    <w:p w14:paraId="749AE88D" w14:textId="77777777" w:rsidR="00BA4A67" w:rsidRPr="00C663C7" w:rsidRDefault="00BA4A67"/>
    <w:p w14:paraId="500EB9BF" w14:textId="77777777" w:rsidR="00C663C7" w:rsidRDefault="00C663C7" w:rsidP="00C663C7">
      <w:pPr>
        <w:rPr>
          <w:b/>
          <w:bCs/>
        </w:rPr>
      </w:pPr>
      <w:r>
        <w:rPr>
          <w:b/>
          <w:bCs/>
        </w:rPr>
        <w:t xml:space="preserve">Results </w:t>
      </w:r>
    </w:p>
    <w:p w14:paraId="5FF8BE55" w14:textId="77777777" w:rsidR="00C663C7" w:rsidRDefault="00C663C7" w:rsidP="00C663C7">
      <w:r>
        <w:t xml:space="preserve">The simulation parameter settings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64AABCEF" w14:textId="77777777" w:rsidR="00C663C7" w:rsidRPr="0033031F" w:rsidRDefault="00C663C7" w:rsidP="00C663C7">
      <w:pPr>
        <w:rPr>
          <w:i/>
          <w:iCs/>
        </w:rPr>
      </w:pPr>
      <w:r>
        <w:rPr>
          <w:i/>
          <w:iCs/>
        </w:rPr>
        <w:t>Scenarios 1 to 3</w:t>
      </w:r>
    </w:p>
    <w:p w14:paraId="051F18E9" w14:textId="7521AB0A" w:rsidR="00C663C7" w:rsidRDefault="00C663C7" w:rsidP="00C663C7">
      <w:r>
        <w:t xml:space="preserve">Out 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This is despite having a felling count that increased linearly throughout the simulation (Figure 5).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w:t>
      </w:r>
      <w:r>
        <w:lastRenderedPageBreak/>
        <w:t xml:space="preserve">deforestation overall (Figure 3). Scenario 2 performed worse than all other scenarios (including scenarios 4 and 5) for the first half of the simulation period </w:t>
      </w:r>
      <w:r w:rsidRPr="002E4C7C">
        <w:t xml:space="preserve">(Figure </w:t>
      </w:r>
      <w:r w:rsidR="002E4C7C" w:rsidRPr="002E4C7C">
        <w:t>S3a</w:t>
      </w:r>
      <w:r>
        <w:t>),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w:t>
      </w:r>
      <w:r w:rsidR="00D10323">
        <w:t xml:space="preserve"> in</w:t>
      </w:r>
      <w:r>
        <w:t xml:space="preserve"> complete loss of forest cover (extinction) in </w:t>
      </w:r>
      <w:r w:rsidR="00360D1B">
        <w:t>93% of</w:t>
      </w:r>
      <w:r>
        <w:t xml:space="preserve"> simulations (Table 2). This can be explained by the felling count which shows that during periods of very low manager budget, the number of trees lost is between two and three times greater than any point in scenarios 1 and 2 (Figure 5). </w:t>
      </w:r>
    </w:p>
    <w:p w14:paraId="150B4E55" w14:textId="77777777" w:rsidR="00C663C7" w:rsidRDefault="00C663C7" w:rsidP="00C663C7">
      <w:pPr>
        <w:rPr>
          <w:i/>
          <w:iCs/>
        </w:rPr>
      </w:pPr>
      <w:r>
        <w:rPr>
          <w:i/>
          <w:iCs/>
        </w:rPr>
        <w:t>Scenarios 4 and 5</w:t>
      </w:r>
    </w:p>
    <w:p w14:paraId="6DC8C262" w14:textId="2E3B76E4" w:rsidR="00C663C7" w:rsidRPr="00D80050" w:rsidRDefault="00C663C7" w:rsidP="00C663C7">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w:t>
      </w:r>
      <w:r w:rsidRPr="002E4C7C">
        <w:t>cases (Figure S</w:t>
      </w:r>
      <w:r w:rsidR="002E4C7C" w:rsidRPr="002E4C7C">
        <w:t>3a</w:t>
      </w:r>
      <w:r w:rsidR="00D10323">
        <w:t>)</w:t>
      </w:r>
      <w:r>
        <w:t xml:space="preserve">.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extinction occurred </w:t>
      </w:r>
      <w:r w:rsidR="00360D1B">
        <w:t>25</w:t>
      </w:r>
      <w:r>
        <w:t xml:space="preserve"> times</w:t>
      </w:r>
      <w:r w:rsidR="00D10323">
        <w:t xml:space="preserve"> </w:t>
      </w:r>
      <w:r w:rsidR="00D10323">
        <w:t>(25%)</w:t>
      </w:r>
      <w:r>
        <w:t xml:space="preserve"> in scenario 5 (Table 2). As with scenario 3, the driver of forest loss can be seen in the felling counts for scenario 5, which reach extremely high levels during periods of low manager budget (Figure 5).    </w:t>
      </w:r>
    </w:p>
    <w:p w14:paraId="49D60996" w14:textId="2DF36D03" w:rsidR="00C663C7" w:rsidRDefault="000232D8" w:rsidP="00C663C7">
      <w:pPr>
        <w:rPr>
          <w:i/>
          <w:iCs/>
        </w:rPr>
      </w:pPr>
      <w:r>
        <w:rPr>
          <w:i/>
          <w:iCs/>
        </w:rPr>
        <w:t>Maximum harvest under maximum conflict</w:t>
      </w:r>
    </w:p>
    <w:p w14:paraId="6EA9CE79" w14:textId="6A51DB7C" w:rsidR="000232D8" w:rsidRPr="000232D8" w:rsidRDefault="000232D8" w:rsidP="00C663C7">
      <w:r>
        <w:t xml:space="preserve">The MHMC calculations revealed </w:t>
      </w:r>
      <w:r w:rsidR="00F51A31">
        <w:t>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w:t>
      </w:r>
      <w:r w:rsidR="007001BC">
        <w:t>, resulting in decreasing power for the manager</w:t>
      </w:r>
      <w:r w:rsidR="00F51A31">
        <w:t xml:space="preserve">. Scenarios 1 and 4 had the most stable MHMC values, reflecting the relatively stable manager budgets. </w:t>
      </w:r>
      <w:r w:rsidR="007001BC">
        <w:t xml:space="preserve">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w:t>
      </w:r>
      <w:proofErr w:type="gramStart"/>
      <w:r w:rsidR="007001BC">
        <w:t>all of</w:t>
      </w:r>
      <w:proofErr w:type="gramEnd"/>
      <w:r w:rsidR="007001BC">
        <w:t xml:space="preserve"> their budget to reduce felling and the communities were using all their budget to fell trees (Figure 6). </w:t>
      </w:r>
    </w:p>
    <w:p w14:paraId="333A8D32" w14:textId="77777777" w:rsidR="00C663C7" w:rsidRDefault="00C663C7" w:rsidP="00C663C7"/>
    <w:p w14:paraId="18E6AF54" w14:textId="77777777" w:rsidR="00C663C7" w:rsidRDefault="00C663C7" w:rsidP="00C663C7"/>
    <w:p w14:paraId="64E0E169" w14:textId="77777777" w:rsidR="00C663C7" w:rsidRDefault="00C663C7" w:rsidP="00C663C7">
      <w:r>
        <w:rPr>
          <w:noProof/>
        </w:rPr>
        <w:lastRenderedPageBreak/>
        <w:drawing>
          <wp:inline distT="0" distB="0" distL="0" distR="0" wp14:anchorId="5DCFDF3D" wp14:editId="0AB411B6">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22346651" w14:textId="77777777" w:rsidR="00C663C7" w:rsidRPr="002256D9" w:rsidRDefault="00C663C7" w:rsidP="00C663C7">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4F45FDDA" w14:textId="77777777" w:rsidR="00C663C7" w:rsidRDefault="00C663C7" w:rsidP="00C663C7"/>
    <w:p w14:paraId="4B287886" w14:textId="77777777" w:rsidR="00C663C7" w:rsidRDefault="00C663C7" w:rsidP="00C663C7">
      <w:pPr>
        <w:rPr>
          <w:noProof/>
        </w:rPr>
      </w:pPr>
      <w:r>
        <w:rPr>
          <w:noProof/>
        </w:rPr>
        <w:drawing>
          <wp:inline distT="0" distB="0" distL="0" distR="0" wp14:anchorId="391831D5" wp14:editId="703C937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6AA48ED5" w14:textId="77777777" w:rsidR="00C663C7" w:rsidRPr="002256D9" w:rsidRDefault="00C663C7" w:rsidP="00C663C7">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46087FA2" w14:textId="77777777" w:rsidR="00C663C7" w:rsidRDefault="00C663C7" w:rsidP="00C663C7">
      <w:pPr>
        <w:rPr>
          <w:noProof/>
        </w:rPr>
      </w:pPr>
    </w:p>
    <w:p w14:paraId="4F15462A" w14:textId="77777777" w:rsidR="00C663C7" w:rsidRDefault="00C663C7" w:rsidP="00C663C7">
      <w:pPr>
        <w:rPr>
          <w:noProof/>
        </w:rPr>
      </w:pPr>
    </w:p>
    <w:p w14:paraId="7E318AB4" w14:textId="2BA71C01" w:rsidR="00C663C7" w:rsidRDefault="00D10323" w:rsidP="00C663C7">
      <w:pPr>
        <w:rPr>
          <w:noProof/>
        </w:rPr>
      </w:pPr>
      <w:r>
        <w:rPr>
          <w:noProof/>
        </w:rPr>
        <w:lastRenderedPageBreak/>
        <w:drawing>
          <wp:inline distT="0" distB="0" distL="0" distR="0" wp14:anchorId="6795932F" wp14:editId="00538075">
            <wp:extent cx="5731510" cy="4585970"/>
            <wp:effectExtent l="0" t="0" r="254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585970"/>
                    </a:xfrm>
                    <a:prstGeom prst="rect">
                      <a:avLst/>
                    </a:prstGeom>
                    <a:noFill/>
                    <a:ln>
                      <a:noFill/>
                    </a:ln>
                  </pic:spPr>
                </pic:pic>
              </a:graphicData>
            </a:graphic>
          </wp:inline>
        </w:drawing>
      </w:r>
    </w:p>
    <w:p w14:paraId="4DA3063D" w14:textId="77777777" w:rsidR="00C663C7" w:rsidRPr="002256D9" w:rsidRDefault="00C663C7" w:rsidP="00C663C7">
      <w:pPr>
        <w:rPr>
          <w:b/>
          <w:bCs/>
          <w:noProof/>
          <w:sz w:val="20"/>
          <w:szCs w:val="20"/>
        </w:rPr>
      </w:pPr>
      <w:r w:rsidRPr="002256D9">
        <w:rPr>
          <w:b/>
          <w:bCs/>
          <w:noProof/>
          <w:sz w:val="20"/>
          <w:szCs w:val="20"/>
        </w:rPr>
        <w:t xml:space="preserve">Figure 5. The count of felling actions taken by all communities at each time step for the five scenarios. Solid lines and faded ribbons are the 50, 2.5, and 97.5 percentiles from the 100 runs, respectively. </w:t>
      </w:r>
    </w:p>
    <w:p w14:paraId="02332CE7" w14:textId="0A91AEF1" w:rsidR="00C663C7" w:rsidRDefault="00C663C7" w:rsidP="00C663C7">
      <w:pPr>
        <w:rPr>
          <w:noProof/>
        </w:rPr>
      </w:pPr>
    </w:p>
    <w:p w14:paraId="11F10575" w14:textId="6AB018D6" w:rsidR="005D5F75" w:rsidRDefault="000232D8" w:rsidP="00C663C7">
      <w:pPr>
        <w:rPr>
          <w:noProof/>
        </w:rPr>
      </w:pPr>
      <w:r>
        <w:rPr>
          <w:noProof/>
        </w:rPr>
        <w:lastRenderedPageBreak/>
        <w:drawing>
          <wp:inline distT="0" distB="0" distL="0" distR="0" wp14:anchorId="73BAF068" wp14:editId="6AAB1553">
            <wp:extent cx="5285497" cy="42291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7598" cy="4230781"/>
                    </a:xfrm>
                    <a:prstGeom prst="rect">
                      <a:avLst/>
                    </a:prstGeom>
                    <a:noFill/>
                    <a:ln>
                      <a:noFill/>
                    </a:ln>
                  </pic:spPr>
                </pic:pic>
              </a:graphicData>
            </a:graphic>
          </wp:inline>
        </w:drawing>
      </w:r>
    </w:p>
    <w:p w14:paraId="33B58CAB" w14:textId="09A178B9" w:rsidR="005D5F75" w:rsidRPr="00247BDD" w:rsidRDefault="00247BDD" w:rsidP="00C663C7">
      <w:pPr>
        <w:rPr>
          <w:b/>
          <w:bCs/>
          <w:noProof/>
          <w:sz w:val="20"/>
          <w:szCs w:val="20"/>
        </w:rPr>
      </w:pPr>
      <w:r w:rsidRPr="00247BDD">
        <w:rPr>
          <w:b/>
          <w:bCs/>
          <w:noProof/>
          <w:sz w:val="20"/>
          <w:szCs w:val="20"/>
        </w:rPr>
        <w:t>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w:t>
      </w:r>
      <w:r w:rsidR="000232D8">
        <w:rPr>
          <w:b/>
          <w:bCs/>
          <w:noProof/>
          <w:sz w:val="20"/>
          <w:szCs w:val="20"/>
        </w:rPr>
        <w:t xml:space="preserve"> The lines for scenarios 4 and 5 (which had different manager budgets for each replicate simulation) represent the mean MHMC value at each time step across all replicate simulations. </w:t>
      </w:r>
    </w:p>
    <w:p w14:paraId="637EFD92" w14:textId="77777777" w:rsidR="00247BDD" w:rsidRDefault="00247BDD" w:rsidP="00C663C7">
      <w:pPr>
        <w:rPr>
          <w:b/>
          <w:bCs/>
          <w:noProof/>
          <w:sz w:val="20"/>
          <w:szCs w:val="20"/>
        </w:rPr>
      </w:pPr>
    </w:p>
    <w:p w14:paraId="004E4C20" w14:textId="55B8B078" w:rsidR="00C663C7" w:rsidRPr="002256D9" w:rsidRDefault="00C663C7" w:rsidP="00C663C7">
      <w:pPr>
        <w:rPr>
          <w:b/>
          <w:bCs/>
          <w:noProof/>
          <w:sz w:val="20"/>
          <w:szCs w:val="20"/>
        </w:rPr>
      </w:pPr>
      <w:r w:rsidRPr="002256D9">
        <w:rPr>
          <w:b/>
          <w:bCs/>
          <w:noProof/>
          <w:sz w:val="20"/>
          <w:szCs w:val="20"/>
        </w:rPr>
        <w:t xml:space="preserve">Table 2. </w:t>
      </w:r>
      <w:r w:rsidR="00B23806">
        <w:rPr>
          <w:b/>
          <w:bCs/>
          <w:noProof/>
          <w:sz w:val="20"/>
          <w:szCs w:val="20"/>
        </w:rPr>
        <w:t>Summary of the</w:t>
      </w:r>
      <w:r w:rsidRPr="002256D9">
        <w:rPr>
          <w:b/>
          <w:bCs/>
          <w:noProof/>
          <w:sz w:val="20"/>
          <w:szCs w:val="20"/>
        </w:rPr>
        <w:t xml:space="preserve"> number of trees remaining at time step 50</w:t>
      </w:r>
      <w:r w:rsidR="00B23806">
        <w:rPr>
          <w:b/>
          <w:bCs/>
          <w:noProof/>
          <w:sz w:val="20"/>
          <w:szCs w:val="20"/>
        </w:rPr>
        <w:t xml:space="preserve"> (2.5, 50, 97.5 percentiles)</w:t>
      </w:r>
      <w:r w:rsidR="00B23806" w:rsidRPr="002256D9">
        <w:rPr>
          <w:b/>
          <w:bCs/>
          <w:noProof/>
          <w:sz w:val="20"/>
          <w:szCs w:val="20"/>
        </w:rPr>
        <w:t>, and the number of extinctions</w:t>
      </w:r>
      <w:r w:rsidR="00B23806">
        <w:rPr>
          <w:b/>
          <w:bCs/>
          <w:noProof/>
          <w:sz w:val="20"/>
          <w:szCs w:val="20"/>
        </w:rPr>
        <w:t>, from the 100 replicates</w:t>
      </w:r>
      <w:r w:rsidRPr="002256D9">
        <w:rPr>
          <w:b/>
          <w:bCs/>
          <w:noProof/>
          <w:sz w:val="20"/>
          <w:szCs w:val="20"/>
        </w:rPr>
        <w:t xml:space="preserve"> for each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276"/>
        <w:gridCol w:w="1842"/>
        <w:gridCol w:w="1985"/>
        <w:gridCol w:w="2268"/>
      </w:tblGrid>
      <w:tr w:rsidR="00C663C7" w14:paraId="7E184E97" w14:textId="77777777" w:rsidTr="00360D1B">
        <w:tc>
          <w:tcPr>
            <w:tcW w:w="1413" w:type="dxa"/>
            <w:vMerge w:val="restart"/>
            <w:tcBorders>
              <w:top w:val="single" w:sz="12" w:space="0" w:color="auto"/>
            </w:tcBorders>
            <w:vAlign w:val="center"/>
          </w:tcPr>
          <w:p w14:paraId="56CB0F90" w14:textId="77777777" w:rsidR="00C663C7" w:rsidRDefault="00C663C7" w:rsidP="00952271">
            <w:pPr>
              <w:jc w:val="center"/>
            </w:pPr>
            <w:r>
              <w:t>Scenario</w:t>
            </w:r>
          </w:p>
        </w:tc>
        <w:tc>
          <w:tcPr>
            <w:tcW w:w="5103" w:type="dxa"/>
            <w:gridSpan w:val="3"/>
            <w:tcBorders>
              <w:top w:val="single" w:sz="12" w:space="0" w:color="auto"/>
              <w:bottom w:val="single" w:sz="6" w:space="0" w:color="auto"/>
            </w:tcBorders>
            <w:vAlign w:val="center"/>
          </w:tcPr>
          <w:p w14:paraId="4720F108" w14:textId="77777777" w:rsidR="00C663C7" w:rsidRDefault="00C663C7" w:rsidP="00952271">
            <w:pPr>
              <w:jc w:val="center"/>
            </w:pPr>
            <w:r>
              <w:t xml:space="preserve">Trees remaining after </w:t>
            </w:r>
            <w:proofErr w:type="gramStart"/>
            <w:r>
              <w:t>50 time</w:t>
            </w:r>
            <w:proofErr w:type="gramEnd"/>
            <w:r>
              <w:t xml:space="preserve"> steps</w:t>
            </w:r>
          </w:p>
        </w:tc>
        <w:tc>
          <w:tcPr>
            <w:tcW w:w="2268" w:type="dxa"/>
            <w:vMerge w:val="restart"/>
            <w:tcBorders>
              <w:top w:val="single" w:sz="12" w:space="0" w:color="auto"/>
            </w:tcBorders>
            <w:vAlign w:val="center"/>
          </w:tcPr>
          <w:p w14:paraId="55CB94CD" w14:textId="77777777" w:rsidR="00C663C7" w:rsidRDefault="00C663C7" w:rsidP="00952271">
            <w:pPr>
              <w:jc w:val="center"/>
            </w:pPr>
            <w:r>
              <w:t>Number of extinctions</w:t>
            </w:r>
          </w:p>
        </w:tc>
      </w:tr>
      <w:tr w:rsidR="00C663C7" w14:paraId="5B2BFD84" w14:textId="77777777" w:rsidTr="00360D1B">
        <w:tc>
          <w:tcPr>
            <w:tcW w:w="1413" w:type="dxa"/>
            <w:vMerge/>
            <w:tcBorders>
              <w:bottom w:val="single" w:sz="12" w:space="0" w:color="auto"/>
            </w:tcBorders>
            <w:vAlign w:val="center"/>
          </w:tcPr>
          <w:p w14:paraId="058BFA0F" w14:textId="77777777" w:rsidR="00C663C7" w:rsidRDefault="00C663C7" w:rsidP="00952271">
            <w:pPr>
              <w:jc w:val="center"/>
            </w:pPr>
          </w:p>
        </w:tc>
        <w:tc>
          <w:tcPr>
            <w:tcW w:w="1276" w:type="dxa"/>
            <w:tcBorders>
              <w:top w:val="single" w:sz="6" w:space="0" w:color="auto"/>
              <w:bottom w:val="single" w:sz="12" w:space="0" w:color="auto"/>
            </w:tcBorders>
            <w:vAlign w:val="center"/>
          </w:tcPr>
          <w:p w14:paraId="6604C705" w14:textId="77777777" w:rsidR="00C663C7" w:rsidRDefault="00C663C7" w:rsidP="00952271">
            <w:pPr>
              <w:jc w:val="center"/>
            </w:pPr>
            <w:r>
              <w:t>Mean</w:t>
            </w:r>
          </w:p>
        </w:tc>
        <w:tc>
          <w:tcPr>
            <w:tcW w:w="1842" w:type="dxa"/>
            <w:tcBorders>
              <w:top w:val="single" w:sz="6" w:space="0" w:color="auto"/>
              <w:bottom w:val="single" w:sz="12" w:space="0" w:color="auto"/>
            </w:tcBorders>
            <w:vAlign w:val="center"/>
          </w:tcPr>
          <w:p w14:paraId="60540626" w14:textId="77777777" w:rsidR="00C663C7" w:rsidRDefault="00C663C7" w:rsidP="00952271">
            <w:pPr>
              <w:jc w:val="center"/>
            </w:pPr>
            <w:r>
              <w:t>2.5 percentile</w:t>
            </w:r>
          </w:p>
        </w:tc>
        <w:tc>
          <w:tcPr>
            <w:tcW w:w="1985" w:type="dxa"/>
            <w:tcBorders>
              <w:top w:val="single" w:sz="6" w:space="0" w:color="auto"/>
              <w:bottom w:val="single" w:sz="12" w:space="0" w:color="auto"/>
            </w:tcBorders>
            <w:vAlign w:val="center"/>
          </w:tcPr>
          <w:p w14:paraId="127CB8E6" w14:textId="77777777" w:rsidR="00C663C7" w:rsidRDefault="00C663C7" w:rsidP="00952271">
            <w:pPr>
              <w:jc w:val="center"/>
            </w:pPr>
            <w:r>
              <w:t>97.5 percentile</w:t>
            </w:r>
          </w:p>
        </w:tc>
        <w:tc>
          <w:tcPr>
            <w:tcW w:w="2268" w:type="dxa"/>
            <w:vMerge/>
            <w:tcBorders>
              <w:bottom w:val="single" w:sz="12" w:space="0" w:color="auto"/>
            </w:tcBorders>
            <w:vAlign w:val="center"/>
          </w:tcPr>
          <w:p w14:paraId="55CE01E8" w14:textId="77777777" w:rsidR="00C663C7" w:rsidRDefault="00C663C7" w:rsidP="00952271">
            <w:pPr>
              <w:jc w:val="center"/>
            </w:pPr>
          </w:p>
        </w:tc>
      </w:tr>
      <w:tr w:rsidR="00C663C7" w14:paraId="5CDAC35D" w14:textId="77777777" w:rsidTr="00360D1B">
        <w:tc>
          <w:tcPr>
            <w:tcW w:w="1413" w:type="dxa"/>
            <w:tcBorders>
              <w:top w:val="single" w:sz="12" w:space="0" w:color="auto"/>
            </w:tcBorders>
            <w:vAlign w:val="center"/>
          </w:tcPr>
          <w:p w14:paraId="41A9A1CC" w14:textId="77777777" w:rsidR="00C663C7" w:rsidRDefault="00C663C7" w:rsidP="00360D1B">
            <w:pPr>
              <w:jc w:val="center"/>
            </w:pPr>
            <w:r>
              <w:t>1</w:t>
            </w:r>
          </w:p>
        </w:tc>
        <w:tc>
          <w:tcPr>
            <w:tcW w:w="1276" w:type="dxa"/>
            <w:tcBorders>
              <w:top w:val="single" w:sz="12" w:space="0" w:color="auto"/>
            </w:tcBorders>
            <w:vAlign w:val="center"/>
          </w:tcPr>
          <w:p w14:paraId="23B0D7B8" w14:textId="27154D48" w:rsidR="00C663C7" w:rsidRDefault="00DC431D" w:rsidP="00360D1B">
            <w:pPr>
              <w:jc w:val="center"/>
            </w:pPr>
            <w:r>
              <w:t>5857</w:t>
            </w:r>
          </w:p>
        </w:tc>
        <w:tc>
          <w:tcPr>
            <w:tcW w:w="1842" w:type="dxa"/>
            <w:tcBorders>
              <w:top w:val="single" w:sz="12" w:space="0" w:color="auto"/>
            </w:tcBorders>
            <w:vAlign w:val="center"/>
          </w:tcPr>
          <w:p w14:paraId="525061B1" w14:textId="27DD9C0C" w:rsidR="00C663C7" w:rsidRDefault="00DC431D" w:rsidP="00360D1B">
            <w:pPr>
              <w:jc w:val="center"/>
            </w:pPr>
            <w:r>
              <w:t>4660</w:t>
            </w:r>
          </w:p>
        </w:tc>
        <w:tc>
          <w:tcPr>
            <w:tcW w:w="1985" w:type="dxa"/>
            <w:tcBorders>
              <w:top w:val="single" w:sz="12" w:space="0" w:color="auto"/>
            </w:tcBorders>
            <w:vAlign w:val="center"/>
          </w:tcPr>
          <w:p w14:paraId="70C0B7D0" w14:textId="5854933B" w:rsidR="00C663C7" w:rsidRDefault="00DC431D" w:rsidP="00360D1B">
            <w:pPr>
              <w:jc w:val="center"/>
            </w:pPr>
            <w:r>
              <w:t>6412</w:t>
            </w:r>
          </w:p>
        </w:tc>
        <w:tc>
          <w:tcPr>
            <w:tcW w:w="2268" w:type="dxa"/>
            <w:tcBorders>
              <w:top w:val="single" w:sz="12" w:space="0" w:color="auto"/>
            </w:tcBorders>
            <w:vAlign w:val="center"/>
          </w:tcPr>
          <w:p w14:paraId="2C5891B6" w14:textId="5EF09326" w:rsidR="00C663C7" w:rsidRDefault="00B23806" w:rsidP="00360D1B">
            <w:pPr>
              <w:jc w:val="center"/>
            </w:pPr>
            <w:r>
              <w:t>0</w:t>
            </w:r>
          </w:p>
        </w:tc>
      </w:tr>
      <w:tr w:rsidR="00C663C7" w14:paraId="30A10867" w14:textId="77777777" w:rsidTr="00360D1B">
        <w:tc>
          <w:tcPr>
            <w:tcW w:w="1413" w:type="dxa"/>
            <w:vAlign w:val="center"/>
          </w:tcPr>
          <w:p w14:paraId="4F85B53B" w14:textId="77777777" w:rsidR="00C663C7" w:rsidRDefault="00C663C7" w:rsidP="00360D1B">
            <w:pPr>
              <w:jc w:val="center"/>
            </w:pPr>
            <w:r>
              <w:t>2</w:t>
            </w:r>
          </w:p>
        </w:tc>
        <w:tc>
          <w:tcPr>
            <w:tcW w:w="1276" w:type="dxa"/>
            <w:vAlign w:val="center"/>
          </w:tcPr>
          <w:p w14:paraId="5786683B" w14:textId="75C16D20" w:rsidR="00C663C7" w:rsidRDefault="00DC431D" w:rsidP="00360D1B">
            <w:pPr>
              <w:jc w:val="center"/>
            </w:pPr>
            <w:r>
              <w:t>715</w:t>
            </w:r>
          </w:p>
        </w:tc>
        <w:tc>
          <w:tcPr>
            <w:tcW w:w="1842" w:type="dxa"/>
            <w:vAlign w:val="center"/>
          </w:tcPr>
          <w:p w14:paraId="5A598A6E" w14:textId="32E38FA0" w:rsidR="00C663C7" w:rsidRDefault="00DC431D" w:rsidP="00360D1B">
            <w:pPr>
              <w:jc w:val="center"/>
            </w:pPr>
            <w:r>
              <w:t>281</w:t>
            </w:r>
          </w:p>
        </w:tc>
        <w:tc>
          <w:tcPr>
            <w:tcW w:w="1985" w:type="dxa"/>
            <w:vAlign w:val="center"/>
          </w:tcPr>
          <w:p w14:paraId="3820867D" w14:textId="3C243BB2" w:rsidR="00C663C7" w:rsidRDefault="00DC431D" w:rsidP="00360D1B">
            <w:pPr>
              <w:jc w:val="center"/>
            </w:pPr>
            <w:r>
              <w:t>1202</w:t>
            </w:r>
          </w:p>
        </w:tc>
        <w:tc>
          <w:tcPr>
            <w:tcW w:w="2268" w:type="dxa"/>
            <w:vAlign w:val="center"/>
          </w:tcPr>
          <w:p w14:paraId="52D42BCC" w14:textId="4E4A0E37" w:rsidR="00C663C7" w:rsidRDefault="00B23806" w:rsidP="00360D1B">
            <w:pPr>
              <w:jc w:val="center"/>
            </w:pPr>
            <w:r>
              <w:t>0</w:t>
            </w:r>
          </w:p>
        </w:tc>
      </w:tr>
      <w:tr w:rsidR="00C663C7" w14:paraId="3FF004BA" w14:textId="77777777" w:rsidTr="00360D1B">
        <w:tc>
          <w:tcPr>
            <w:tcW w:w="1413" w:type="dxa"/>
            <w:vAlign w:val="center"/>
          </w:tcPr>
          <w:p w14:paraId="2CCC2259" w14:textId="77777777" w:rsidR="00C663C7" w:rsidRDefault="00C663C7" w:rsidP="00360D1B">
            <w:pPr>
              <w:jc w:val="center"/>
            </w:pPr>
            <w:r>
              <w:t>3</w:t>
            </w:r>
          </w:p>
        </w:tc>
        <w:tc>
          <w:tcPr>
            <w:tcW w:w="1276" w:type="dxa"/>
            <w:vAlign w:val="center"/>
          </w:tcPr>
          <w:p w14:paraId="2E4E7C63" w14:textId="5512FEF1" w:rsidR="00C663C7" w:rsidRDefault="00DC431D" w:rsidP="00360D1B">
            <w:pPr>
              <w:jc w:val="center"/>
            </w:pPr>
            <w:r>
              <w:t>0</w:t>
            </w:r>
          </w:p>
        </w:tc>
        <w:tc>
          <w:tcPr>
            <w:tcW w:w="1842" w:type="dxa"/>
            <w:vAlign w:val="center"/>
          </w:tcPr>
          <w:p w14:paraId="1406A375" w14:textId="54CB573D" w:rsidR="00C663C7" w:rsidRDefault="00DC431D" w:rsidP="00360D1B">
            <w:pPr>
              <w:jc w:val="center"/>
            </w:pPr>
            <w:r>
              <w:t>0</w:t>
            </w:r>
          </w:p>
        </w:tc>
        <w:tc>
          <w:tcPr>
            <w:tcW w:w="1985" w:type="dxa"/>
            <w:vAlign w:val="center"/>
          </w:tcPr>
          <w:p w14:paraId="5DB9698A" w14:textId="17DEAA63" w:rsidR="00C663C7" w:rsidRDefault="00DC431D" w:rsidP="00360D1B">
            <w:pPr>
              <w:jc w:val="center"/>
            </w:pPr>
            <w:r>
              <w:t>0</w:t>
            </w:r>
          </w:p>
        </w:tc>
        <w:tc>
          <w:tcPr>
            <w:tcW w:w="2268" w:type="dxa"/>
            <w:vAlign w:val="center"/>
          </w:tcPr>
          <w:p w14:paraId="2D12A927" w14:textId="2D5B1931" w:rsidR="00C663C7" w:rsidRDefault="00B23806" w:rsidP="00360D1B">
            <w:pPr>
              <w:jc w:val="center"/>
            </w:pPr>
            <w:r>
              <w:t>93</w:t>
            </w:r>
          </w:p>
        </w:tc>
      </w:tr>
      <w:tr w:rsidR="00C663C7" w14:paraId="3C8611F5" w14:textId="77777777" w:rsidTr="00360D1B">
        <w:tc>
          <w:tcPr>
            <w:tcW w:w="1413" w:type="dxa"/>
            <w:vAlign w:val="center"/>
          </w:tcPr>
          <w:p w14:paraId="75F218F3" w14:textId="77777777" w:rsidR="00C663C7" w:rsidRDefault="00C663C7" w:rsidP="00360D1B">
            <w:pPr>
              <w:jc w:val="center"/>
            </w:pPr>
            <w:r>
              <w:t>4</w:t>
            </w:r>
          </w:p>
        </w:tc>
        <w:tc>
          <w:tcPr>
            <w:tcW w:w="1276" w:type="dxa"/>
            <w:vAlign w:val="center"/>
          </w:tcPr>
          <w:p w14:paraId="63B42A1F" w14:textId="4E61654E" w:rsidR="00C663C7" w:rsidRDefault="00DC431D" w:rsidP="00360D1B">
            <w:pPr>
              <w:jc w:val="center"/>
            </w:pPr>
            <w:r>
              <w:t>2823</w:t>
            </w:r>
          </w:p>
        </w:tc>
        <w:tc>
          <w:tcPr>
            <w:tcW w:w="1842" w:type="dxa"/>
            <w:vAlign w:val="center"/>
          </w:tcPr>
          <w:p w14:paraId="11C0CD3E" w14:textId="6EB3B9D6" w:rsidR="00C663C7" w:rsidRDefault="00DC431D" w:rsidP="00360D1B">
            <w:pPr>
              <w:jc w:val="center"/>
            </w:pPr>
            <w:r>
              <w:t>545</w:t>
            </w:r>
          </w:p>
        </w:tc>
        <w:tc>
          <w:tcPr>
            <w:tcW w:w="1985" w:type="dxa"/>
            <w:vAlign w:val="center"/>
          </w:tcPr>
          <w:p w14:paraId="2C8E7F2B" w14:textId="28A75976" w:rsidR="00C663C7" w:rsidRDefault="00DC431D" w:rsidP="00360D1B">
            <w:pPr>
              <w:jc w:val="center"/>
            </w:pPr>
            <w:r>
              <w:t>5152</w:t>
            </w:r>
          </w:p>
        </w:tc>
        <w:tc>
          <w:tcPr>
            <w:tcW w:w="2268" w:type="dxa"/>
            <w:vAlign w:val="center"/>
          </w:tcPr>
          <w:p w14:paraId="71B15E93" w14:textId="04B0B5C1" w:rsidR="00C663C7" w:rsidRDefault="00360D1B" w:rsidP="00360D1B">
            <w:pPr>
              <w:jc w:val="center"/>
            </w:pPr>
            <w:r>
              <w:t>1</w:t>
            </w:r>
          </w:p>
        </w:tc>
      </w:tr>
      <w:tr w:rsidR="00C663C7" w14:paraId="7DFE999A" w14:textId="77777777" w:rsidTr="00360D1B">
        <w:tc>
          <w:tcPr>
            <w:tcW w:w="1413" w:type="dxa"/>
            <w:tcBorders>
              <w:bottom w:val="single" w:sz="12" w:space="0" w:color="auto"/>
            </w:tcBorders>
            <w:vAlign w:val="center"/>
          </w:tcPr>
          <w:p w14:paraId="7E6BB4D9" w14:textId="77777777" w:rsidR="00C663C7" w:rsidRDefault="00C663C7" w:rsidP="00360D1B">
            <w:pPr>
              <w:jc w:val="center"/>
            </w:pPr>
            <w:r>
              <w:t>5</w:t>
            </w:r>
          </w:p>
        </w:tc>
        <w:tc>
          <w:tcPr>
            <w:tcW w:w="1276" w:type="dxa"/>
            <w:tcBorders>
              <w:bottom w:val="single" w:sz="12" w:space="0" w:color="auto"/>
            </w:tcBorders>
            <w:vAlign w:val="center"/>
          </w:tcPr>
          <w:p w14:paraId="0505E8AA" w14:textId="5C5B22CF" w:rsidR="00C663C7" w:rsidRDefault="00DC431D" w:rsidP="00360D1B">
            <w:pPr>
              <w:jc w:val="center"/>
            </w:pPr>
            <w:r>
              <w:t>8</w:t>
            </w:r>
          </w:p>
        </w:tc>
        <w:tc>
          <w:tcPr>
            <w:tcW w:w="1842" w:type="dxa"/>
            <w:tcBorders>
              <w:bottom w:val="single" w:sz="12" w:space="0" w:color="auto"/>
            </w:tcBorders>
            <w:vAlign w:val="center"/>
          </w:tcPr>
          <w:p w14:paraId="4EBB70BD" w14:textId="4B946C2D" w:rsidR="00C663C7" w:rsidRDefault="006A1DA4" w:rsidP="00360D1B">
            <w:pPr>
              <w:jc w:val="center"/>
            </w:pPr>
            <w:r>
              <w:t>0</w:t>
            </w:r>
          </w:p>
        </w:tc>
        <w:tc>
          <w:tcPr>
            <w:tcW w:w="1985" w:type="dxa"/>
            <w:tcBorders>
              <w:bottom w:val="single" w:sz="12" w:space="0" w:color="auto"/>
            </w:tcBorders>
            <w:vAlign w:val="center"/>
          </w:tcPr>
          <w:p w14:paraId="07E0D83B" w14:textId="75B0FC84" w:rsidR="00C663C7" w:rsidRDefault="006A1DA4" w:rsidP="00360D1B">
            <w:pPr>
              <w:jc w:val="center"/>
            </w:pPr>
            <w:r>
              <w:t>4159</w:t>
            </w:r>
          </w:p>
        </w:tc>
        <w:tc>
          <w:tcPr>
            <w:tcW w:w="2268" w:type="dxa"/>
            <w:tcBorders>
              <w:bottom w:val="single" w:sz="12" w:space="0" w:color="auto"/>
            </w:tcBorders>
            <w:vAlign w:val="center"/>
          </w:tcPr>
          <w:p w14:paraId="57D4138B" w14:textId="545E27FF" w:rsidR="00C663C7" w:rsidRDefault="00360D1B" w:rsidP="00360D1B">
            <w:pPr>
              <w:jc w:val="center"/>
            </w:pPr>
            <w:r>
              <w:t>25</w:t>
            </w:r>
          </w:p>
        </w:tc>
      </w:tr>
    </w:tbl>
    <w:p w14:paraId="2B57AE8B" w14:textId="77777777" w:rsidR="00C663C7" w:rsidRPr="00F46F68" w:rsidRDefault="00C663C7" w:rsidP="00C663C7"/>
    <w:p w14:paraId="08CF0D11" w14:textId="77777777" w:rsidR="004B1FCB" w:rsidRPr="004B1FCB" w:rsidRDefault="004B1FCB" w:rsidP="004B1FCB">
      <w:pPr>
        <w:rPr>
          <w:b/>
          <w:bCs/>
          <w:sz w:val="24"/>
          <w:szCs w:val="24"/>
        </w:rPr>
      </w:pPr>
      <w:r w:rsidRPr="004B1FCB">
        <w:rPr>
          <w:b/>
          <w:bCs/>
          <w:sz w:val="24"/>
          <w:szCs w:val="24"/>
        </w:rPr>
        <w:t xml:space="preserve">Discussion </w:t>
      </w:r>
    </w:p>
    <w:p w14:paraId="2D1CF160" w14:textId="77777777" w:rsidR="004B1FCB" w:rsidRDefault="004B1FCB" w:rsidP="004B1FCB">
      <w:r>
        <w:t xml:space="preserve">Global funding for nature conservation is far below what is required </w:t>
      </w:r>
      <w:r>
        <w:fldChar w:fldCharType="begin"/>
      </w:r>
      <w:r>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A6D15">
        <w:rPr>
          <w:rFonts w:ascii="Calibri" w:hAnsi="Calibri" w:cs="Calibri"/>
        </w:rPr>
        <w:t>(Freeling and Connell, 2020; Laufer and Jones, 2021)</w:t>
      </w:r>
      <w:r>
        <w:fldChar w:fldCharType="end"/>
      </w:r>
      <w:r>
        <w:t xml:space="preserve">, and the funding that is available is rarely stable or sustainable over periods of more than a few years. To maximise conservation gains it is necessary to provide conservation managers, and conservation funders, with insights into the trade-offs between different approaches </w:t>
      </w:r>
      <w:r>
        <w:lastRenderedPageBreak/>
        <w:t xml:space="preserve">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A64C3DF" w14:textId="77777777" w:rsidR="004B1FCB" w:rsidRDefault="004B1FCB" w:rsidP="004B1FCB">
      <w:pPr>
        <w:rPr>
          <w:i/>
          <w:iCs/>
        </w:rPr>
      </w:pPr>
      <w:r>
        <w:rPr>
          <w:i/>
          <w:iCs/>
        </w:rPr>
        <w:t>Primary scenarios (scenarios 1 to 3)</w:t>
      </w:r>
    </w:p>
    <w:p w14:paraId="16BB0D3E" w14:textId="77777777" w:rsidR="004B1FCB" w:rsidRDefault="004B1FCB" w:rsidP="004B1FCB">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sidRPr="00143C78">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attempted here. </w:t>
      </w:r>
    </w:p>
    <w:p w14:paraId="20F7C517" w14:textId="77777777" w:rsidR="004B1FCB" w:rsidRDefault="004B1FCB" w:rsidP="004B1FCB">
      <w:r>
        <w:t xml:space="preserve">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suggest it could be several decades before the deforestation trajectories of the two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5C50B45B" w14:textId="77777777" w:rsidR="004B1FCB" w:rsidRPr="0057626F" w:rsidRDefault="004B1FCB" w:rsidP="004B1FCB">
      <w:r>
        <w:rPr>
          <w:i/>
          <w:iCs/>
        </w:rPr>
        <w:t>Uncertainty and unpredictability in funding</w:t>
      </w:r>
    </w:p>
    <w:p w14:paraId="1F23FF52" w14:textId="77777777" w:rsidR="004B1FCB" w:rsidRDefault="004B1FCB" w:rsidP="004B1FCB">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w:t>
      </w:r>
      <w:r>
        <w:lastRenderedPageBreak/>
        <w:t xml:space="preserve">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from scenario 5 to minimise forest loss. In some cases, they can maintain a forest loss trajectory </w:t>
      </w:r>
      <w:proofErr w:type="gramStart"/>
      <w:r>
        <w:t>similar to</w:t>
      </w:r>
      <w:proofErr w:type="gramEnd"/>
      <w:r>
        <w:t xml:space="preserve"> scenarios 1 and 4, yet more often the rate of forest loss is worse, regularly leading to extinction. </w:t>
      </w:r>
    </w:p>
    <w:p w14:paraId="4306B4B8" w14:textId="77777777" w:rsidR="004B1FCB" w:rsidRDefault="004B1FCB" w:rsidP="004B1FCB">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734FDF11" w14:textId="77777777" w:rsidR="004B1FCB" w:rsidRDefault="004B1FCB" w:rsidP="004B1FCB">
      <w:pPr>
        <w:rPr>
          <w:i/>
          <w:iCs/>
        </w:rPr>
      </w:pPr>
      <w:r>
        <w:rPr>
          <w:i/>
          <w:iCs/>
        </w:rPr>
        <w:t xml:space="preserve">Key messages </w:t>
      </w:r>
    </w:p>
    <w:p w14:paraId="5A2D826A" w14:textId="77777777" w:rsidR="004B1FCB" w:rsidRDefault="004B1FCB" w:rsidP="004B1FCB">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EF10470" w14:textId="77777777" w:rsidR="004B1FCB" w:rsidRDefault="004B1FCB" w:rsidP="004B1FCB">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w:t>
      </w:r>
      <w:r>
        <w:lastRenderedPageBreak/>
        <w:t xml:space="preserve">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1F43EDB1" w14:textId="77777777" w:rsidR="004B1FCB" w:rsidRDefault="004B1FCB" w:rsidP="004B1FCB">
      <w:pPr>
        <w:rPr>
          <w:i/>
          <w:iCs/>
        </w:rPr>
      </w:pPr>
      <w:r>
        <w:rPr>
          <w:i/>
          <w:iCs/>
        </w:rPr>
        <w:t>Conclusions – what can be done?</w:t>
      </w:r>
    </w:p>
    <w:p w14:paraId="0C027133" w14:textId="77777777" w:rsidR="004B1FCB" w:rsidRDefault="004B1FCB" w:rsidP="004B1FCB">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B679E">
        <w:rPr>
          <w:rFonts w:ascii="Calibri" w:hAnsi="Calibri" w:cs="Calibri"/>
        </w:rPr>
        <w:t>(Laufer and Jones, 2021)</w:t>
      </w:r>
      <w:r>
        <w:fldChar w:fldCharType="end"/>
      </w:r>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876D17">
        <w:rPr>
          <w:rFonts w:ascii="Calibri" w:hAnsi="Calibri" w:cs="Calibri"/>
        </w:rPr>
        <w:t>(Echols et al., 2019)</w:t>
      </w:r>
      <w:r>
        <w:fldChar w:fldCharType="end"/>
      </w:r>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54BD7975" w14:textId="77777777" w:rsidR="004B1FCB" w:rsidRDefault="004B1FCB" w:rsidP="004B1FCB">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xml:space="preserve">. The fragility of government funding has been exposed during the Covid-19 global pandemic;  around the world there have been shrinking national economies, dramatic increases in emergency government spending, and governments being forced to prioritise sectors of the economy for support and recovery </w:t>
      </w:r>
      <w:r>
        <w:fldChar w:fldCharType="begin"/>
      </w:r>
      <w:r>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E45A0A">
        <w:rPr>
          <w:rFonts w:ascii="Calibri" w:hAnsi="Calibri" w:cs="Calibri"/>
        </w:rPr>
        <w:t>(Evans et al., 2020)</w:t>
      </w:r>
      <w:r>
        <w:fldChar w:fldCharType="end"/>
      </w:r>
      <w:r>
        <w:t xml:space="preserve">. Despite the irony, a global pandemic that was most likely caused by overexploitation of the natural environment </w:t>
      </w:r>
      <w:r>
        <w:fldChar w:fldCharType="begin"/>
      </w:r>
      <w:r>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fldChar w:fldCharType="separate"/>
      </w:r>
      <w:r w:rsidRPr="00155A24">
        <w:rPr>
          <w:rFonts w:ascii="Calibri" w:hAnsi="Calibri" w:cs="Calibri"/>
        </w:rPr>
        <w:t>(Lytras et al., 2021)</w:t>
      </w:r>
      <w:r>
        <w:fldChar w:fldCharType="end"/>
      </w:r>
      <w:r>
        <w:t xml:space="preserve">, is likely to cause a decrease in government spending on conservation, at least in the short term </w:t>
      </w:r>
      <w:r>
        <w:fldChar w:fldCharType="begin"/>
      </w:r>
      <w:r>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BF1207">
        <w:rPr>
          <w:rFonts w:ascii="Calibri" w:hAnsi="Calibri" w:cs="Calibri"/>
        </w:rPr>
        <w:t>(Corlett et al., 2020; Evans et al., 2020)</w:t>
      </w:r>
      <w:r>
        <w:fldChar w:fldCharType="end"/>
      </w:r>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6B5EF6">
        <w:rPr>
          <w:rFonts w:ascii="Calibri" w:hAnsi="Calibri" w:cs="Calibri"/>
        </w:rPr>
        <w:t>(Echols et al., 2019)</w:t>
      </w:r>
      <w:r>
        <w:fldChar w:fldCharType="end"/>
      </w:r>
      <w:r>
        <w:t>.</w:t>
      </w:r>
    </w:p>
    <w:p w14:paraId="03E965BC" w14:textId="77777777" w:rsidR="004B1FCB" w:rsidRDefault="004B1FCB" w:rsidP="004B1FCB">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(Gruby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(Betsill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w:t>
      </w:r>
      <w:r>
        <w:lastRenderedPageBreak/>
        <w:t xml:space="preserve">giving that is evidence-based and results-orientated is already growing with the social movement known as ‘effective altruism’ </w:t>
      </w:r>
      <w:r>
        <w:fldChar w:fldCharType="begin"/>
      </w:r>
      <w:r>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fldChar w:fldCharType="separate"/>
      </w:r>
      <w:r w:rsidRPr="008618A7">
        <w:rPr>
          <w:rFonts w:ascii="Calibri" w:hAnsi="Calibri" w:cs="Calibri"/>
        </w:rPr>
        <w:t>(Freeling and Connell, 2020)</w:t>
      </w:r>
      <w:r>
        <w:fldChar w:fldCharType="end"/>
      </w:r>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history="1">
        <w:r w:rsidRPr="00BF52C6">
          <w:rPr>
            <w:rStyle w:val="Hyperlink"/>
          </w:rPr>
          <w:t>www.biocarbonfund-isfl.org</w:t>
        </w:r>
      </w:hyperlink>
      <w:r>
        <w:t>), the Global Environment Facility (</w:t>
      </w:r>
      <w:hyperlink r:id="rId15" w:history="1">
        <w:r w:rsidRPr="00BF52C6">
          <w:rPr>
            <w:rStyle w:val="Hyperlink"/>
          </w:rPr>
          <w:t>www.thegef.org</w:t>
        </w:r>
      </w:hyperlink>
      <w:r>
        <w:t>), and the Green Climate Fund (</w:t>
      </w:r>
      <w:hyperlink w:history="1">
        <w:r w:rsidRPr="00BF52C6">
          <w:rPr>
            <w:rStyle w:val="Hyperlink"/>
          </w:rPr>
          <w:t>www.greenclimate.fund</w:t>
        </w:r>
        <w:r w:rsidRPr="009C1AE9">
          <w:rPr>
            <w:rStyle w:val="Hyperlink"/>
            <w:color w:val="auto"/>
            <w:u w:val="none"/>
          </w:rPr>
          <w:t>), all</w:t>
        </w:r>
      </w:hyperlink>
      <w:r>
        <w:t xml:space="preserve"> of which are large enough to operate at a variety of spatial and temporal scales </w:t>
      </w:r>
      <w:r>
        <w:fldChar w:fldCharType="begin"/>
      </w:r>
      <w:r>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401BB">
        <w:rPr>
          <w:rFonts w:ascii="Calibri" w:hAnsi="Calibri" w:cs="Calibri"/>
        </w:rPr>
        <w:t>(Clark et al., 2018)</w:t>
      </w:r>
      <w:r>
        <w:fldChar w:fldCharType="end"/>
      </w:r>
      <w:r>
        <w:t xml:space="preserve">. </w:t>
      </w:r>
    </w:p>
    <w:p w14:paraId="2BF083D0" w14:textId="77777777" w:rsidR="004B1FCB" w:rsidRDefault="004B1FCB" w:rsidP="004B1FCB">
      <w:r>
        <w:t xml:space="preserve">Arguably the most promising avenue for environmental funding is private finance, the power of which is yet to be fully realised </w:t>
      </w:r>
      <w:r>
        <w:fldChar w:fldCharType="begin"/>
      </w:r>
      <w:r>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1C2D25">
        <w:rPr>
          <w:rFonts w:ascii="Calibri" w:hAnsi="Calibri" w:cs="Calibri"/>
        </w:rPr>
        <w:t>(Clark et al., 2018)</w:t>
      </w:r>
      <w:r>
        <w:fldChar w:fldCharType="end"/>
      </w:r>
      <w:r>
        <w:t xml:space="preserve">. This is largely because the environmental sector has thus far failed to provide projects that are investable, scalable, and low risk </w:t>
      </w:r>
      <w:r>
        <w:fldChar w:fldCharType="begin"/>
      </w:r>
      <w:r>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fldChar w:fldCharType="separate"/>
      </w:r>
      <w:r w:rsidRPr="001C2D25">
        <w:rPr>
          <w:rFonts w:ascii="Calibri" w:hAnsi="Calibri" w:cs="Calibri"/>
        </w:rPr>
        <w:t>(McFarland, 2018)</w:t>
      </w:r>
      <w:r>
        <w:fldChar w:fldCharType="end"/>
      </w:r>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fldChar w:fldCharType="separate"/>
      </w:r>
      <w:r w:rsidRPr="001C2D25">
        <w:rPr>
          <w:rFonts w:ascii="Calibri" w:hAnsi="Calibri" w:cs="Calibri"/>
        </w:rPr>
        <w:t>(Torres and Zeidan, 2016)</w:t>
      </w:r>
      <w:r>
        <w:fldChar w:fldCharType="end"/>
      </w:r>
      <w:r>
        <w:t xml:space="preserve">; 2) blended finance, which combines public and private finance through traditional mechanisms such as public-private partnerships, and through more novel mechanisms including development finance institutions </w:t>
      </w:r>
      <w:r>
        <w:fldChar w:fldCharType="begin"/>
      </w:r>
      <w:r>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557A2">
        <w:rPr>
          <w:rFonts w:ascii="Calibri" w:hAnsi="Calibri" w:cs="Calibri"/>
        </w:rPr>
        <w:t>(Clark et al., 2018)</w:t>
      </w:r>
      <w:r>
        <w:fldChar w:fldCharType="end"/>
      </w:r>
      <w:r>
        <w:t>; 3) custom built partnerships between the private sector and governments, civil society, and non-governmental organisations, for example the Tropical Landscapes Finance Facility (</w:t>
      </w:r>
      <w:hyperlink r:id="rId16" w:history="1">
        <w:r w:rsidRPr="00BF52C6">
          <w:rPr>
            <w:rStyle w:val="Hyper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8307E6">
        <w:rPr>
          <w:rFonts w:ascii="Calibri" w:hAnsi="Calibri" w:cs="Calibri"/>
        </w:rPr>
        <w:t>(Sachs et al., 2019)</w:t>
      </w:r>
      <w:r>
        <w:fldChar w:fldCharType="end"/>
      </w:r>
      <w:r>
        <w:t xml:space="preserve">, 5) conservation finance, which is a broad term that describes financial solutions that deliver conservation gains </w:t>
      </w:r>
      <w:r w:rsidRPr="00DC1F0E">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fldChar w:fldCharType="separate"/>
      </w:r>
      <w:r w:rsidRPr="00DC1F0E">
        <w:rPr>
          <w:rFonts w:ascii="Calibri" w:hAnsi="Calibri" w:cs="Calibri"/>
        </w:rPr>
        <w:t>(Huwyler et al., 2016)</w:t>
      </w:r>
      <w:r>
        <w:fldChar w:fldCharType="end"/>
      </w:r>
      <w:r>
        <w:t xml:space="preserve">; 6) carbon market instruments such as REDD+ and the Green Climate Fund </w:t>
      </w:r>
      <w:r>
        <w:fldChar w:fldCharType="begin"/>
      </w:r>
      <w:r>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7) other ‘green finance’ mechanisms such as impact investing, fiscal policy, green central banking, and community-based green funds </w:t>
      </w:r>
      <w:r>
        <w:fldChar w:fldCharType="begin"/>
      </w:r>
      <w:r>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w:t>
      </w:r>
    </w:p>
    <w:p w14:paraId="44FD83FA" w14:textId="77777777" w:rsidR="004B1FCB" w:rsidRDefault="004B1FCB" w:rsidP="004B1FCB">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fldChar w:fldCharType="separate"/>
      </w:r>
      <w:r w:rsidRPr="007311F2">
        <w:rPr>
          <w:rFonts w:ascii="Calibri" w:hAnsi="Calibri" w:cs="Calibri"/>
        </w:rPr>
        <w:t>(Kaiser, 2015)</w:t>
      </w:r>
      <w:r>
        <w:fldChar w:fldCharType="end"/>
      </w:r>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7C3102BE" w14:textId="01F0A499" w:rsidR="007544B5" w:rsidRPr="00541021" w:rsidRDefault="004B1FCB">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and partnerships to unlock the private sector and leverage such funding within the private sector investment framework. </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1FE0B6D9" w14:textId="77777777" w:rsidR="00C663C7" w:rsidRDefault="00C663C7" w:rsidP="00C663C7">
      <w:pPr>
        <w:pStyle w:val="CommentText"/>
      </w:pPr>
      <w:r>
        <w:rPr>
          <w:rStyle w:val="CommentReference"/>
        </w:rPr>
        <w:annotationRef/>
      </w:r>
      <w:r>
        <w:t>Is it ok to simply steal this diagram? I can’t really see the point in remaking it…</w:t>
      </w:r>
    </w:p>
  </w:comment>
  <w:comment w:id="1" w:author="Matthew Nuttall" w:date="2021-08-26T10:25:00Z" w:initials="MN">
    <w:p w14:paraId="6C743A66" w14:textId="77777777" w:rsidR="00C663C7" w:rsidRDefault="00C663C7" w:rsidP="00C663C7">
      <w:pPr>
        <w:pStyle w:val="CommentText"/>
      </w:pPr>
      <w:r>
        <w:rPr>
          <w:rStyle w:val="CommentReference"/>
        </w:rPr>
        <w:annotationRef/>
      </w:r>
      <w:r>
        <w:t>I don’t have much experience writing out formulae, so please let me know if this is not correct!</w:t>
      </w:r>
    </w:p>
    <w:p w14:paraId="41F146BA" w14:textId="77777777" w:rsidR="00C663C7" w:rsidRDefault="00C663C7" w:rsidP="00C663C7">
      <w:pPr>
        <w:pStyle w:val="CommentText"/>
      </w:pPr>
    </w:p>
    <w:p w14:paraId="60332828" w14:textId="77777777" w:rsidR="00C663C7" w:rsidRDefault="00C663C7" w:rsidP="00C663C7">
      <w:pPr>
        <w:pStyle w:val="CommentText"/>
      </w:pPr>
      <w:r>
        <w:t>In R it looks like this:</w:t>
      </w:r>
    </w:p>
    <w:p w14:paraId="25987786" w14:textId="77777777" w:rsidR="00C663C7" w:rsidRDefault="00C663C7" w:rsidP="00C663C7">
      <w:pPr>
        <w:pStyle w:val="CommentText"/>
      </w:pPr>
      <w:proofErr w:type="spellStart"/>
      <w:r w:rsidRPr="00D25D18">
        <w:t>dc.component</w:t>
      </w:r>
      <w:proofErr w:type="spellEnd"/>
      <w:r w:rsidRPr="00D25D18">
        <w:t xml:space="preserve"> + </w:t>
      </w:r>
      <w:proofErr w:type="gramStart"/>
      <w:r w:rsidRPr="00D25D18">
        <w:t>sum( cs</w:t>
      </w:r>
      <w:proofErr w:type="gramEnd"/>
      <w:r w:rsidRPr="00D25D18">
        <w:t xml:space="preserve"> * sin(</w:t>
      </w:r>
      <w:proofErr w:type="spellStart"/>
      <w:r w:rsidRPr="00D25D18">
        <w:t>cf</w:t>
      </w:r>
      <w:proofErr w:type="spellEnd"/>
      <w:r w:rsidRPr="00D25D18">
        <w:t>*w*t +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B6D9" w15:done="0"/>
  <w15:commentEx w15:paraId="259877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D1EA7F" w16cex:dateUtc="2021-08-26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B6D9" w16cid:durableId="24D09EAA"/>
  <w16cid:commentId w16cid:paraId="25987786" w16cid:durableId="24D1E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232D8"/>
    <w:rsid w:val="00036854"/>
    <w:rsid w:val="0009789E"/>
    <w:rsid w:val="000D2B0F"/>
    <w:rsid w:val="00142FB0"/>
    <w:rsid w:val="00153E08"/>
    <w:rsid w:val="00157048"/>
    <w:rsid w:val="00174F81"/>
    <w:rsid w:val="001840CA"/>
    <w:rsid w:val="001A02E0"/>
    <w:rsid w:val="001A53E5"/>
    <w:rsid w:val="001D3DF5"/>
    <w:rsid w:val="002026D9"/>
    <w:rsid w:val="00236366"/>
    <w:rsid w:val="00247BDD"/>
    <w:rsid w:val="00273E04"/>
    <w:rsid w:val="002D0B72"/>
    <w:rsid w:val="002E4C7C"/>
    <w:rsid w:val="002F4C8B"/>
    <w:rsid w:val="00360D1B"/>
    <w:rsid w:val="003655FB"/>
    <w:rsid w:val="00395C8B"/>
    <w:rsid w:val="003C2DB9"/>
    <w:rsid w:val="003C515D"/>
    <w:rsid w:val="003E0EB2"/>
    <w:rsid w:val="003F30FA"/>
    <w:rsid w:val="00404102"/>
    <w:rsid w:val="00433A2B"/>
    <w:rsid w:val="00480C1B"/>
    <w:rsid w:val="0048247B"/>
    <w:rsid w:val="004829F6"/>
    <w:rsid w:val="004936D7"/>
    <w:rsid w:val="0049467C"/>
    <w:rsid w:val="004B1FCB"/>
    <w:rsid w:val="004B37BB"/>
    <w:rsid w:val="004F577D"/>
    <w:rsid w:val="00541021"/>
    <w:rsid w:val="005418B0"/>
    <w:rsid w:val="00557CD4"/>
    <w:rsid w:val="00561CD2"/>
    <w:rsid w:val="005760C1"/>
    <w:rsid w:val="00580838"/>
    <w:rsid w:val="0059061E"/>
    <w:rsid w:val="005B3788"/>
    <w:rsid w:val="005C60D6"/>
    <w:rsid w:val="005D5F75"/>
    <w:rsid w:val="005F6E06"/>
    <w:rsid w:val="00631154"/>
    <w:rsid w:val="006553C3"/>
    <w:rsid w:val="006A1DA4"/>
    <w:rsid w:val="006C730E"/>
    <w:rsid w:val="006E08DA"/>
    <w:rsid w:val="006F5B1B"/>
    <w:rsid w:val="007001BC"/>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9E66DC"/>
    <w:rsid w:val="00A026B2"/>
    <w:rsid w:val="00A41803"/>
    <w:rsid w:val="00A91650"/>
    <w:rsid w:val="00AA5C2A"/>
    <w:rsid w:val="00AA7393"/>
    <w:rsid w:val="00AF14DE"/>
    <w:rsid w:val="00B154DF"/>
    <w:rsid w:val="00B23806"/>
    <w:rsid w:val="00B24D05"/>
    <w:rsid w:val="00B526C4"/>
    <w:rsid w:val="00BA4A67"/>
    <w:rsid w:val="00BD6B3D"/>
    <w:rsid w:val="00BD7186"/>
    <w:rsid w:val="00BF0C96"/>
    <w:rsid w:val="00C41F69"/>
    <w:rsid w:val="00C4360E"/>
    <w:rsid w:val="00C473D2"/>
    <w:rsid w:val="00C615C6"/>
    <w:rsid w:val="00C663C7"/>
    <w:rsid w:val="00CA3825"/>
    <w:rsid w:val="00CC05EA"/>
    <w:rsid w:val="00CC0AEA"/>
    <w:rsid w:val="00D10323"/>
    <w:rsid w:val="00D168E4"/>
    <w:rsid w:val="00D75DAA"/>
    <w:rsid w:val="00DC39B6"/>
    <w:rsid w:val="00DC431D"/>
    <w:rsid w:val="00DD4CC6"/>
    <w:rsid w:val="00E35EAE"/>
    <w:rsid w:val="00E42692"/>
    <w:rsid w:val="00E52A8E"/>
    <w:rsid w:val="00E85603"/>
    <w:rsid w:val="00EC3869"/>
    <w:rsid w:val="00ED006C"/>
    <w:rsid w:val="00EE160C"/>
    <w:rsid w:val="00EE2AFD"/>
    <w:rsid w:val="00F01CE0"/>
    <w:rsid w:val="00F2118A"/>
    <w:rsid w:val="00F37EE0"/>
    <w:rsid w:val="00F406BD"/>
    <w:rsid w:val="00F44DB4"/>
    <w:rsid w:val="00F51A31"/>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 w:type="table" w:styleId="TableGrid">
    <w:name w:val="Table Grid"/>
    <w:basedOn w:val="TableNormal"/>
    <w:uiPriority w:val="39"/>
    <w:rsid w:val="00C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1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20</Pages>
  <Words>31882</Words>
  <Characters>181733</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8</cp:revision>
  <dcterms:created xsi:type="dcterms:W3CDTF">2021-09-15T13:56:00Z</dcterms:created>
  <dcterms:modified xsi:type="dcterms:W3CDTF">2021-09-20T10:39:00Z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