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0EEEA775"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cycles, and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submodels that govern the social-ecological system, each of which can be individually parameterised (Figure 1). The submodels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submodel in the next time step. For detailed explanations of the submodels, see Duthie et al (2018) and the documentation for the GMSE R package.  </w:t>
      </w:r>
    </w:p>
    <w:p w14:paraId="01F06347" w14:textId="77777777" w:rsidR="00C663C7" w:rsidRDefault="00C663C7" w:rsidP="00C663C7">
      <w:r>
        <w:t xml:space="preserve">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Conceptual flow diagram showing the four submodels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50 time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distributed across the landscape, 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05D8B42D"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00BF0C96">
        <w:t>Figures S1a to S1d</w:t>
      </w:r>
      <w:r>
        <w:t xml:space="preserve">),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(Ceddia 2019, Davis et al 2015).  </w:t>
      </w:r>
    </w:p>
    <w:p w14:paraId="03C8FB7B" w14:textId="77777777" w:rsidR="00C663C7" w:rsidRDefault="00C663C7" w:rsidP="00C663C7">
      <w:pPr>
        <w:rPr>
          <w:u w:val="single"/>
        </w:rPr>
      </w:pPr>
      <w:r>
        <w:rPr>
          <w:u w:val="single"/>
        </w:rPr>
        <w:t>Manager</w:t>
      </w:r>
    </w:p>
    <w:p w14:paraId="50644A6A" w14:textId="77777777"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w:t>
      </w:r>
      <w:r>
        <w:lastRenderedPageBreak/>
        <w:t xml:space="preserve">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p>
    <w:p w14:paraId="3287AF35" w14:textId="77777777" w:rsidR="00C663C7" w:rsidRPr="009A2EB4" w:rsidRDefault="00C663C7" w:rsidP="00C663C7">
      <w:pPr>
        <w:rPr>
          <w:i/>
          <w:iCs/>
        </w:rPr>
      </w:pPr>
      <w:r w:rsidRPr="009A2EB4">
        <w:rPr>
          <w:i/>
          <w:iCs/>
        </w:rPr>
        <w:t xml:space="preserve">Scenarios </w:t>
      </w:r>
    </w:p>
    <w:p w14:paraId="1A5950E8" w14:textId="4A7B3742"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(see individual scenario sections below), and scenarios 4 and 5 aimed to test the effects of uncertainty and variability in funding. Before running the final 5 scenarios we tested several null scenarios to ensure the landscape was operating as expected (</w:t>
      </w:r>
      <w:r w:rsidRPr="00CC0AEA">
        <w:t>Supporting Information</w:t>
      </w:r>
      <w:r w:rsidR="00CC0AEA">
        <w:t>, figures S2a to S2c</w:t>
      </w:r>
      <w:r>
        <w:t>).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Table 1, figure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77777777" w:rsidR="00C663C7" w:rsidRDefault="00C663C7" w:rsidP="00C663C7">
      <w:r>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w:t>
      </w:r>
      <w:r>
        <w:lastRenderedPageBreak/>
        <w:t xml:space="preserve">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77777777" w:rsidR="00C663C7" w:rsidRDefault="00C663C7" w:rsidP="00C663C7">
      <w:r>
        <w:t>This scenario assumed that the budget available to the manager starts low but increases with increasing pressure on the landscape (</w:t>
      </w:r>
      <w:r w:rsidRPr="00070E56">
        <w:t>Figure 2</w:t>
      </w:r>
      <w:r>
        <w:t>).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scenarios 3 to 5.</w:t>
      </w:r>
    </w:p>
    <w:p w14:paraId="67284246" w14:textId="77777777" w:rsidR="00C663C7" w:rsidRDefault="00C663C7" w:rsidP="00C663C7">
      <w:pPr>
        <w:rPr>
          <w:u w:val="single"/>
        </w:rPr>
      </w:pPr>
      <w:commentRangeStart w:id="1"/>
      <w:r>
        <w:rPr>
          <w:u w:val="single"/>
        </w:rPr>
        <w:t>Scenario 3</w:t>
      </w:r>
      <w:commentRangeEnd w:id="1"/>
      <w:r>
        <w:rPr>
          <w:rStyle w:val="CommentReference"/>
        </w:rPr>
        <w:commentReference w:id="1"/>
      </w:r>
    </w:p>
    <w:p w14:paraId="0E837803" w14:textId="77777777"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largely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7777777"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Supporting Information for all the waves used in the simulations). The Inverse Fourier Transform took the </w:t>
      </w:r>
      <w:commentRangeStart w:id="2"/>
      <w:r>
        <w:t>form:</w:t>
      </w:r>
      <w:commentRangeEnd w:id="2"/>
      <w:r>
        <w:rPr>
          <w:rStyle w:val="CommentReference"/>
        </w:rPr>
        <w:commentReference w:id="2"/>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lastRenderedPageBreak/>
        <w:t xml:space="preserve">Where </w:t>
      </w:r>
      <w:r>
        <w:rPr>
          <w:i/>
          <w:iCs/>
        </w:rPr>
        <w:t>trj</w:t>
      </w:r>
      <w:r>
        <w:t xml:space="preserve"> is the trajectory of the random complex wave, </w:t>
      </w:r>
      <w:r>
        <w:rPr>
          <w:i/>
          <w:iCs/>
        </w:rPr>
        <w:t>acs</w:t>
      </w:r>
      <w:r>
        <w:t xml:space="preserve"> is the additive constant signal, </w:t>
      </w:r>
      <w:r>
        <w:rPr>
          <w:i/>
          <w:iCs/>
        </w:rPr>
        <w:t>cs</w:t>
      </w:r>
      <w:r>
        <w:t xml:space="preserve"> is the component strength, </w:t>
      </w:r>
      <w:r>
        <w:rPr>
          <w:i/>
          <w:iCs/>
        </w:rPr>
        <w:t>cf</w:t>
      </w:r>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77777777"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hows 10 examples, see Supporting Information 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Manager budgets in Scenario 1 had a constant value which summed to 25,000 over the 50 time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77777777"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The manager uses 10 budget points to increase the cost of culling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t xml:space="preserve">Where </w:t>
      </w:r>
      <w:r>
        <w:rPr>
          <w:rFonts w:eastAsiaTheme="minorEastAsia"/>
          <w:i/>
          <w:iCs/>
        </w:rPr>
        <w:t>nUA</w:t>
      </w:r>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commentRangeStart w:id="3"/>
      <w:r>
        <w:rPr>
          <w:b/>
          <w:bCs/>
        </w:rPr>
        <w:t xml:space="preserve">Results </w:t>
      </w:r>
      <w:commentRangeEnd w:id="3"/>
      <w:r>
        <w:rPr>
          <w:rStyle w:val="CommentReference"/>
        </w:rPr>
        <w:commentReference w:id="3"/>
      </w:r>
    </w:p>
    <w:p w14:paraId="5FF8BE55" w14:textId="77777777" w:rsidR="00C663C7" w:rsidRDefault="00C663C7" w:rsidP="00C663C7">
      <w:r>
        <w:t xml:space="preserve">The simulation parameter settings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77777777" w:rsidR="00C663C7" w:rsidRDefault="00C663C7" w:rsidP="00C663C7">
      <w:r>
        <w:t xml:space="preserve">Out of the three primary funding models, scenario 1 was the most effective at minimising deforestation over the 50 time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w:t>
      </w:r>
      <w:r>
        <w:lastRenderedPageBreak/>
        <w:t>deforestation overall (Figure 3). Scenario 2 performed worse than all other scenarios (including scenarios 4 and 5) for the first half of the simulation period (</w:t>
      </w:r>
      <w:commentRangeStart w:id="4"/>
      <w:r w:rsidRPr="00FE41F9">
        <w:rPr>
          <w:highlight w:val="yellow"/>
        </w:rPr>
        <w:t>Figure</w:t>
      </w:r>
      <w:commentRangeEnd w:id="4"/>
      <w:r>
        <w:rPr>
          <w:rStyle w:val="CommentReference"/>
        </w:rPr>
        <w:commentReference w:id="4"/>
      </w:r>
      <w:r w:rsidRPr="00FE41F9">
        <w:rPr>
          <w:highlight w:val="yellow"/>
        </w:rPr>
        <w:t xml:space="preserve"> sx</w:t>
      </w:r>
      <w:r>
        <w:t xml:space="preserve">),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complete loss of forest cover (extinction) in </w:t>
      </w:r>
      <w:r w:rsidRPr="00FE41F9">
        <w:rPr>
          <w:highlight w:val="yellow"/>
        </w:rPr>
        <w:t>xx</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77777777" w:rsidR="00C663C7" w:rsidRPr="00D80050" w:rsidRDefault="00C663C7" w:rsidP="00C663C7">
      <w:r>
        <w:t>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w:t>
      </w:r>
      <w:commentRangeStart w:id="5"/>
      <w:r w:rsidRPr="00FD2D20">
        <w:rPr>
          <w:highlight w:val="yellow"/>
        </w:rPr>
        <w:t>Figure Sx</w:t>
      </w:r>
      <w:commentRangeEnd w:id="5"/>
      <w:r>
        <w:rPr>
          <w:rStyle w:val="CommentReference"/>
        </w:rPr>
        <w:commentReference w:id="5"/>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Pr="00FE41F9">
        <w:rPr>
          <w:highlight w:val="yellow"/>
        </w:rPr>
        <w:t>xx</w:t>
      </w:r>
      <w:r>
        <w:t xml:space="preserve"> times in scenario 5 (Table 2). As with scenario 3, the driver of forest loss can be seen in the felling counts for scenario 5, which reach extremely high levels during periods of low manager budget (Figure 5).    </w:t>
      </w:r>
    </w:p>
    <w:p w14:paraId="49D60996" w14:textId="77777777" w:rsidR="00C663C7" w:rsidRDefault="00C663C7" w:rsidP="00C663C7"/>
    <w:p w14:paraId="333A8D32" w14:textId="77777777" w:rsidR="00C663C7" w:rsidRDefault="00C663C7" w:rsidP="00C663C7"/>
    <w:p w14:paraId="68477880"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77777777" w:rsidR="00C663C7" w:rsidRDefault="00C663C7" w:rsidP="00C663C7">
      <w:pPr>
        <w:rPr>
          <w:noProof/>
        </w:rPr>
      </w:pPr>
      <w:r>
        <w:rPr>
          <w:noProof/>
        </w:rPr>
        <w:drawing>
          <wp:inline distT="0" distB="0" distL="0" distR="0" wp14:anchorId="391831D5" wp14:editId="703C937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77777777" w:rsidR="00C663C7" w:rsidRDefault="00C663C7" w:rsidP="00C663C7">
      <w:pPr>
        <w:rPr>
          <w:noProof/>
        </w:rPr>
      </w:pPr>
      <w:r>
        <w:rPr>
          <w:noProof/>
        </w:rPr>
        <w:lastRenderedPageBreak/>
        <w:drawing>
          <wp:inline distT="0" distB="0" distL="0" distR="0" wp14:anchorId="5EF31DD1" wp14:editId="1CB4087F">
            <wp:extent cx="6614306" cy="4724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4509" cy="4731688"/>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commentRangeStart w:id="6"/>
      <w:r w:rsidRPr="002256D9">
        <w:rPr>
          <w:b/>
          <w:bCs/>
          <w:noProof/>
          <w:sz w:val="20"/>
          <w:szCs w:val="20"/>
        </w:rPr>
        <w:t xml:space="preserve">Figure 5. </w:t>
      </w:r>
      <w:commentRangeEnd w:id="6"/>
      <w:r w:rsidRPr="002256D9">
        <w:rPr>
          <w:rStyle w:val="CommentReference"/>
          <w:b/>
          <w:bCs/>
          <w:sz w:val="20"/>
          <w:szCs w:val="20"/>
        </w:rPr>
        <w:commentReference w:id="6"/>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02332CE7" w14:textId="0A91AEF1" w:rsidR="00C663C7" w:rsidRDefault="00C663C7" w:rsidP="00C663C7">
      <w:pPr>
        <w:rPr>
          <w:noProof/>
        </w:rPr>
      </w:pPr>
    </w:p>
    <w:p w14:paraId="11F10575" w14:textId="2DF65F54" w:rsidR="005D5F75" w:rsidRDefault="00247BDD" w:rsidP="00C663C7">
      <w:pPr>
        <w:rPr>
          <w:noProof/>
        </w:rPr>
      </w:pPr>
      <w:r>
        <w:rPr>
          <w:noProof/>
        </w:rPr>
        <w:lastRenderedPageBreak/>
        <w:drawing>
          <wp:inline distT="0" distB="0" distL="0" distR="0" wp14:anchorId="008BC1E2" wp14:editId="0C867377">
            <wp:extent cx="5731510" cy="3822065"/>
            <wp:effectExtent l="0" t="0" r="254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3B58CAB" w14:textId="7ED3BEDB" w:rsidR="005D5F75" w:rsidRPr="00247BDD" w:rsidRDefault="00247BDD" w:rsidP="00C663C7">
      <w:pPr>
        <w:rPr>
          <w:b/>
          <w:bCs/>
          <w:noProof/>
          <w:sz w:val="20"/>
          <w:szCs w:val="20"/>
        </w:rPr>
      </w:pPr>
      <w:r w:rsidRPr="00247BDD">
        <w:rPr>
          <w:b/>
          <w:bCs/>
          <w:noProof/>
          <w:sz w:val="20"/>
          <w:szCs w:val="20"/>
        </w:rPr>
        <w:t>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w:t>
      </w:r>
    </w:p>
    <w:p w14:paraId="637EFD92" w14:textId="77777777" w:rsidR="00247BDD" w:rsidRDefault="00247BDD" w:rsidP="00C663C7">
      <w:pPr>
        <w:rPr>
          <w:b/>
          <w:bCs/>
          <w:noProof/>
          <w:sz w:val="20"/>
          <w:szCs w:val="20"/>
        </w:rPr>
      </w:pPr>
    </w:p>
    <w:p w14:paraId="004E4C20" w14:textId="1D0853AE" w:rsidR="00C663C7" w:rsidRPr="002256D9" w:rsidRDefault="00C663C7" w:rsidP="00C663C7">
      <w:pPr>
        <w:rPr>
          <w:b/>
          <w:bCs/>
          <w:noProof/>
          <w:sz w:val="20"/>
          <w:szCs w:val="20"/>
        </w:rPr>
      </w:pPr>
      <w:r w:rsidRPr="002256D9">
        <w:rPr>
          <w:b/>
          <w:bCs/>
          <w:noProof/>
          <w:sz w:val="20"/>
          <w:szCs w:val="20"/>
        </w:rPr>
        <w:t>Table 2. 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C663C7" w14:paraId="7E184E97" w14:textId="77777777" w:rsidTr="00952271">
        <w:tc>
          <w:tcPr>
            <w:tcW w:w="1413" w:type="dxa"/>
            <w:vMerge w:val="restart"/>
            <w:vAlign w:val="center"/>
          </w:tcPr>
          <w:p w14:paraId="56CB0F90" w14:textId="77777777" w:rsidR="00C663C7" w:rsidRDefault="00C663C7" w:rsidP="00952271">
            <w:pPr>
              <w:jc w:val="center"/>
            </w:pPr>
            <w:r>
              <w:t>Scenario</w:t>
            </w:r>
          </w:p>
        </w:tc>
        <w:tc>
          <w:tcPr>
            <w:tcW w:w="5103" w:type="dxa"/>
            <w:gridSpan w:val="3"/>
            <w:vAlign w:val="center"/>
          </w:tcPr>
          <w:p w14:paraId="4720F108" w14:textId="77777777" w:rsidR="00C663C7" w:rsidRDefault="00C663C7" w:rsidP="00952271">
            <w:pPr>
              <w:jc w:val="center"/>
            </w:pPr>
            <w:r>
              <w:t>Trees remaining after 50 time steps</w:t>
            </w:r>
          </w:p>
        </w:tc>
        <w:tc>
          <w:tcPr>
            <w:tcW w:w="2268" w:type="dxa"/>
            <w:vMerge w:val="restart"/>
            <w:vAlign w:val="center"/>
          </w:tcPr>
          <w:p w14:paraId="55CB94CD" w14:textId="77777777" w:rsidR="00C663C7" w:rsidRDefault="00C663C7" w:rsidP="00952271">
            <w:pPr>
              <w:jc w:val="center"/>
            </w:pPr>
            <w:r>
              <w:t>Number of extinctions</w:t>
            </w:r>
          </w:p>
        </w:tc>
      </w:tr>
      <w:tr w:rsidR="00C663C7" w14:paraId="5B2BFD84" w14:textId="77777777" w:rsidTr="00952271">
        <w:tc>
          <w:tcPr>
            <w:tcW w:w="1413" w:type="dxa"/>
            <w:vMerge/>
            <w:vAlign w:val="center"/>
          </w:tcPr>
          <w:p w14:paraId="058BFA0F" w14:textId="77777777" w:rsidR="00C663C7" w:rsidRDefault="00C663C7" w:rsidP="00952271">
            <w:pPr>
              <w:jc w:val="center"/>
            </w:pPr>
          </w:p>
        </w:tc>
        <w:tc>
          <w:tcPr>
            <w:tcW w:w="1276" w:type="dxa"/>
            <w:vAlign w:val="center"/>
          </w:tcPr>
          <w:p w14:paraId="6604C705" w14:textId="77777777" w:rsidR="00C663C7" w:rsidRDefault="00C663C7" w:rsidP="00952271">
            <w:pPr>
              <w:jc w:val="center"/>
            </w:pPr>
            <w:r>
              <w:t>Mean</w:t>
            </w:r>
          </w:p>
        </w:tc>
        <w:tc>
          <w:tcPr>
            <w:tcW w:w="1842" w:type="dxa"/>
            <w:vAlign w:val="center"/>
          </w:tcPr>
          <w:p w14:paraId="60540626" w14:textId="77777777" w:rsidR="00C663C7" w:rsidRDefault="00C663C7" w:rsidP="00952271">
            <w:pPr>
              <w:jc w:val="center"/>
            </w:pPr>
            <w:r>
              <w:t>2.5 percentile</w:t>
            </w:r>
          </w:p>
        </w:tc>
        <w:tc>
          <w:tcPr>
            <w:tcW w:w="1985" w:type="dxa"/>
            <w:vAlign w:val="center"/>
          </w:tcPr>
          <w:p w14:paraId="127CB8E6" w14:textId="77777777" w:rsidR="00C663C7" w:rsidRDefault="00C663C7" w:rsidP="00952271">
            <w:pPr>
              <w:jc w:val="center"/>
            </w:pPr>
            <w:r>
              <w:t>97.5 percentile</w:t>
            </w:r>
          </w:p>
        </w:tc>
        <w:tc>
          <w:tcPr>
            <w:tcW w:w="2268" w:type="dxa"/>
            <w:vMerge/>
            <w:vAlign w:val="center"/>
          </w:tcPr>
          <w:p w14:paraId="55CE01E8" w14:textId="77777777" w:rsidR="00C663C7" w:rsidRDefault="00C663C7" w:rsidP="00952271">
            <w:pPr>
              <w:jc w:val="center"/>
            </w:pPr>
          </w:p>
        </w:tc>
      </w:tr>
      <w:tr w:rsidR="00C663C7" w14:paraId="5CDAC35D" w14:textId="77777777" w:rsidTr="00952271">
        <w:tc>
          <w:tcPr>
            <w:tcW w:w="1413" w:type="dxa"/>
          </w:tcPr>
          <w:p w14:paraId="41A9A1CC" w14:textId="77777777" w:rsidR="00C663C7" w:rsidRDefault="00C663C7" w:rsidP="00952271">
            <w:r>
              <w:t>1</w:t>
            </w:r>
          </w:p>
        </w:tc>
        <w:tc>
          <w:tcPr>
            <w:tcW w:w="1276" w:type="dxa"/>
          </w:tcPr>
          <w:p w14:paraId="23B0D7B8" w14:textId="27154D48" w:rsidR="00C663C7" w:rsidRDefault="00DC431D" w:rsidP="00952271">
            <w:r>
              <w:t>5857</w:t>
            </w:r>
          </w:p>
        </w:tc>
        <w:tc>
          <w:tcPr>
            <w:tcW w:w="1842" w:type="dxa"/>
          </w:tcPr>
          <w:p w14:paraId="525061B1" w14:textId="27DD9C0C" w:rsidR="00C663C7" w:rsidRDefault="00DC431D" w:rsidP="00952271">
            <w:r>
              <w:t>4660</w:t>
            </w:r>
          </w:p>
        </w:tc>
        <w:tc>
          <w:tcPr>
            <w:tcW w:w="1985" w:type="dxa"/>
          </w:tcPr>
          <w:p w14:paraId="70C0B7D0" w14:textId="5854933B" w:rsidR="00C663C7" w:rsidRDefault="00DC431D" w:rsidP="00952271">
            <w:r>
              <w:t>6412</w:t>
            </w:r>
          </w:p>
        </w:tc>
        <w:tc>
          <w:tcPr>
            <w:tcW w:w="2268" w:type="dxa"/>
          </w:tcPr>
          <w:p w14:paraId="2C5891B6" w14:textId="77777777" w:rsidR="00C663C7" w:rsidRDefault="00C663C7" w:rsidP="00952271"/>
        </w:tc>
      </w:tr>
      <w:tr w:rsidR="00C663C7" w14:paraId="30A10867" w14:textId="77777777" w:rsidTr="00952271">
        <w:tc>
          <w:tcPr>
            <w:tcW w:w="1413" w:type="dxa"/>
          </w:tcPr>
          <w:p w14:paraId="4F85B53B" w14:textId="77777777" w:rsidR="00C663C7" w:rsidRDefault="00C663C7" w:rsidP="00952271">
            <w:r>
              <w:t>2</w:t>
            </w:r>
          </w:p>
        </w:tc>
        <w:tc>
          <w:tcPr>
            <w:tcW w:w="1276" w:type="dxa"/>
          </w:tcPr>
          <w:p w14:paraId="5786683B" w14:textId="75C16D20" w:rsidR="00C663C7" w:rsidRDefault="00DC431D" w:rsidP="00952271">
            <w:r>
              <w:t>715</w:t>
            </w:r>
          </w:p>
        </w:tc>
        <w:tc>
          <w:tcPr>
            <w:tcW w:w="1842" w:type="dxa"/>
          </w:tcPr>
          <w:p w14:paraId="5A598A6E" w14:textId="32E38FA0" w:rsidR="00C663C7" w:rsidRDefault="00DC431D" w:rsidP="00952271">
            <w:r>
              <w:t>281</w:t>
            </w:r>
          </w:p>
        </w:tc>
        <w:tc>
          <w:tcPr>
            <w:tcW w:w="1985" w:type="dxa"/>
          </w:tcPr>
          <w:p w14:paraId="3820867D" w14:textId="3C243BB2" w:rsidR="00C663C7" w:rsidRDefault="00DC431D" w:rsidP="00952271">
            <w:r>
              <w:t>1202</w:t>
            </w:r>
          </w:p>
        </w:tc>
        <w:tc>
          <w:tcPr>
            <w:tcW w:w="2268" w:type="dxa"/>
          </w:tcPr>
          <w:p w14:paraId="52D42BCC" w14:textId="77777777" w:rsidR="00C663C7" w:rsidRDefault="00C663C7" w:rsidP="00952271"/>
        </w:tc>
      </w:tr>
      <w:tr w:rsidR="00C663C7" w14:paraId="3FF004BA" w14:textId="77777777" w:rsidTr="00952271">
        <w:tc>
          <w:tcPr>
            <w:tcW w:w="1413" w:type="dxa"/>
          </w:tcPr>
          <w:p w14:paraId="2CCC2259" w14:textId="77777777" w:rsidR="00C663C7" w:rsidRDefault="00C663C7" w:rsidP="00952271">
            <w:r>
              <w:t>3</w:t>
            </w:r>
          </w:p>
        </w:tc>
        <w:tc>
          <w:tcPr>
            <w:tcW w:w="1276" w:type="dxa"/>
          </w:tcPr>
          <w:p w14:paraId="2E4E7C63" w14:textId="5512FEF1" w:rsidR="00C663C7" w:rsidRDefault="00DC431D" w:rsidP="00952271">
            <w:r>
              <w:t>0</w:t>
            </w:r>
          </w:p>
        </w:tc>
        <w:tc>
          <w:tcPr>
            <w:tcW w:w="1842" w:type="dxa"/>
          </w:tcPr>
          <w:p w14:paraId="1406A375" w14:textId="54CB573D" w:rsidR="00C663C7" w:rsidRDefault="00DC431D" w:rsidP="00952271">
            <w:r>
              <w:t>0</w:t>
            </w:r>
          </w:p>
        </w:tc>
        <w:tc>
          <w:tcPr>
            <w:tcW w:w="1985" w:type="dxa"/>
          </w:tcPr>
          <w:p w14:paraId="5DB9698A" w14:textId="17DEAA63" w:rsidR="00C663C7" w:rsidRDefault="00DC431D" w:rsidP="00952271">
            <w:r>
              <w:t>0</w:t>
            </w:r>
          </w:p>
        </w:tc>
        <w:tc>
          <w:tcPr>
            <w:tcW w:w="2268" w:type="dxa"/>
          </w:tcPr>
          <w:p w14:paraId="2D12A927" w14:textId="77777777" w:rsidR="00C663C7" w:rsidRDefault="00C663C7" w:rsidP="00952271"/>
        </w:tc>
      </w:tr>
      <w:tr w:rsidR="00C663C7" w14:paraId="3C8611F5" w14:textId="77777777" w:rsidTr="00952271">
        <w:tc>
          <w:tcPr>
            <w:tcW w:w="1413" w:type="dxa"/>
          </w:tcPr>
          <w:p w14:paraId="75F218F3" w14:textId="77777777" w:rsidR="00C663C7" w:rsidRDefault="00C663C7" w:rsidP="00952271">
            <w:r>
              <w:t>4</w:t>
            </w:r>
          </w:p>
        </w:tc>
        <w:tc>
          <w:tcPr>
            <w:tcW w:w="1276" w:type="dxa"/>
          </w:tcPr>
          <w:p w14:paraId="63B42A1F" w14:textId="4E61654E" w:rsidR="00C663C7" w:rsidRDefault="00DC431D" w:rsidP="00952271">
            <w:r>
              <w:t>2823</w:t>
            </w:r>
          </w:p>
        </w:tc>
        <w:tc>
          <w:tcPr>
            <w:tcW w:w="1842" w:type="dxa"/>
          </w:tcPr>
          <w:p w14:paraId="11C0CD3E" w14:textId="6EB3B9D6" w:rsidR="00C663C7" w:rsidRDefault="00DC431D" w:rsidP="00952271">
            <w:r>
              <w:t>545</w:t>
            </w:r>
          </w:p>
        </w:tc>
        <w:tc>
          <w:tcPr>
            <w:tcW w:w="1985" w:type="dxa"/>
          </w:tcPr>
          <w:p w14:paraId="2C8E7F2B" w14:textId="28A75976" w:rsidR="00C663C7" w:rsidRDefault="00DC431D" w:rsidP="00952271">
            <w:r>
              <w:t>5152</w:t>
            </w:r>
          </w:p>
        </w:tc>
        <w:tc>
          <w:tcPr>
            <w:tcW w:w="2268" w:type="dxa"/>
          </w:tcPr>
          <w:p w14:paraId="71B15E93" w14:textId="77777777" w:rsidR="00C663C7" w:rsidRDefault="00C663C7" w:rsidP="00952271"/>
        </w:tc>
      </w:tr>
      <w:tr w:rsidR="00C663C7" w14:paraId="7DFE999A" w14:textId="77777777" w:rsidTr="00952271">
        <w:tc>
          <w:tcPr>
            <w:tcW w:w="1413" w:type="dxa"/>
          </w:tcPr>
          <w:p w14:paraId="7E6BB4D9" w14:textId="77777777" w:rsidR="00C663C7" w:rsidRDefault="00C663C7" w:rsidP="00952271">
            <w:r>
              <w:t>5</w:t>
            </w:r>
          </w:p>
        </w:tc>
        <w:tc>
          <w:tcPr>
            <w:tcW w:w="1276" w:type="dxa"/>
          </w:tcPr>
          <w:p w14:paraId="0505E8AA" w14:textId="5C5B22CF" w:rsidR="00C663C7" w:rsidRDefault="00DC431D" w:rsidP="00952271">
            <w:r>
              <w:t>8</w:t>
            </w:r>
          </w:p>
        </w:tc>
        <w:tc>
          <w:tcPr>
            <w:tcW w:w="1842" w:type="dxa"/>
          </w:tcPr>
          <w:p w14:paraId="4EBB70BD" w14:textId="4B946C2D" w:rsidR="00C663C7" w:rsidRDefault="006A1DA4" w:rsidP="00952271">
            <w:r>
              <w:t>0</w:t>
            </w:r>
          </w:p>
        </w:tc>
        <w:tc>
          <w:tcPr>
            <w:tcW w:w="1985" w:type="dxa"/>
          </w:tcPr>
          <w:p w14:paraId="07E0D83B" w14:textId="75B0FC84" w:rsidR="00C663C7" w:rsidRDefault="006A1DA4" w:rsidP="00952271">
            <w:r>
              <w:t>4159</w:t>
            </w:r>
          </w:p>
        </w:tc>
        <w:tc>
          <w:tcPr>
            <w:tcW w:w="2268" w:type="dxa"/>
          </w:tcPr>
          <w:p w14:paraId="57D4138B" w14:textId="77777777" w:rsidR="00C663C7" w:rsidRDefault="00C663C7" w:rsidP="00952271"/>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w:t>
      </w:r>
      <w:r>
        <w:lastRenderedPageBreak/>
        <w:t xml:space="preserve">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77777777"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w:t>
      </w:r>
      <w:r>
        <w:lastRenderedPageBreak/>
        <w:t xml:space="preserve">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from scenario 5 to minimise forest loss. In some cases, they can maintain a forest loss trajectory similar to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w:t>
      </w:r>
      <w:r>
        <w:lastRenderedPageBreak/>
        <w:t xml:space="preserve">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77777777"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being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(Lytras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(Gruby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(Betsill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w:t>
      </w:r>
      <w:r>
        <w:lastRenderedPageBreak/>
        <w:t>environmental agendas have driven the creation of global funds such as the BioCarbon Fund managed by the world bank (</w:t>
      </w:r>
      <w:hyperlink r:id="rId14" w:history="1">
        <w:r w:rsidRPr="00BF52C6">
          <w:rPr>
            <w:rStyle w:val="Hyperlink"/>
          </w:rPr>
          <w:t>www.biocarbonfund-isfl.org</w:t>
        </w:r>
      </w:hyperlink>
      <w:r>
        <w:t>), the Global Environment Facility (</w:t>
      </w:r>
      <w:hyperlink r:id="rId15"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7777777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(Torres and Zeidan,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 built partnerships between the private sector and governments, civil society, and non-governmental organisations, for example the Tropical Landscapes Finance Facility (</w:t>
      </w:r>
      <w:hyperlink r:id="rId16"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(Huwyler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NatureVest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0AD36FC9" w14:textId="77777777" w:rsidR="00C663C7" w:rsidRDefault="00C663C7" w:rsidP="00C663C7">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r w:rsidRPr="00D25D18">
        <w:t>dc.component + sum( cs * sin(cf*w*t + cd))</w:t>
      </w:r>
    </w:p>
  </w:comment>
  <w:comment w:id="3" w:author="Matthew Nuttall" w:date="2021-09-06T10:02:00Z" w:initials="MN">
    <w:p w14:paraId="35D40A03" w14:textId="77777777" w:rsidR="00C663C7" w:rsidRDefault="00C663C7" w:rsidP="00C663C7">
      <w:pPr>
        <w:pStyle w:val="CommentText"/>
        <w:jc w:val="both"/>
      </w:pPr>
      <w:r>
        <w:rPr>
          <w:rStyle w:val="CommentReference"/>
        </w:rPr>
        <w:annotationRef/>
      </w:r>
      <w:r>
        <w:t>Add plot and paragraph about MHUMC</w:t>
      </w:r>
    </w:p>
  </w:comment>
  <w:comment w:id="4" w:author="Matthew Nuttall" w:date="2021-08-26T16:25:00Z" w:initials="MN">
    <w:p w14:paraId="2290ED95"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5" w:author="Matthew Nuttall" w:date="2021-08-26T15:33:00Z" w:initials="MN">
    <w:p w14:paraId="2CF73476"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6" w:author="Matthew Nuttall" w:date="2021-08-26T13:43:00Z" w:initials="MN">
    <w:p w14:paraId="22A469B6" w14:textId="77777777" w:rsidR="00C663C7" w:rsidRDefault="00C663C7" w:rsidP="00C663C7">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0AD36FC9" w15:done="0"/>
  <w15:commentEx w15:paraId="25987786" w15:done="0"/>
  <w15:commentEx w15:paraId="35D40A03" w15:done="0"/>
  <w15:commentEx w15:paraId="2290ED95" w15:done="0"/>
  <w15:commentEx w15:paraId="2CF73476" w15:done="0"/>
  <w15:commentEx w15:paraId="22A46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Extensible w16cex:durableId="24E0659F" w16cex:dateUtc="2021-09-06T09:02:00Z"/>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0AD36FC9" w16cid:durableId="24881C1F"/>
  <w16cid:commentId w16cid:paraId="25987786" w16cid:durableId="24D1EA7F"/>
  <w16cid:commentId w16cid:paraId="35D40A03" w16cid:durableId="24E0659F"/>
  <w16cid:commentId w16cid:paraId="2290ED95" w16cid:durableId="24D23F0A"/>
  <w16cid:commentId w16cid:paraId="2CF73476" w16cid:durableId="24D232C7"/>
  <w16cid:commentId w16cid:paraId="22A469B6"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47BDD"/>
    <w:rsid w:val="00273E04"/>
    <w:rsid w:val="002D0B72"/>
    <w:rsid w:val="002F4C8B"/>
    <w:rsid w:val="003655FB"/>
    <w:rsid w:val="00395C8B"/>
    <w:rsid w:val="003C2DB9"/>
    <w:rsid w:val="003C515D"/>
    <w:rsid w:val="003E0EB2"/>
    <w:rsid w:val="003F30FA"/>
    <w:rsid w:val="00404102"/>
    <w:rsid w:val="00433A2B"/>
    <w:rsid w:val="00480C1B"/>
    <w:rsid w:val="0048247B"/>
    <w:rsid w:val="004829F6"/>
    <w:rsid w:val="004936D7"/>
    <w:rsid w:val="0049467C"/>
    <w:rsid w:val="004B1FCB"/>
    <w:rsid w:val="004B37BB"/>
    <w:rsid w:val="004F577D"/>
    <w:rsid w:val="00541021"/>
    <w:rsid w:val="005418B0"/>
    <w:rsid w:val="00557CD4"/>
    <w:rsid w:val="00561CD2"/>
    <w:rsid w:val="005760C1"/>
    <w:rsid w:val="00580838"/>
    <w:rsid w:val="0059061E"/>
    <w:rsid w:val="005B3788"/>
    <w:rsid w:val="005C60D6"/>
    <w:rsid w:val="005D5F75"/>
    <w:rsid w:val="005F6E06"/>
    <w:rsid w:val="00631154"/>
    <w:rsid w:val="006553C3"/>
    <w:rsid w:val="006A1DA4"/>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AF14DE"/>
    <w:rsid w:val="00B154DF"/>
    <w:rsid w:val="00B24D05"/>
    <w:rsid w:val="00B526C4"/>
    <w:rsid w:val="00BA4A67"/>
    <w:rsid w:val="00BD6B3D"/>
    <w:rsid w:val="00BD7186"/>
    <w:rsid w:val="00BF0C96"/>
    <w:rsid w:val="00C41F69"/>
    <w:rsid w:val="00C4360E"/>
    <w:rsid w:val="00C473D2"/>
    <w:rsid w:val="00C615C6"/>
    <w:rsid w:val="00C663C7"/>
    <w:rsid w:val="00CA3825"/>
    <w:rsid w:val="00CC05EA"/>
    <w:rsid w:val="00CC0AEA"/>
    <w:rsid w:val="00D168E4"/>
    <w:rsid w:val="00D75DAA"/>
    <w:rsid w:val="00DC39B6"/>
    <w:rsid w:val="00DC431D"/>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20</Pages>
  <Words>31647</Words>
  <Characters>180394</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2021-09-15T13:56:00Z</dcterms:created>
  <dcterms:modified xsi:type="dcterms:W3CDTF">2021-09-16T20:28:00Z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