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58DC58BA" w14:textId="50E94AB0" w:rsidR="00B526C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into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w:t>
      </w:r>
      <w:proofErr w:type="spellStart"/>
      <w:r w:rsidR="00EE160C" w:rsidRPr="00EE160C">
        <w:rPr>
          <w:rFonts w:ascii="Calibri" w:hAnsi="Calibri" w:cs="Calibri"/>
        </w:rPr>
        <w:t>Huwyler</w:t>
      </w:r>
      <w:proofErr w:type="spellEnd"/>
      <w:r w:rsidR="00EE160C" w:rsidRPr="00EE160C">
        <w:rPr>
          <w:rFonts w:ascii="Calibri" w:hAnsi="Calibri" w:cs="Calibri"/>
        </w:rPr>
        <w:t xml:space="preserve">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w:t>
      </w:r>
      <w:proofErr w:type="spellStart"/>
      <w:r w:rsidR="00EE160C" w:rsidRPr="00EE160C">
        <w:rPr>
          <w:rFonts w:ascii="Calibri" w:hAnsi="Calibri" w:cs="Calibri"/>
        </w:rPr>
        <w:t>Huwyler</w:t>
      </w:r>
      <w:proofErr w:type="spellEnd"/>
      <w:r w:rsidR="00EE160C" w:rsidRPr="00EE160C">
        <w:rPr>
          <w:rFonts w:ascii="Calibri" w:hAnsi="Calibri" w:cs="Calibri"/>
        </w:rPr>
        <w:t xml:space="preserve">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w:t>
      </w:r>
      <w:proofErr w:type="spellStart"/>
      <w:r w:rsidR="002026D9" w:rsidRPr="002026D9">
        <w:rPr>
          <w:rFonts w:ascii="Calibri" w:hAnsi="Calibri" w:cs="Calibri"/>
        </w:rPr>
        <w:t>Huwyler</w:t>
      </w:r>
      <w:proofErr w:type="spellEnd"/>
      <w:r w:rsidR="002026D9" w:rsidRPr="002026D9">
        <w:rPr>
          <w:rFonts w:ascii="Calibri" w:hAnsi="Calibri" w:cs="Calibri"/>
        </w:rPr>
        <w:t xml:space="preserve"> et al., 2016)</w:t>
      </w:r>
      <w:r w:rsidR="002026D9">
        <w:fldChar w:fldCharType="end"/>
      </w:r>
      <w:r w:rsidR="00B526C4">
        <w:t>, green bonds,</w:t>
      </w:r>
      <w:r w:rsidR="002026D9">
        <w:t xml:space="preserve"> public-private partnerships, impact investing</w:t>
      </w:r>
      <w:r w:rsidR="00B526C4">
        <w:t>, and government</w:t>
      </w:r>
      <w:r w:rsidR="002026D9">
        <w:t xml:space="preserve">-led incentives through 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 xml:space="preserve">It is hoped that these new approaches will affect both the quantity of funding available, and the distribution mechanisms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xml:space="preserve">. It is therefore likely that in the short- to medium-term, conservation practitioners will remain largely reliant on traditional grants to fund conservation projects.  </w:t>
      </w:r>
      <w:r w:rsidR="002026D9">
        <w:t xml:space="preserve"> </w:t>
      </w:r>
      <w:r w:rsidR="00B526C4">
        <w:t xml:space="preserve"> </w:t>
      </w:r>
      <w:r w:rsidR="00EE160C">
        <w:t xml:space="preserve"> </w:t>
      </w:r>
    </w:p>
    <w:p w14:paraId="05ED7D1D" w14:textId="6EDABEF3" w:rsidR="00036854" w:rsidRDefault="002D0B72">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A606C1B" w:rsidR="00FB5AF9" w:rsidRDefault="002D0B72">
      <w:r>
        <w:t xml:space="preserve">Investing conservation funds strategically </w:t>
      </w:r>
      <w:r w:rsidR="00933591">
        <w:t xml:space="preserve">over time </w:t>
      </w:r>
      <w:r>
        <w:t>is made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lastRenderedPageBreak/>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60CF2FCC"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lastRenderedPageBreak/>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681582E"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It is not feasible to build a model that captures all components of a SES, and therefore simplified models that simulate the fundamental dynamics are required to test social-ecological theory. Generalised Management Strategy Evaluation</w:t>
      </w:r>
      <w:r w:rsidR="005F6E06">
        <w:t xml:space="preserve"> (GMSE) is a modelling framework that allows the construction of simplified social-ecological systems that are </w:t>
      </w:r>
      <w:r w:rsidR="005F6E06">
        <w:lastRenderedPageBreak/>
        <w:t xml:space="preserve">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4A16F894"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73E04"/>
    <w:rsid w:val="002D0B72"/>
    <w:rsid w:val="002F4C8B"/>
    <w:rsid w:val="00395C8B"/>
    <w:rsid w:val="003C2DB9"/>
    <w:rsid w:val="003C515D"/>
    <w:rsid w:val="003E0EB2"/>
    <w:rsid w:val="003F30FA"/>
    <w:rsid w:val="00404102"/>
    <w:rsid w:val="00433A2B"/>
    <w:rsid w:val="00480C1B"/>
    <w:rsid w:val="004829F6"/>
    <w:rsid w:val="004936D7"/>
    <w:rsid w:val="0049467C"/>
    <w:rsid w:val="004B37BB"/>
    <w:rsid w:val="00541021"/>
    <w:rsid w:val="005418B0"/>
    <w:rsid w:val="00561CD2"/>
    <w:rsid w:val="005760C1"/>
    <w:rsid w:val="00580838"/>
    <w:rsid w:val="0059061E"/>
    <w:rsid w:val="005B3788"/>
    <w:rsid w:val="005C60D6"/>
    <w:rsid w:val="005F6E06"/>
    <w:rsid w:val="00631154"/>
    <w:rsid w:val="006553C3"/>
    <w:rsid w:val="006C730E"/>
    <w:rsid w:val="006E08DA"/>
    <w:rsid w:val="006F5B1B"/>
    <w:rsid w:val="00700CBF"/>
    <w:rsid w:val="0073155C"/>
    <w:rsid w:val="0074716A"/>
    <w:rsid w:val="007544B5"/>
    <w:rsid w:val="00762CBF"/>
    <w:rsid w:val="007B11B1"/>
    <w:rsid w:val="007E4486"/>
    <w:rsid w:val="0085488B"/>
    <w:rsid w:val="00880E5B"/>
    <w:rsid w:val="008B6ED5"/>
    <w:rsid w:val="009037D4"/>
    <w:rsid w:val="00933591"/>
    <w:rsid w:val="00974410"/>
    <w:rsid w:val="00987C10"/>
    <w:rsid w:val="009B618C"/>
    <w:rsid w:val="00A026B2"/>
    <w:rsid w:val="00A41803"/>
    <w:rsid w:val="00A91650"/>
    <w:rsid w:val="00AA5C2A"/>
    <w:rsid w:val="00AA7393"/>
    <w:rsid w:val="00B154DF"/>
    <w:rsid w:val="00B24D05"/>
    <w:rsid w:val="00B526C4"/>
    <w:rsid w:val="00BD6B3D"/>
    <w:rsid w:val="00BD7186"/>
    <w:rsid w:val="00C41F69"/>
    <w:rsid w:val="00C4360E"/>
    <w:rsid w:val="00C473D2"/>
    <w:rsid w:val="00C615C6"/>
    <w:rsid w:val="00CA3825"/>
    <w:rsid w:val="00CC05EA"/>
    <w:rsid w:val="00D168E4"/>
    <w:rsid w:val="00D75DAA"/>
    <w:rsid w:val="00DC39B6"/>
    <w:rsid w:val="00DD4CC6"/>
    <w:rsid w:val="00E35EAE"/>
    <w:rsid w:val="00E42692"/>
    <w:rsid w:val="00E52A8E"/>
    <w:rsid w:val="00E85603"/>
    <w:rsid w:val="00ED006C"/>
    <w:rsid w:val="00EE160C"/>
    <w:rsid w:val="00EE2AFD"/>
    <w:rsid w:val="00F01CE0"/>
    <w:rsid w:val="00F2118A"/>
    <w:rsid w:val="00F37EE0"/>
    <w:rsid w:val="00F406BD"/>
    <w:rsid w:val="00F44DB4"/>
    <w:rsid w:val="00F9337B"/>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3925</TotalTime>
  <Pages>4</Pages>
  <Words>16836</Words>
  <Characters>95971</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37</cp:revision>
  <dcterms:created xsi:type="dcterms:W3CDTF">2021-05-28T10:06:00Z</dcterms:created>
  <dcterms:modified xsi:type="dcterms:W3CDTF">2021-09-10T13:59:00Z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