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4EB06" w14:textId="3AAF3C4D" w:rsidR="00612128" w:rsidRPr="00541021" w:rsidRDefault="00541021">
      <w:pPr>
        <w:rPr>
          <w:b/>
          <w:bCs/>
          <w:sz w:val="28"/>
          <w:szCs w:val="28"/>
        </w:rPr>
      </w:pPr>
      <w:r w:rsidRPr="00541021">
        <w:rPr>
          <w:b/>
          <w:bCs/>
          <w:sz w:val="28"/>
          <w:szCs w:val="28"/>
        </w:rPr>
        <w:t>Chapter 3</w:t>
      </w:r>
    </w:p>
    <w:p w14:paraId="620DC01F" w14:textId="160C13B2" w:rsidR="00CA3825" w:rsidRPr="00CA3825" w:rsidRDefault="00CA3825">
      <w:pPr>
        <w:rPr>
          <w:b/>
          <w:bCs/>
          <w:u w:val="single"/>
        </w:rPr>
      </w:pPr>
      <w:r>
        <w:rPr>
          <w:b/>
          <w:bCs/>
          <w:u w:val="single"/>
        </w:rPr>
        <w:t>Section A (conservation investment)</w:t>
      </w:r>
    </w:p>
    <w:p w14:paraId="36BA8668" w14:textId="5A993811" w:rsidR="00CA3825" w:rsidRPr="00CA3825" w:rsidRDefault="00CA3825">
      <w:pPr>
        <w:rPr>
          <w:i/>
          <w:iCs/>
        </w:rPr>
      </w:pPr>
      <w:r>
        <w:rPr>
          <w:i/>
          <w:iCs/>
        </w:rPr>
        <w:t>Because the chapter is going to be in two sections, I think I want to avoid</w:t>
      </w:r>
      <w:r w:rsidR="002D0B72">
        <w:rPr>
          <w:i/>
          <w:iCs/>
        </w:rPr>
        <w:t xml:space="preserve"> big overarching sentences about deforestation, as these will end up being repeated. I think it will be better to make statements about deforestation in the context of the main subject i.e. either conservation investment or PES. </w:t>
      </w:r>
    </w:p>
    <w:p w14:paraId="537F7801" w14:textId="77777777" w:rsidR="00CA3825" w:rsidRDefault="00CA3825">
      <w:pPr>
        <w:rPr>
          <w:b/>
          <w:bCs/>
        </w:rPr>
      </w:pPr>
    </w:p>
    <w:p w14:paraId="09A543AC" w14:textId="2CC31814" w:rsidR="00541021" w:rsidRDefault="00541021">
      <w:pPr>
        <w:rPr>
          <w:b/>
          <w:bCs/>
        </w:rPr>
      </w:pPr>
      <w:commentRangeStart w:id="0"/>
      <w:r>
        <w:rPr>
          <w:b/>
          <w:bCs/>
        </w:rPr>
        <w:t xml:space="preserve">Introduction </w:t>
      </w:r>
      <w:commentRangeEnd w:id="0"/>
      <w:r w:rsidR="00580838">
        <w:rPr>
          <w:rStyle w:val="CommentReference"/>
        </w:rPr>
        <w:commentReference w:id="0"/>
      </w:r>
    </w:p>
    <w:p w14:paraId="05ED7D1D" w14:textId="66D10588" w:rsidR="00036854" w:rsidRDefault="002D0B72">
      <w:r>
        <w:t>Global conservation funding is</w:t>
      </w:r>
      <w:r w:rsidR="0009789E">
        <w:t xml:space="preserve"> currently</w:t>
      </w:r>
      <w:r>
        <w:t xml:space="preserve"> inadequate to eliminat</w:t>
      </w:r>
      <w:r w:rsidR="0009789E">
        <w:t>e</w:t>
      </w:r>
      <w:r>
        <w:t xml:space="preserve"> biodiversity loss</w:t>
      </w:r>
      <w:r w:rsidR="00C4360E">
        <w:t xml:space="preserve"> </w:t>
      </w:r>
      <w:commentRangeStart w:id="1"/>
      <w:r w:rsidR="00C4360E">
        <w:fldChar w:fldCharType="begin"/>
      </w:r>
      <w:r w:rsidR="00C4360E">
        <w:instrText xml:space="preserve"> ADDIN ZOTERO_ITEM CSL_CITATION {"citationID":"IhTu8uGi","properties":{"formattedCitation":"(Waldron et al., 2013)","plainCitation":"(Waldron et al., 2013)","noteIndex":0},"citationItems":[{"id":2767,"uris":["http://zotero.org/users/2170232/items/UNZWDQU5"],"uri":["http://zotero.org/users/2170232/items/UNZWDQU5"],"itemData":{"id":2767,"type":"article-journal","abstract":"Inadequate funding levels are a major impediment to effective global biodiversity conservation and are likely associated with recent failures to meet United Nations biodiversity targets. Some countries are more severely underfunded than others and therefore represent urgent financial priorities. However, attempts to identify these highly underfunded countries have been hampered for decades by poor and incomplete data on actual spending, coupled with uncertainty and lack of consensus over the relative size of spending gaps. Here, we assemble a global database of annual conservation spending. We then develop a statistical model that explains 86% of variation in conservation expenditures, and use this to identify countries where funding is robustly below expected levels. The 40 most severely underfunded countries contain 32% of all threatened mammalian diversity and include neighbors in some of the world’s most biodiversity-rich areas (Sundaland, Wallacea, and Near Oceania). However, very modest increases in international assistance would achieve a large improvement in the relative adequacy of global conservation finance. Our results could therefore be quickly applied to limit immediate biodiversity losses at relatively little cost.","container-title":"Proceedings of the National Academy of Sciences","DOI":"10.1073/pnas.1221370110","ISSN":"0027-8424, 1091-6490","issue":"29","journalAbbreviation":"PNAS","language":"en","note":"publisher: National Academy of Sciences\nsection: Biological Sciences\nPMID: 23818619","page":"12144-12148","source":"www.pnas.org","title":"Targeting global conservation funding to limit immediate biodiversity declines","volume":"110","author":[{"family":"Waldron","given":"Anthony"},{"family":"Mooers","given":"Arne O."},{"family":"Miller","given":"Daniel C."},{"family":"Nibbelink","given":"Nate"},{"family":"Redding","given":"David"},{"family":"Kuhn","given":"Tyler S."},{"family":"Roberts","given":"J. Timmons"},{"family":"Gittleman","given":"John L."}],"issued":{"date-parts":[["2013",7,16]]}}}],"schema":"https://github.com/citation-style-language/schema/raw/master/csl-citation.json"} </w:instrText>
      </w:r>
      <w:r w:rsidR="00C4360E">
        <w:fldChar w:fldCharType="separate"/>
      </w:r>
      <w:r w:rsidR="00C4360E" w:rsidRPr="00C4360E">
        <w:rPr>
          <w:rFonts w:ascii="Calibri" w:hAnsi="Calibri" w:cs="Calibri"/>
        </w:rPr>
        <w:t>(Waldron et al., 2013)</w:t>
      </w:r>
      <w:r w:rsidR="00C4360E">
        <w:fldChar w:fldCharType="end"/>
      </w:r>
      <w:commentRangeEnd w:id="1"/>
      <w:r w:rsidR="00C4360E">
        <w:rPr>
          <w:rStyle w:val="CommentReference"/>
        </w:rPr>
        <w:commentReference w:id="1"/>
      </w:r>
      <w:r>
        <w:t>.</w:t>
      </w:r>
      <w:r w:rsidR="0009789E">
        <w:t xml:space="preserve"> </w:t>
      </w:r>
      <w:r w:rsidR="00DC39B6">
        <w:t>Previous e</w:t>
      </w:r>
      <w:r w:rsidR="0009789E">
        <w:t xml:space="preserve">stimates suggest that </w:t>
      </w:r>
      <w:r w:rsidR="00DC39B6">
        <w:t xml:space="preserve">in 2010 only 12% of the required $0.875 billion – $1.23 billion was being spent on conservation, leaving </w:t>
      </w:r>
      <w:r w:rsidR="0009789E">
        <w:t>the</w:t>
      </w:r>
      <w:r w:rsidR="00DC39B6">
        <w:t xml:space="preserve"> global</w:t>
      </w:r>
      <w:r w:rsidR="0009789E">
        <w:t xml:space="preserve"> conservation funding shortfall </w:t>
      </w:r>
      <w:r w:rsidR="00DC39B6">
        <w:t>in the order of</w:t>
      </w:r>
      <w:r w:rsidR="0009789E">
        <w:t xml:space="preserve"> </w:t>
      </w:r>
      <w:r w:rsidR="004829F6">
        <w:t>$0.77 billion - $1.08 billion (McCarthy et al 2012)</w:t>
      </w:r>
      <w:r w:rsidR="0009789E">
        <w:t>.</w:t>
      </w:r>
      <w:r w:rsidR="004829F6">
        <w:t xml:space="preserve"> Although global estimates such as these are unlikely to be accurate, the order of magnitude conveys the scale of the funding challenge.</w:t>
      </w:r>
      <w:r w:rsidR="0009789E">
        <w:t xml:space="preserve"> </w:t>
      </w:r>
      <w:r>
        <w:t xml:space="preserve">Therefore, to have the greatest positive effect on </w:t>
      </w:r>
      <w:r w:rsidR="00DD4CC6">
        <w:t xml:space="preserve">the </w:t>
      </w:r>
      <w:r>
        <w:t>conservation</w:t>
      </w:r>
      <w:r w:rsidR="00DD4CC6">
        <w:t xml:space="preserve"> of biodiversity</w:t>
      </w:r>
      <w:r>
        <w:t xml:space="preserve"> as possible, managers</w:t>
      </w:r>
      <w:r w:rsidR="00DD4CC6">
        <w:t xml:space="preserve"> and conservationists</w:t>
      </w:r>
      <w:r>
        <w:t xml:space="preserve"> need to ensure</w:t>
      </w:r>
      <w:r w:rsidR="004829F6">
        <w:t xml:space="preserve"> the</w:t>
      </w:r>
      <w:r>
        <w:t xml:space="preserve"> investment of scarce resources is strategic and efficient</w:t>
      </w:r>
      <w:r w:rsidR="00E35EAE">
        <w:t>,</w:t>
      </w:r>
      <w:r w:rsidR="0009789E">
        <w:t xml:space="preserve"> </w:t>
      </w:r>
      <w:r w:rsidR="00DD4CC6">
        <w:t xml:space="preserve">and </w:t>
      </w:r>
      <w:r w:rsidR="00933591">
        <w:t xml:space="preserve">they </w:t>
      </w:r>
      <w:r w:rsidR="004829F6">
        <w:t>must</w:t>
      </w:r>
      <w:r w:rsidR="00DD4CC6">
        <w:t xml:space="preserve"> strive to maximise the biodiversity outcomes of each dollar spent</w:t>
      </w:r>
      <w:r w:rsidR="00ED006C">
        <w:t xml:space="preserve"> </w:t>
      </w:r>
      <w:r w:rsidR="00ED006C">
        <w:fldChar w:fldCharType="begin"/>
      </w:r>
      <w:r w:rsidR="00C4360E">
        <w:instrText xml:space="preserve"> ADDIN ZOTERO_ITEM CSL_CITATION {"citationID":"4Q4WwWpB","properties":{"formattedCitation":"(Bruner et al., 2004; McBride et al., 2007; Waldron et al., 2013)","plainCitation":"(Bruner et al., 2004; McBride et al., 2007; Waldron et al., 2013)","noteIndex":0},"citationItems":[{"id":2304,"uris":["http://zotero.org/users/2170232/items/C89PR7SM"],"uri":["http://zotero.org/users/2170232/items/C89PR7SM"],"itemData":{"id":2304,"type":"article-journal","abstract":"Underfunding jeopardizes the ability of protected areas to safeguard biodiversity and the benefits that intact nature provides to society. In this article, we evaluate the cost of effectively managing all existing protected areas in developing countries, as well as the cost of expansion into high-priority new areas. We find that recent studies converge on a funding shortfall of $1 billion to $1.7 billion per year to manage all existing areas. The costs of establishing and managing an expanded protected-area system would total at least $4 billion per year over the next decade, an amount that far exceeds current spending but is well within the reach of the international community. These findings indicate the need for rapid action to mobilize significant new resources for the developing world's protected areas. In particular, this will require (a) the use of a range of tools to generate funds and improve efficiency of management; (b) greater precision and better communication of the costs and benefits of protected areas, both locally and globally; and (c) increased, stable support from developed countries for on-the-ground management of protected-area systems in developing countries.","container-title":"BioScience","DOI":"10.1641/0006-3568(2004)054[1119:FCASOM]2.0.CO;2","ISSN":"0006-3568","issue":"12","journalAbbreviation":"BioScience","page":"1119-1126","source":"Silverchair","title":"Financial Costs and Shortfalls of Managing and Expanding Protected-Area Systems in Developing Countries","volume":"54","author":[{"family":"Bruner","given":"Aaron G."},{"family":"Gullison","given":"Raymond E."},{"family":"Balmford","given":"Andrew"}],"issued":{"date-parts":[["2004",12,1]]}}},{"id":2669,"uris":["http://zotero.org/users/2170232/items/QMAFUJVY"],"uri":["http://zotero.org/users/2170232/items/QMAFUJVY"],"itemData":{"id":2669,"type":"article-journal","abstract":"Abstract: Uncertainty in the implementation and outcomes of conservation actions that is not accounted for leaves conservation plans vulnerable to potential changes in future conditions. We used a decision-theoretic approach to investigate the effects of two types of investment uncertainty on the optimal allocation of global conservation resources for land acquisition in the Mediterranean Basin. We considered uncertainty about (1) whether investment will continue and (2) whether the acquired biodiversity assets are secure, which we termed transaction uncertainty and performance uncertainty, respectively. We also developed and tested the robustness of different rules of thumb for guiding the allocation of conservation resources when these sources of uncertainty exist. In the presence of uncertainty in future investment ability (transaction uncertainty), the optimal strategy was opportunistic, meaning the investment priority should be to act where uncertainty is highest while investment remains possible. When there was a probability that investments would fail (performance uncertainty), the optimal solution became a complex trade-off between the immediate biodiversity benefits of acting in a region and the perceived longevity of the investment. In general, regions were prioritized for investment when they had the greatest performance certainty, even if an alternative region was highly threatened or had higher biodiversity value. The improved performance of rules of thumb when accounting for uncertainty highlights the importance of explicitly incorporating sources of investment uncertainty and evaluating potential conservation investments in the context of their likely long-term success.","container-title":"Conservation Biology","DOI":"https://doi.org/10.1111/j.1523-1739.2007.00832.x","ISSN":"1523-1739","issue":"6","language":"en","note":"_eprint: https://conbio.onlinelibrary.wiley.com/doi/pdf/10.1111/j.1523-1739.2007.00832.x","page":"1463-1474","source":"Wiley Online Library","title":"Incorporating the Effects of Socioeconomic Uncertainty into Priority Setting for Conservation Investment","volume":"21","author":[{"family":"McBride","given":"Marissa F."},{"family":"Wilson","given":"Kerrie A."},{"family":"Bode","given":"Michael"},{"family":"Possingham","given":"Hugh P."}],"issued":{"date-parts":[["2007"]]}}},{"id":2767,"uris":["http://zotero.org/users/2170232/items/UNZWDQU5"],"uri":["http://zotero.org/users/2170232/items/UNZWDQU5"],"itemData":{"id":2767,"type":"article-journal","abstract":"Inadequate funding levels are a major impediment to effective global biodiversity conservation and are likely associated with recent failures to meet United Nations biodiversity targets. Some countries are more severely underfunded than others and therefore represent urgent financial priorities. However, attempts to identify these highly underfunded countries have been hampered for decades by poor and incomplete data on actual spending, coupled with uncertainty and lack of consensus over the relative size of spending gaps. Here, we assemble a global database of annual conservation spending. We then develop a statistical model that explains 86% of variation in conservation expenditures, and use this to identify countries where funding is robustly below expected levels. The 40 most severely underfunded countries contain 32% of all threatened mammalian diversity and include neighbors in some of the world’s most biodiversity-rich areas (Sundaland, Wallacea, and Near Oceania). However, very modest increases in international assistance would achieve a large improvement in the relative adequacy of global conservation finance. Our results could therefore be quickly applied to limit immediate biodiversity losses at relatively little cost.","container-title":"Proceedings of the National Academy of Sciences","DOI":"10.1073/pnas.1221370110","ISSN":"0027-8424, 1091-6490","issue":"29","journalAbbreviation":"PNAS","language":"en","note":"publisher: National Academy of Sciences\nsection: Biological Sciences\nPMID: 23818619","page":"12144-12148","source":"www.pnas.org","title":"Targeting global conservation funding to limit immediate biodiversity declines","volume":"110","author":[{"family":"Waldron","given":"Anthony"},{"family":"Mooers","given":"Arne O."},{"family":"Miller","given":"Daniel C."},{"family":"Nibbelink","given":"Nate"},{"family":"Redding","given":"David"},{"family":"Kuhn","given":"Tyler S."},{"family":"Roberts","given":"J. Timmons"},{"family":"Gittleman","given":"John L."}],"issued":{"date-parts":[["2013",7,16]]}}}],"schema":"https://github.com/citation-style-language/schema/raw/master/csl-citation.json"} </w:instrText>
      </w:r>
      <w:r w:rsidR="00ED006C">
        <w:fldChar w:fldCharType="separate"/>
      </w:r>
      <w:r w:rsidR="00C4360E" w:rsidRPr="00C4360E">
        <w:rPr>
          <w:rFonts w:ascii="Calibri" w:hAnsi="Calibri" w:cs="Calibri"/>
        </w:rPr>
        <w:t>(Bruner et al., 2004; McBride et al., 2007; Waldron et al., 2013)</w:t>
      </w:r>
      <w:r w:rsidR="00ED006C">
        <w:fldChar w:fldCharType="end"/>
      </w:r>
      <w:r w:rsidR="00DD4CC6">
        <w:t>.</w:t>
      </w:r>
      <w:r>
        <w:t xml:space="preserve"> </w:t>
      </w:r>
    </w:p>
    <w:p w14:paraId="6A35E940" w14:textId="228985D4" w:rsidR="00FB5AF9" w:rsidRDefault="002D0B72">
      <w:r>
        <w:t xml:space="preserve">Investing conservation funds strategically </w:t>
      </w:r>
      <w:r w:rsidR="00933591">
        <w:t xml:space="preserve">over time </w:t>
      </w:r>
      <w:r>
        <w:t>is made more difficult by the</w:t>
      </w:r>
      <w:r w:rsidR="0009789E">
        <w:t xml:space="preserve"> dominant</w:t>
      </w:r>
      <w:r>
        <w:t xml:space="preserve"> funding model that exists</w:t>
      </w:r>
      <w:r w:rsidR="0009789E">
        <w:t xml:space="preserve"> in conservation</w:t>
      </w:r>
      <w:r w:rsidR="001840CA">
        <w:t xml:space="preserve"> which is based on short-term grants </w:t>
      </w:r>
      <w:r w:rsidR="00F2118A">
        <w:t xml:space="preserve">that </w:t>
      </w:r>
      <w:r w:rsidR="001840CA">
        <w:t xml:space="preserve">generally </w:t>
      </w:r>
      <w:r w:rsidR="00F2118A">
        <w:t>last between one and five</w:t>
      </w:r>
      <w:r w:rsidR="001840CA">
        <w:t xml:space="preserve"> years</w:t>
      </w:r>
      <w:r w:rsidR="00F2118A">
        <w:t xml:space="preserve"> </w:t>
      </w:r>
      <w:r w:rsidR="00F2118A">
        <w:fldChar w:fldCharType="begin"/>
      </w:r>
      <w:r w:rsidR="00F2118A">
        <w:instrText xml:space="preserve"> ADDIN ZOTERO_ITEM CSL_CITATION {"citationID":"zhox8p6I","properties":{"formattedCitation":"(Hodge and Adams, 2016)","plainCitation":"(Hodge and Adams, 2016)","noteIndex":0},"citationItems":[{"id":2770,"uris":["http://zotero.org/users/2170232/items/G4E99ZXN"],"uri":["http://zotero.org/users/2170232/items/G4E99ZXN"],"itemData":{"id":2770,"type":"article-journal","abstract":"Drawing on a survey of large-scale ecological restoration initiatives, we find that managers face contradictory demands. On the one hand, they have to raise funds from a variety of sources through competitive procedures for individual projects. These projects require the specification of deliverable outputs within a relatively short project period. On the other hand, ecologists argue that the complexity of ecosystem processes means that it is not possible to know how to deliver predetermined outcomes and that governance should be adaptive, long-term and implemented through networks of stakeholders. This debate parallels a debate in public administration between New Public Management and more recent proposals for a new approach, sometimes termed Public Value Management. Both of these approaches have strengths. Projectification provides control and accountability to funders. Adaptive governance recognises complexity and provides for long-term learning, building networks and adaptive responses. We suggest an institutional architecture that aims to capture the major benefits of each approach based on public support dedicated to ecological restoration and long-term funding programmes.","container-title":"Land","DOI":"10.3390/land5040039","issue":"4","language":"en","note":"number: 4\npublisher: Multidisciplinary Digital Publishing Institute","page":"39","source":"www.mdpi.com","title":"Short-Term Projects versus Adaptive Governance: Conflicting Demands in the Management of Ecological Restoration","title-short":"Short-Term Projects versus Adaptive Governance","volume":"5","author":[{"family":"Hodge","given":"Ian"},{"family":"Adams","given":"William M."}],"issued":{"date-parts":[["2016",12]]}}}],"schema":"https://github.com/citation-style-language/schema/raw/master/csl-citation.json"} </w:instrText>
      </w:r>
      <w:r w:rsidR="00F2118A">
        <w:fldChar w:fldCharType="separate"/>
      </w:r>
      <w:r w:rsidR="00F2118A" w:rsidRPr="00F2118A">
        <w:rPr>
          <w:rFonts w:ascii="Calibri" w:hAnsi="Calibri" w:cs="Calibri"/>
        </w:rPr>
        <w:t>(Hodge and Adams, 2016)</w:t>
      </w:r>
      <w:r w:rsidR="00F2118A">
        <w:fldChar w:fldCharType="end"/>
      </w:r>
      <w:r>
        <w:t>. Most conservation projects</w:t>
      </w:r>
      <w:r w:rsidR="001840CA">
        <w:t xml:space="preserve"> or initiatives, even in wealthy countries with relatively well-funded protected area networks,</w:t>
      </w:r>
      <w:r>
        <w:t xml:space="preserve"> rely on</w:t>
      </w:r>
      <w:r w:rsidR="001840CA">
        <w:t xml:space="preserve"> such</w:t>
      </w:r>
      <w:r w:rsidR="0009789E">
        <w:t xml:space="preserve"> short-term</w:t>
      </w:r>
      <w:r>
        <w:t xml:space="preserve"> grants to </w:t>
      </w:r>
      <w:r w:rsidR="0009789E">
        <w:t>launch</w:t>
      </w:r>
      <w:r>
        <w:t xml:space="preserve"> </w:t>
      </w:r>
      <w:r w:rsidR="0009789E">
        <w:t>programmes, conduct research, and implement key activities such as training, engagement,</w:t>
      </w:r>
      <w:r w:rsidR="00E35EAE">
        <w:t xml:space="preserve"> enforcement,</w:t>
      </w:r>
      <w:r w:rsidR="0009789E">
        <w:t xml:space="preserve"> and outreach. </w:t>
      </w:r>
      <w:r w:rsidR="001840CA">
        <w:t xml:space="preserve">This funding model results in long-term budgets that are non-linear, </w:t>
      </w:r>
      <w:r w:rsidR="00933591">
        <w:t xml:space="preserve">often </w:t>
      </w:r>
      <w:r w:rsidR="001840CA">
        <w:t>unpredictable</w:t>
      </w:r>
      <w:r w:rsidR="00DD4CC6">
        <w:t>, and do not necessarily track changes in threat</w:t>
      </w:r>
      <w:r w:rsidR="00933591">
        <w:t xml:space="preserve"> levels</w:t>
      </w:r>
      <w:r w:rsidR="001840CA">
        <w:t>. The financial stability of a conservation project, or organisation, is reliant on the ability to leverage external funding through grant applications, which are inherently competitive and have a low success rate. Therefore, conservation projects go through periods of relative affluence whe</w:t>
      </w:r>
      <w:r w:rsidR="00580838">
        <w:t>n</w:t>
      </w:r>
      <w:r w:rsidR="001840CA">
        <w:t xml:space="preserve"> </w:t>
      </w:r>
      <w:r w:rsidR="00580838">
        <w:t xml:space="preserve">conservation activities (such as enforcement, policy interventions, community engagement) can increase in scope and scale, ultimately leading to net benefits for nature. The same projects will inevitably go through periods of financial hardship, which often occur in between grants. During these periods financial expenditure is restricted to minimal core activities, </w:t>
      </w:r>
      <w:r w:rsidR="00A026B2">
        <w:t xml:space="preserve">project activities wind down, staff redundancies occur, and initiatives end. These periods can have serious negative effects on conservation projects. </w:t>
      </w:r>
      <w:r w:rsidR="00DD4CC6">
        <w:t>Organisations</w:t>
      </w:r>
      <w:r w:rsidR="00A026B2">
        <w:t xml:space="preserve"> lose talented staff and institutional knowledge, trust between stakeholders and the project</w:t>
      </w:r>
      <w:r w:rsidR="00933591">
        <w:t xml:space="preserve"> or </w:t>
      </w:r>
      <w:r w:rsidR="00A026B2">
        <w:t>organisation can be lost as commitments may not be met</w:t>
      </w:r>
      <w:r w:rsidR="00E35EAE">
        <w:t>,</w:t>
      </w:r>
      <w:r w:rsidR="00A026B2">
        <w:t xml:space="preserve"> </w:t>
      </w:r>
      <w:r w:rsidR="00F406BD">
        <w:t>and</w:t>
      </w:r>
      <w:r w:rsidR="00DD4CC6">
        <w:t xml:space="preserve"> stakeholders may view the project as unreliable due to inconsistent support</w:t>
      </w:r>
      <w:r w:rsidR="00F406BD">
        <w:t>.</w:t>
      </w:r>
      <w:r w:rsidR="00A026B2">
        <w:t xml:space="preserve"> </w:t>
      </w:r>
      <w:r w:rsidR="00F406BD">
        <w:t>In many parts of the world where unregulated or illegal activities such as forest clearance and hunting of wildlife threaten conservation landscapes, periods of financial hardship can cause increases in these activities as project support for enforcement, engagement, outreach, and overall project visibility decreases.</w:t>
      </w:r>
      <w:r w:rsidR="00F2118A">
        <w:t xml:space="preserve"> </w:t>
      </w:r>
    </w:p>
    <w:p w14:paraId="5C77AB80" w14:textId="3EE788DD" w:rsidR="00FB5AF9" w:rsidRPr="00FB5AF9" w:rsidRDefault="00FB5AF9">
      <w:pPr>
        <w:rPr>
          <w:i/>
          <w:iCs/>
        </w:rPr>
      </w:pPr>
      <w:r w:rsidRPr="00FB5AF9">
        <w:rPr>
          <w:i/>
          <w:iCs/>
        </w:rPr>
        <w:t>Paragraph with more details about the different types of grants (see outline, para 2)</w:t>
      </w:r>
    </w:p>
    <w:p w14:paraId="57A99B22" w14:textId="0856E5DE" w:rsidR="006F5B1B" w:rsidRDefault="00FB5AF9">
      <w:r>
        <w:t>T</w:t>
      </w:r>
      <w:r w:rsidR="00F2118A">
        <w:t xml:space="preserve">he </w:t>
      </w:r>
      <w:r w:rsidR="001D3DF5">
        <w:t>long-term cycle of</w:t>
      </w:r>
      <w:r w:rsidR="00F2118A">
        <w:t xml:space="preserve"> </w:t>
      </w:r>
      <w:r w:rsidR="00174F81">
        <w:t>organisations</w:t>
      </w:r>
      <w:r w:rsidR="00F2118A">
        <w:t xml:space="preserve"> apply</w:t>
      </w:r>
      <w:r w:rsidR="001D3DF5">
        <w:t>ing</w:t>
      </w:r>
      <w:r w:rsidR="00F2118A">
        <w:t xml:space="preserve"> for grants</w:t>
      </w:r>
      <w:r w:rsidR="001D3DF5">
        <w:t xml:space="preserve"> to maintain budgets</w:t>
      </w:r>
      <w:r w:rsidR="00F2118A">
        <w:t xml:space="preserve"> leads to ‘projectification’, whereby control over conservation activities, interventions, and </w:t>
      </w:r>
      <w:r w:rsidR="0049467C">
        <w:t>strategic direction</w:t>
      </w:r>
      <w:r w:rsidR="00F2118A">
        <w:t xml:space="preserve"> is ceded to funders, as conservation organisations</w:t>
      </w:r>
      <w:r w:rsidR="0049467C">
        <w:t xml:space="preserve"> adapt to funding trends and specific funder interests in an effort to remain competitive</w:t>
      </w:r>
      <w:r>
        <w:t xml:space="preserve"> and maintain project funding</w:t>
      </w:r>
      <w:r w:rsidR="00F01CE0">
        <w:t xml:space="preserve"> </w:t>
      </w:r>
      <w:r w:rsidR="00F01CE0">
        <w:fldChar w:fldCharType="begin"/>
      </w:r>
      <w:r w:rsidR="00F01CE0">
        <w:instrText xml:space="preserve"> ADDIN ZOTERO_ITEM CSL_CITATION {"citationID":"ZslJeNkT","properties":{"formattedCitation":"(Hodge and Adams, 2016)","plainCitation":"(Hodge and Adams, 2016)","noteIndex":0},"citationItems":[{"id":2770,"uris":["http://zotero.org/users/2170232/items/G4E99ZXN"],"uri":["http://zotero.org/users/2170232/items/G4E99ZXN"],"itemData":{"id":2770,"type":"article-journal","abstract":"Drawing on a survey of large-scale ecological restoration initiatives, we find that managers face contradictory demands. On the one hand, they have to raise funds from a variety of sources through competitive procedures for individual projects. These projects require the specification of deliverable outputs within a relatively short project period. On the other hand, ecologists argue that the complexity of ecosystem processes means that it is not possible to know how to deliver predetermined outcomes and that governance should be adaptive, long-term and implemented through networks of stakeholders. This debate parallels a debate in public administration between New Public Management and more recent proposals for a new approach, sometimes termed Public Value Management. Both of these approaches have strengths. Projectification provides control and accountability to funders. Adaptive governance recognises complexity and provides for long-term learning, building networks and adaptive responses. We suggest an institutional architecture that aims to capture the major benefits of each approach based on public support dedicated to ecological restoration and long-term funding programmes.","container-title":"Land","DOI":"10.3390/land5040039","issue":"4","language":"en","note":"number: 4\npublisher: Multidisciplinary Digital Publishing Institute","page":"39","source":"www.mdpi.com","title":"Short-Term Projects versus Adaptive Governance: Conflicting Demands in the Management of Ecological Restoration","title-short":"Short-Term Projects versus Adaptive Governance","volume":"5","author":[{"family":"Hodge","given":"Ian"},{"family":"Adams","given":"William M."}],"issued":{"date-parts":[["2016",12]]}}}],"schema":"https://github.com/citation-style-language/schema/raw/master/csl-citation.json"} </w:instrText>
      </w:r>
      <w:r w:rsidR="00F01CE0">
        <w:fldChar w:fldCharType="separate"/>
      </w:r>
      <w:r w:rsidR="00F01CE0" w:rsidRPr="0049467C">
        <w:rPr>
          <w:rFonts w:ascii="Calibri" w:hAnsi="Calibri" w:cs="Calibri"/>
        </w:rPr>
        <w:t>(Hodge and Adams, 2016)</w:t>
      </w:r>
      <w:r w:rsidR="00F01CE0">
        <w:fldChar w:fldCharType="end"/>
      </w:r>
      <w:r w:rsidR="0049467C">
        <w:t>.</w:t>
      </w:r>
      <w:r w:rsidR="001D3DF5">
        <w:t xml:space="preserve"> Nevertheless, many conservation projects are unable to fund activities through other means.</w:t>
      </w:r>
      <w:r>
        <w:t xml:space="preserve"> </w:t>
      </w:r>
      <w:r w:rsidR="006F5B1B">
        <w:t xml:space="preserve">Grants </w:t>
      </w:r>
      <w:r w:rsidR="006F5B1B">
        <w:lastRenderedPageBreak/>
        <w:t>for conservation activities vary in size and duration, with larger</w:t>
      </w:r>
      <w:r w:rsidR="005B3788">
        <w:t xml:space="preserve">, long-term </w:t>
      </w:r>
      <w:r w:rsidR="001D3DF5">
        <w:t>grants</w:t>
      </w:r>
      <w:r w:rsidR="001D3DF5">
        <w:t xml:space="preserve"> </w:t>
      </w:r>
      <w:r w:rsidR="005B3788">
        <w:t>(between three and five years)</w:t>
      </w:r>
      <w:r w:rsidR="006F5B1B">
        <w:t xml:space="preserve"> often requiring significant investments </w:t>
      </w:r>
      <w:r w:rsidR="001D3DF5">
        <w:t>in</w:t>
      </w:r>
      <w:r w:rsidR="006F5B1B">
        <w:t xml:space="preserve"> staff time for the development of applications, and substantial administrative capacity to manage the grant if it is awarded.</w:t>
      </w:r>
      <w:r w:rsidR="005B3788">
        <w:t xml:space="preserve"> Such grants are often awarded by international financial institutions (e.g, the World Bank) or international development agencies (e.g., the United States Agency for International Development), and often come with complex rules governing procurement, accounting, reporting, and attribution (e.g., branding).</w:t>
      </w:r>
      <w:r w:rsidR="006F5B1B">
        <w:t xml:space="preserve"> These requirements often preclude smaller organisations that do not have in-house fundraising teams or large financial</w:t>
      </w:r>
      <w:r w:rsidR="005B3788">
        <w:t xml:space="preserve"> management and administrative</w:t>
      </w:r>
      <w:r w:rsidR="006F5B1B">
        <w:t xml:space="preserve"> capacity.</w:t>
      </w:r>
      <w:r w:rsidR="005B3788">
        <w:t xml:space="preserve"> Alternatively, conservation organisations can apply for smaller, short-term </w:t>
      </w:r>
      <w:r w:rsidR="001D3DF5">
        <w:t xml:space="preserve">grants </w:t>
      </w:r>
      <w:r w:rsidR="005B3788">
        <w:t>(between 1 and 3 years) which are often targeted towards specific species, habitats, or activities</w:t>
      </w:r>
      <w:r w:rsidR="001D3DF5">
        <w:t xml:space="preserve"> (e.g., the United States Fish and Wildlife Service Asian Elephant Conservation Fund, and the UK government’s Darwin Initiative)</w:t>
      </w:r>
      <w:r w:rsidR="005B3788">
        <w:t>.</w:t>
      </w:r>
      <w:r w:rsidR="001A02E0">
        <w:t xml:space="preserve"> The smaller grants require less staff time for the application process and subsequent grant </w:t>
      </w:r>
      <w:r w:rsidR="00174F81">
        <w:t>management yet</w:t>
      </w:r>
      <w:r w:rsidR="001A02E0">
        <w:t xml:space="preserve"> can be limited in the amount of the award that can be spent on overheads, fixed costs, and other core project expenditure such as salaries, fuel, office space, and utilities. </w:t>
      </w:r>
      <w:r w:rsidR="00174F81">
        <w:t>This results in the core operational budgets of smaller projects or organisations comprising small percentages of multiple short-term grants, leading to insecure and unstable core budgets that can fluctuate from year to year. Budgets such as this preclude long-term strategic planning for investment of funds and conservation action</w:t>
      </w:r>
      <w:r w:rsidR="00561CD2">
        <w:t xml:space="preserve"> </w:t>
      </w:r>
      <w:r w:rsidR="00561CD2">
        <w:fldChar w:fldCharType="begin"/>
      </w:r>
      <w:r w:rsidR="00561CD2">
        <w:instrText xml:space="preserve"> ADDIN ZOTERO_ITEM CSL_CITATION {"citationID":"1oIC00Rq","properties":{"formattedCitation":"(Emerton et al., 2006)","plainCitation":"(Emerton et al., 2006)","noteIndex":0},"citationItems":[{"id":2774,"uris":["http://zotero.org/users/2170232/items/EZKK5V4T"],"uri":["http://zotero.org/users/2170232/items/EZKK5V4T"],"itemData":{"id":2774,"type":"book","collection-title":"Best Practice Protected Area Guidlines","event-place":"Gland, Switzerland","ISBN":"2-8317-0881-8","publisher":"IUCN","publisher-place":"Gland, Switzerland","title":"Sustainable financing of protected areas - A global review of challenges and options","author":[{"family":"Emerton","given":"Lucy"},{"family":"Bishop","given":"Joshua"},{"family":"Thomas","given":"Lee"}],"issued":{"date-parts":[["2006"]]}}}],"schema":"https://github.com/citation-style-language/schema/raw/master/csl-citation.json"} </w:instrText>
      </w:r>
      <w:r w:rsidR="00561CD2">
        <w:fldChar w:fldCharType="separate"/>
      </w:r>
      <w:r w:rsidR="00561CD2" w:rsidRPr="00561CD2">
        <w:rPr>
          <w:rFonts w:ascii="Calibri" w:hAnsi="Calibri" w:cs="Calibri"/>
        </w:rPr>
        <w:t>(Emerton et al., 2006)</w:t>
      </w:r>
      <w:r w:rsidR="00561CD2">
        <w:fldChar w:fldCharType="end"/>
      </w:r>
      <w:r w:rsidR="00174F81">
        <w:t xml:space="preserve">. </w:t>
      </w:r>
      <w:r w:rsidR="001A02E0">
        <w:t xml:space="preserve">   </w:t>
      </w:r>
      <w:r w:rsidR="005B3788">
        <w:t xml:space="preserve"> </w:t>
      </w:r>
      <w:r w:rsidR="006F5B1B">
        <w:t xml:space="preserve">  </w:t>
      </w:r>
      <w:r w:rsidR="0049467C">
        <w:t xml:space="preserve"> </w:t>
      </w:r>
      <w:r w:rsidR="00F2118A">
        <w:t xml:space="preserve">   </w:t>
      </w:r>
      <w:r w:rsidR="00F406BD">
        <w:t xml:space="preserve">   </w:t>
      </w:r>
      <w:r w:rsidR="00A026B2">
        <w:t xml:space="preserve"> </w:t>
      </w:r>
      <w:r w:rsidR="00580838">
        <w:t xml:space="preserve"> </w:t>
      </w:r>
    </w:p>
    <w:p w14:paraId="7776CE01" w14:textId="41982642" w:rsidR="00ED006C" w:rsidRDefault="00433A2B">
      <w:pPr>
        <w:rPr>
          <w:i/>
          <w:iCs/>
        </w:rPr>
      </w:pPr>
      <w:r>
        <w:t xml:space="preserve"> </w:t>
      </w:r>
      <w:r w:rsidR="00ED006C" w:rsidRPr="006F5B1B">
        <w:rPr>
          <w:i/>
          <w:iCs/>
        </w:rPr>
        <w:t>Paragraph or two on other studies – most are about allocating funding over space</w:t>
      </w:r>
    </w:p>
    <w:p w14:paraId="5EAA86FD" w14:textId="161856DF" w:rsidR="00FC087C" w:rsidRDefault="00700CBF">
      <w:r>
        <w:t xml:space="preserve">Reliance on limited duration grants rather than permanent core funding is one cause of the global conservation funding shortfall. </w:t>
      </w:r>
      <w:r w:rsidR="00FC087C">
        <w:t xml:space="preserve">Protected areas are the cornerstones of landscape-level conservation, yet up to 75% are severely underfunded </w:t>
      </w:r>
      <w:r w:rsidR="00FC087C">
        <w:fldChar w:fldCharType="begin"/>
      </w:r>
      <w:r w:rsidR="00FC087C">
        <w:instrText xml:space="preserve"> ADDIN ZOTERO_ITEM CSL_CITATION {"citationID":"cKPW1API","properties":{"formattedCitation":"(Coad et al., 2019)","plainCitation":"(Coad et al., 2019)","noteIndex":0},"citationItems":[{"id":2020,"uris":["http://zotero.org/users/2170232/items/79MMDRKM"],"uri":["http://zotero.org/users/2170232/items/79MMDRKM"],"itemData":{"id":2020,"type":"article-journal","abstract":"Protected areas (PAs) are a key tool in efforts to safeguard biodiversity against increasing anthropogenic threats. As signatories to the 2011–2020 Strategic Plan for Biodiversity, 196 nations pledged support for expansion in the extent of the global PA estate and the quality of PA management. While this has resulted in substantial increases in PA designations, many sites lack the resources needed to guarantee effective biodiversity conservation. Using management reports from 2167 PAs (with an area representing 23% of the global terrestrial PA estate), we demonstrate that less than a quarter of these PAs report having adequate resources in terms of staffing and budget. Using data on the geographic ranges of the 11,919 terrestrial vertebrate species overlapping our sample of PAs, we estimate that only 4–9% of terrestrial amphibians, birds, and mammals are sufficiently represented within the existing global PA estate, when only adequately resourced PAs are considered. While continued expansion of the world's PAs is necessary, a shift in emphasis from quantity to quality is critical to effectively respond to the current biodiversity crisis.","container-title":"Frontiers in Ecology and the Environment","DOI":"10.1002/fee.2042","ISSN":"1540-9309","issue":"5","language":"en","page":"259-264","source":"Wiley Online Library","title":"Widespread shortfalls in protected area resourcing undermine efforts to conserve biodiversity","volume":"17","author":[{"family":"Coad","given":"Lauren"},{"family":"Watson","given":"James EM"},{"family":"Geldmann","given":"Jonas"},{"family":"Burgess","given":"Neil D."},{"family":"Leverington","given":"Fiona"},{"family":"Hockings","given":"Marc"},{"family":"Knights","given":"Kathryn"},{"family":"Marco","given":"Moreno Di"}],"issued":{"date-parts":[["2019"]]}}}],"schema":"https://github.com/citation-style-language/schema/raw/master/csl-citation.json"} </w:instrText>
      </w:r>
      <w:r w:rsidR="00FC087C">
        <w:fldChar w:fldCharType="separate"/>
      </w:r>
      <w:r w:rsidR="00FC087C" w:rsidRPr="00FC087C">
        <w:rPr>
          <w:rFonts w:ascii="Calibri" w:hAnsi="Calibri" w:cs="Calibri"/>
        </w:rPr>
        <w:t>(Coad et al., 2019)</w:t>
      </w:r>
      <w:r w:rsidR="00FC087C">
        <w:fldChar w:fldCharType="end"/>
      </w:r>
      <w:r w:rsidR="00FC087C">
        <w:t>. Insufficient funding of protected land</w:t>
      </w:r>
      <w:r w:rsidR="0085488B">
        <w:t xml:space="preserve"> and sea</w:t>
      </w:r>
      <w:r w:rsidR="00FC087C">
        <w:t xml:space="preserve">scapes leads to poor management, ecological damage, and the loss of species and habitats </w:t>
      </w:r>
      <w:r w:rsidR="00FC087C">
        <w:fldChar w:fldCharType="begin"/>
      </w:r>
      <w:r w:rsidR="00FC087C">
        <w:instrText xml:space="preserve"> ADDIN ZOTERO_ITEM CSL_CITATION {"citationID":"wtGAOexZ","properties":{"formattedCitation":"(Kearney et al., 2020; Pringle, 2017)","plainCitation":"(Kearney et al., 2020; Pringle, 2017)","noteIndex":0},"citationItems":[{"id":2711,"uris":["http://zotero.org/users/2170232/items/UMA8FRZC"],"uri":["http://zotero.org/users/2170232/items/UMA8FRZC"],"itemData":{"id":2711,"type":"article-journal","abstract":"Protected areas are central to global efforts to prevent species extinctions, with many countries investing heavily in their establishment. Yet the designation of protected areas alone can only abate certain threats to biodiversity. Targeted management within protected areas is often required to achieve fully effective conservation within their boundaries. It remains unclear what combination of protected area designation and management is needed to remove the suite of processes that imperil species. Here, using Australia as a case study, we use a dataset on the pressures facing threatened species to determine the role of protected areas and management in conserving imperilled species. We found that protected areas that are not resourced for threat management could remove one or more threats to 1,185 (76%) species and all threats to very few (n = 51, 3%) species. In contrast, a protected area network that is adequately resourced to manage threatening processes within their boundary could remove one or more threats to almost all species (n = 1,551; c. 100%) and all threats to almost half (n = 740, 48%). However, 815 (52%) species face one or more threats that require coordinated conservation actions that protected areas alone could not remove. This research shows that investing in the continued expansion of Australia's protected area network without providing adequate funding for threat management within and beyond the existing protected area network will benefit few threatened species. These findings highlight that as the international community expands the global protected area network in accordance with the 2020 Strategic Plan for Biodiversity, a greater emphasis on the effectiveness of threat management is needed.","container-title":"Oryx","DOI":"10.1017/S0030605317001739","ISSN":"0030-6053, 1365-3008","issue":"2","language":"en","note":"publisher: Cambridge University Press","page":"276-284","source":"Cambridge University Press","title":"Estimating the benefit of well-managed protected areas for threatened species conservation","volume":"54","author":[{"family":"Kearney","given":"Stephen G."},{"family":"Adams","given":"Vanessa M."},{"family":"Fuller","given":"Richard A."},{"family":"Possingham","given":"Hugh P."},{"family":"Watson","given":"James E. M."}],"issued":{"date-parts":[["2020",3]]}}},{"id":2340,"uris":["http://zotero.org/users/2170232/items/B6QLG7LD"],"uri":["http://zotero.org/users/2170232/items/B6QLG7LD"],"itemData":{"id":2340,"type":"article-journal","abstract":"International agreements mandate the expansion of Earth's protected-area network as a bulwark against the continued extinction of wild populations, species, and ecosystems. Yet many protected areas are underfunded, poorly managed, and ecologically damaged; the conundrum is how to increase their coverage and effectiveness simultaneously. Innovative restoration and rewilding programmes in Costa Rica's Área de Conservación Guanacaste and Mozambique's Parque Nacional da Gorongosa highlight how degraded ecosystems can be rehabilitated, expanded, and woven into the cultural fabric of human societies. Worldwide, enormous potential for biodiversity conservation can be realized by upgrading existing nature reserves while harmonizing them with the needs and aspirations of their constituencies.","container-title":"Nature","DOI":"10.1038/nature22902","ISSN":"1476-4687","issue":"7656","language":"en","note":"number: 7656\npublisher: Nature Publishing Group","page":"91-99","source":"www.nature.com","title":"Upgrading protected areas to conserve wild biodiversity","volume":"546","author":[{"family":"Pringle","given":"Robert M."}],"issued":{"date-parts":[["2017",6]]}}}],"schema":"https://github.com/citation-style-language/schema/raw/master/csl-citation.json"} </w:instrText>
      </w:r>
      <w:r w:rsidR="00FC087C">
        <w:fldChar w:fldCharType="separate"/>
      </w:r>
      <w:r w:rsidR="00FC087C" w:rsidRPr="00FC087C">
        <w:rPr>
          <w:rFonts w:ascii="Calibri" w:hAnsi="Calibri" w:cs="Calibri"/>
        </w:rPr>
        <w:t>(Kearney et al., 2020; Pringle, 2017)</w:t>
      </w:r>
      <w:r w:rsidR="00FC087C">
        <w:fldChar w:fldCharType="end"/>
      </w:r>
      <w:r w:rsidR="00FC087C">
        <w:t xml:space="preserve">. </w:t>
      </w:r>
      <w:r w:rsidR="0085488B">
        <w:t>It is difficult to design and implement effective conservation action that targets the correct drivers at the correct spatial and temporal scale</w:t>
      </w:r>
      <w:r>
        <w:t>s</w:t>
      </w:r>
      <w:r w:rsidR="0085488B">
        <w:t xml:space="preserve"> when available funding </w:t>
      </w:r>
      <w:r>
        <w:t xml:space="preserve">is </w:t>
      </w:r>
      <w:r w:rsidR="0085488B">
        <w:t xml:space="preserve">consistently </w:t>
      </w:r>
      <w:r>
        <w:t>below</w:t>
      </w:r>
      <w:r w:rsidR="0085488B">
        <w:t xml:space="preserve"> what is required </w:t>
      </w:r>
      <w:r w:rsidR="0085488B">
        <w:fldChar w:fldCharType="begin"/>
      </w:r>
      <w:r w:rsidR="0085488B">
        <w:instrText xml:space="preserve"> ADDIN ZOTERO_ITEM CSL_CITATION {"citationID":"1CybcAjm","properties":{"formattedCitation":"(Tulloch et al., 2020)","plainCitation":"(Tulloch et al., 2020)","noteIndex":0},"citationItems":[{"id":2707,"uris":["http://zotero.org/users/2170232/items/TQ5YUEPN"],"uri":["http://zotero.org/users/2170232/items/TQ5YUEPN"],"itemData":{"id":2707,"type":"article-journal","abstract":"Stressors to marine ecosystems are increasing, driven by human activities in the sea and on land, and climate change. Cumulative impact maps highlight regions affected by multiple human activities, but efficient conservation investment requires linking dominant pressures to management actions that best address the particular drivers of impacts. We rebuild cumulative impact maps by stressor type (climate change, marine and land) at a global scale to evaluate the expected effectiveness of various management strategies for all coastal territories. Average cumulative impact from non-marine stressors (climate and land) was double those of marine impacts at a national level. The greatest climate impacts by country were in the waters of Pacific Island and Antarctic territories; in the Caspian Sea region and East-Asia for land impacts; and in the waters of European, East-Asian and Caribbean countries for marine impacts. We developed a conservation-effectiveness indicator for the 10 worst-impacted countries in each of the three stressor categories. The indicator considered common management tools for each stressor category: ecosystem-based adaptation and disaster risk reduction (climate), marine protected areas (marine) and integrated coastal management (land). Key disparities were found between broad-scale management of marine ecosystems and the dominant stressors, with existing management in tropical island nations likely insufficient to address intense impacts from climate change. These countries also typically had low performance on governance indicators, suggesting challenges in implementing new mitigation. We highlight trade-offs in making decisions for stressor mitigation and offer strategic guidance on identifying locations to target management of marine, land, or climate impacts.","container-title":"Biological Conservation","DOI":"10.1016/j.biocon.2020.108527","ISSN":"0006-3207","journalAbbreviation":"Biological Conservation","language":"en","page":"108527","source":"ScienceDirect","title":"Linking threat maps with management to guide conservation investment","volume":"245","author":[{"family":"Tulloch","given":"Vivitskaia J. D."},{"family":"Turschwell","given":"Mischa P."},{"family":"Giffin","given":"Alyssa L."},{"family":"Halpern","given":"Benjamin S."},{"family":"Connolly","given":"Rod"},{"family":"Griffiths","given":"Laura"},{"family":"Frazer","given":"Melanie"},{"family":"Brown","given":"Christopher J."}],"issued":{"date-parts":[["2020",5,1]]}}}],"schema":"https://github.com/citation-style-language/schema/raw/master/csl-citation.json"} </w:instrText>
      </w:r>
      <w:r w:rsidR="0085488B">
        <w:fldChar w:fldCharType="separate"/>
      </w:r>
      <w:r w:rsidR="0085488B" w:rsidRPr="0085488B">
        <w:rPr>
          <w:rFonts w:ascii="Calibri" w:hAnsi="Calibri" w:cs="Calibri"/>
        </w:rPr>
        <w:t>(Tulloch et al., 2020)</w:t>
      </w:r>
      <w:r w:rsidR="0085488B">
        <w:fldChar w:fldCharType="end"/>
      </w:r>
      <w:r w:rsidR="0085488B">
        <w:t xml:space="preserve">. In landscapes where harvesting of wildlife occurs, weak </w:t>
      </w:r>
      <w:r w:rsidR="0073155C">
        <w:t xml:space="preserve">management and </w:t>
      </w:r>
      <w:r w:rsidR="0085488B">
        <w:t>regulation</w:t>
      </w:r>
      <w:r w:rsidR="0073155C">
        <w:t xml:space="preserve">, which is a common symptom of chronic underfunding, can increase the probability of population collapse of the harvested species </w:t>
      </w:r>
      <w:r w:rsidR="0073155C">
        <w:fldChar w:fldCharType="begin"/>
      </w:r>
      <w:r w:rsidR="0073155C">
        <w:instrText xml:space="preserve"> ADDIN ZOTERO_ITEM CSL_CITATION {"citationID":"rtOumvcz","properties":{"formattedCitation":"(Fryxell et al., 2010)","plainCitation":"(Fryxell et al., 2010)","noteIndex":0},"citationItems":[{"id":2680,"uris":["http://zotero.org/users/2170232/items/BN9HM5RW"],"uri":["http://zotero.org/users/2170232/items/BN9HM5RW"],"itemData":{"id":2680,"type":"article-journal","abstract":"Population Meltdown\nPopulations of wild animals, including deer and moose, are often actively managed by hunting. Following such harvesting, populations of some exploited animal species collapse, whereas others are able to withstand exploitation. To understand the reasons for these varied responses, Fryxell et al. (p. 903) developed a mathematical model which predicts that weak regulation causes damped population cycles with period lengths on the order of decades. The model was tested using time-series data for hunted populations of moose and deer in three ecosystems in Norway and Canada.\nConstant harvest policies for fish and wildlife populations can lead to population collapse in the face of stochastic variation in population growth rates. Here, we show that weak compensatory response by resource users or managers to changing levels of resource abundance can readily induce harvest cycles that accentuate the risk of catastrophic population collapse. Dynamic system models incorporating this mix of feedback predict that cycles or quasi-cycles with decadal periodicity should commonly occur in harvested wildlife populations, with effort and quotas lagging far behind resources, whereas harvests should exhibit lags of intermediate length. Empirical data gathered from three hunted populations of white-tailed deer and moose were consistent with these predictions of both underlying behavioral causes and dynamical consequences.\nThe predictions of a model that describes humans hunting prey are confirmed using long-term ungulate data.\nThe predictions of a model that describes humans hunting prey are confirmed using long-term ungulate data.","container-title":"Science","DOI":"10.1126/science.1185802","ISSN":"0036-8075, 1095-9203","issue":"5980","language":"en","note":"publisher: American Association for the Advancement of Science\nsection: Report\nPMID: 20466934","page":"903-906","source":"science.sciencemag.org","title":"Resource Management Cycles and the Sustainability of Harvested Wildlife Populations","volume":"328","author":[{"family":"Fryxell","given":"John M."},{"family":"Packer","given":"Craig"},{"family":"McCann","given":"Kevin"},{"family":"Solberg","given":"Erling J."},{"family":"Sæther","given":"Bernt-Erik"}],"issued":{"date-parts":[["2010",5,14]]}}}],"schema":"https://github.com/citation-style-language/schema/raw/master/csl-citation.json"} </w:instrText>
      </w:r>
      <w:r w:rsidR="0073155C">
        <w:fldChar w:fldCharType="separate"/>
      </w:r>
      <w:r w:rsidR="0073155C" w:rsidRPr="0073155C">
        <w:rPr>
          <w:rFonts w:ascii="Calibri" w:hAnsi="Calibri" w:cs="Calibri"/>
        </w:rPr>
        <w:t>(Fryxell et al., 2010)</w:t>
      </w:r>
      <w:r w:rsidR="0073155C">
        <w:fldChar w:fldCharType="end"/>
      </w:r>
      <w:r w:rsidR="0073155C">
        <w:t xml:space="preserve">. In the absence of dramatic increases in funding and resources available to landscape managers, studies that explore the trade-offs between different strategies for investing existing resources will be </w:t>
      </w:r>
      <w:r w:rsidR="00AA7393">
        <w:t xml:space="preserve">critical. Site-level assessments of investment priorities are relatively common, and form an important part of a manager’s toolkit for developing strategy </w:t>
      </w:r>
      <w:r w:rsidR="00AA7393">
        <w:fldChar w:fldCharType="begin"/>
      </w:r>
      <w:r w:rsidR="00AA7393">
        <w:instrText xml:space="preserve"> ADDIN ZOTERO_ITEM CSL_CITATION {"citationID":"69QPOqEe","properties":{"formattedCitation":"(Ervin, 2003; Utami et al., 2020)","plainCitation":"(Ervin, 2003; Utami et al., 2020)","noteIndex":0},"citationItems":[{"id":2772,"uris":["http://zotero.org/users/2170232/items/PEIS75AG"],"uri":["http://zotero.org/users/2170232/items/PEIS75AG"],"itemData":{"id":2772,"type":"article-journal","abstract":"Assessing the management effectiveness of a protected area system can enable policymakers to develop strategic, systemwide responses to pervasive management problems. The World Wide Fund for Nature International has developed the Rapid Assessment and Prioritization of Protected Area Management (RAPPAM) methodology. This article summarizes results from the implementation of the RAPPAM methodology in Bhutan, China, Russia, and South Africa. Five threats emerged warranting concerted policy effort: poaching, alien plants, tourism, logging, and encroachment. Similarly, five management issues emerged that influence protected area management effectiveness: funding, staffing, research and monitoring, resource inventories, and community relations. By identifying the most pressing issues in protected areas, an assessment of management effectiveness can be used to improve protected area management.","container-title":"BioScience","DOI":"10.1641/0006-3568(2003)053[0833:RAOPAM]2.0.CO;2","ISSN":"0006-3568","issue":"9","journalAbbreviation":"BioScience","page":"833-841","source":"Silverchair","title":"Rapid Assessment of Protected Area Management Effectiveness in Four Countries","volume":"53","author":[{"family":"Ervin","given":"Jamison"}],"issued":{"date-parts":[["2003",9,1]]}}},{"id":2696,"uris":["http://zotero.org/users/2170232/items/44DA7BRS"],"uri":["http://zotero.org/users/2170232/items/44DA7BRS"],"itemData":{"id":2696,"type":"article-journal","abstract":"The multiple values delivered by protected areas around the world are threatened and in decline. We propose a structured decision science prioritization approach for justifying and guiding increased investments in protected area management to improve outcomes for a suite of important values. Using Bali's only national park, Taman Nasional Bali Barat (TNBB) as a case study, we draw from existing park documentation and 80 participating experts in TNBB's ecology, society and management to define goals that describe a successful outcome for nine core values of the park: threatened species, ecosystem function, ecosystem habitats, scientific research, food and health, spiritual values, traditional fishing, community prosperity, and ecotourism. Participants estimated that without increased investment, the extent of goal achievement is likely to be below 30% for all values at the end of the 15-year planning time frame. However, implementing nine strategies, at an increased annual investment of 5.5 billion Indonesian rupiah (US$385,666) per year, would achieve the goals for all values. The most cost-effective strategies were predicted to be collaboration and planning, monitoring and managing invasive species, followed by establishing and using a research and management fund, adapting to climate change, managing illegal resource use, waste and human impacts, as well as improving the captive breeding program for the iconic and critically endangered bird, curik Bali. Our approach may be useful for systematically comparing costed sets of management investments in other conservation areas worldwide.","container-title":"Conservation Science and Practice","DOI":"https://doi.org/10.1111/csp2.157","ISSN":"2578-4854","issue":"6","language":"en","note":"_eprint: https://conbio.onlinelibrary.wiley.com/doi/pdf/10.1111/csp2.157","page":"e157","source":"Wiley Online Library","title":"Prioritizing management strategies to achieve multiple outcomes in a globally significant Indonesian protected area","volume":"2","author":[{"family":"Utami","given":"Ni Wayan Febriana"},{"family":"Wirawan","given":"I. Gede Putu"},{"family":"Firn","given":"Jennifer"},{"family":"Kepakisan","given":"Agus Ngurah Krisna"},{"family":"Kusdyana","given":"I. Putu Gede Arya"},{"family":"Nicol","given":"Sam"},{"family":"Carwardine","given":"Josie"}],"issued":{"date-parts":[["2020"]]}}}],"schema":"https://github.com/citation-style-language/schema/raw/master/csl-citation.json"} </w:instrText>
      </w:r>
      <w:r w:rsidR="00AA7393">
        <w:fldChar w:fldCharType="separate"/>
      </w:r>
      <w:r w:rsidR="00AA7393" w:rsidRPr="00AA7393">
        <w:rPr>
          <w:rFonts w:ascii="Calibri" w:hAnsi="Calibri" w:cs="Calibri"/>
        </w:rPr>
        <w:t>(</w:t>
      </w:r>
      <w:r w:rsidR="00AA7393">
        <w:rPr>
          <w:rFonts w:ascii="Calibri" w:hAnsi="Calibri" w:cs="Calibri"/>
        </w:rPr>
        <w:t xml:space="preserve">see </w:t>
      </w:r>
      <w:r w:rsidR="00AA7393" w:rsidRPr="00AA7393">
        <w:rPr>
          <w:rFonts w:ascii="Calibri" w:hAnsi="Calibri" w:cs="Calibri"/>
        </w:rPr>
        <w:t>Ervin, 2003; Utami et al., 2020)</w:t>
      </w:r>
      <w:r w:rsidR="00AA7393">
        <w:fldChar w:fldCharType="end"/>
      </w:r>
      <w:r>
        <w:t>.</w:t>
      </w:r>
      <w:r w:rsidR="00AA7393">
        <w:t xml:space="preserve"> </w:t>
      </w:r>
      <w:r>
        <w:t>Y</w:t>
      </w:r>
      <w:r w:rsidR="00AA7393">
        <w:t>et studies that provide broader theoretical insights into long-term investment strategies in the context of finite resources are lacking. There is a large body of literature that explores prioritising conservation investment over space</w:t>
      </w:r>
      <w:r>
        <w:t>, or</w:t>
      </w:r>
      <w:r w:rsidR="00AA7393">
        <w:t xml:space="preserve"> the ‘conservation resource allocation problem’ </w:t>
      </w:r>
      <w:r w:rsidR="00AA7393">
        <w:fldChar w:fldCharType="begin"/>
      </w:r>
      <w:r w:rsidR="00AA7393">
        <w:instrText xml:space="preserve"> ADDIN ZOTERO_ITEM CSL_CITATION {"citationID":"KdX2yyQQ","properties":{"formattedCitation":"(Wilson et al., 2006)","plainCitation":"(Wilson et al., 2006)","noteIndex":0},"citationItems":[{"id":1827,"uris":["http://zotero.org/users/2170232/items/IHWG9Q3Q"],"uri":["http://zotero.org/users/2170232/items/IHWG9Q3Q"],"itemData":{"id":1827,"type":"article-journal","abstract":"One of the most pressing issues facing the global conservation community is how to distribute limited resources between regions identified as priorities for biodiversity conservation1,2,3. Approaches such as biodiversity hotspots4, endemic bird areas5 and ecoregions6 are used by international organizations to prioritize conservation efforts globally7. Although identifying priority regions is an important first step in solving this problem, it does not indicate how limited resources should be allocated between regions. Here we formulate how to allocate optimally conservation resources between regions identified as priorities for conservation—the ‘conservation resource allocation problem’. Stochastic dynamic programming is used to find the optimal schedule of resource allocation for small problems but is intractable for large problems owing to the “curse of dimensionality”8. We identify two easy-to-use and easy-to-interpret heuristics that closely approximate the optimal solution. We also show the importance of both correctly formulating the problem and using information on how investment returns change through time. Our conservation resource allocation approach can be applied at any spatial scale. We demonstrate the approach with an example of optimal resource allocation among five priority regions in Wallacea and Sundaland, the transition zone between Asia and Australasia.","container-title":"Nature","DOI":"10.1038/nature04366","ISSN":"1476-4687","issue":"7082","language":"en","page":"337-340","source":"www.nature.com","title":"Prioritizing global conservation efforts","volume":"440","author":[{"family":"Wilson","given":"Kerrie A."},{"family":"McBride","given":"Marissa F."},{"family":"Bode","given":"Michael"},{"family":"Possingham","given":"Hugh P."}],"issued":{"date-parts":[["2006",3]]}}}],"schema":"https://github.com/citation-style-language/schema/raw/master/csl-citation.json"} </w:instrText>
      </w:r>
      <w:r w:rsidR="00AA7393">
        <w:fldChar w:fldCharType="separate"/>
      </w:r>
      <w:r w:rsidR="00AA7393" w:rsidRPr="00AA7393">
        <w:rPr>
          <w:rFonts w:ascii="Calibri" w:hAnsi="Calibri" w:cs="Calibri"/>
        </w:rPr>
        <w:t>(Wilson et al., 2006)</w:t>
      </w:r>
      <w:r w:rsidR="00AA7393">
        <w:fldChar w:fldCharType="end"/>
      </w:r>
      <w:r w:rsidR="00AA7393">
        <w:t xml:space="preserve">, </w:t>
      </w:r>
      <w:r w:rsidR="003C2DB9">
        <w:t xml:space="preserve">with approaches </w:t>
      </w:r>
      <w:r w:rsidR="00631154">
        <w:t>including</w:t>
      </w:r>
      <w:r w:rsidR="003C2DB9">
        <w:t xml:space="preserve"> return on investment </w:t>
      </w:r>
      <w:r w:rsidR="003C2DB9">
        <w:fldChar w:fldCharType="begin"/>
      </w:r>
      <w:r w:rsidR="003C2DB9">
        <w:instrText xml:space="preserve"> ADDIN ZOTERO_ITEM CSL_CITATION {"citationID":"Zq1GyBO7","properties":{"formattedCitation":"(Armsworth et al., 2018; Murdoch et al., 2010)","plainCitation":"(Armsworth et al., 2018; Murdoch et al., 2010)","noteIndex":0},"citationItems":[{"id":1942,"uris":["http://zotero.org/users/2170232/items/5RNUMHPC"],"uri":["http://zotero.org/users/2170232/items/5RNUMHPC"],"itemData":{"id":1942,"type":"article-journal","abstract":"Policy guidelines for creating new protected areas commonly recommend larger protected areas be favored. We examine whether these recommendations are justified, providing the first evaluation of this question to use return-on-investment (ROI) methods that account for how protected area size influences multiple ecological benefits and the economic costs of protection. We examine areas acquired to protect forested ecosystems in the eastern US that are rich in endemic species. ROI analyses often alter recommendations about protected area size from those obtained when considering only ecological benefits or only economic costs. Large protected areas offer a greater ecological return per dollar invested if the goal of protecting sites is to reduce forest fragmentation on the wider landscape, whereas smaller sites offer a higher ROI when prioritizing sites offering protection to more species. A portfolio of site sizes may need to be included in protected area networks when multiple objectives motivate conservation.","container-title":"Biological Conservation","DOI":"10.1016/j.biocon.2018.07.005","ISSN":"0006-3207","journalAbbreviation":"Biological Conservation","page":"229-236","source":"ScienceDirect","title":"Is conservation right to go big? Protected area size and conservation return-on-investment","title-short":"Is conservation right to go big?","volume":"225","author":[{"family":"Armsworth","given":"Paul R."},{"family":"Jackson","given":"Heather B."},{"family":"Cho","given":"Seong-Hoon"},{"family":"Clark","given":"Melissa"},{"family":"Fargione","given":"Joseph E."},{"family":"Iacona","given":"Gwenllian D."},{"family":"Kim","given":"Taeyoung"},{"family":"Larson","given":"Eric R."},{"family":"Minney","given":"Thomas"},{"family":"Sutton","given":"Nathan A."}],"issued":{"date-parts":[["2018",9,1]]}}},{"id":2689,"uris":["http://zotero.org/users/2170232/items/6RIZYR3F"],"uri":["http://zotero.org/users/2170232/items/6RIZYR3F"],"itemData":{"id":2689,"type":"article-journal","abstract":"The rapid global loss of natural habitats and biodiversity, and limited resources, place a premium on maximizing the expected benefits of conservation actions. The scarcity of information on the fine-grained distribution of species of conservation concern, on risks of loss, and on costs of conservation actions, especially in developing countries, makes efficient conservation difficult. The distribution of ecosystem types (unique ecological communities) is typically better known than species and arguably better represents the entirety of biodiversity than do well-known taxa, so we use conserving the diversity of ecosystem types as our conservation goal. We define conservation benefit to include risk of conversion, spatial effects that reward clumping of habitat, and diminishing returns to investment in any one ecosystem type. Using Argentine grasslands as an example, we compare three strategies: protecting the cheapest land (“minimize cost”), maximizing conservation benefit regardless of cost (“maximize benefit”), and maximizing conservation benefit per dollar (“return on investment”). We first show that the widely endorsed goal of saving some percentage (typically 10%) of a country or habitat type, although it may inspire conservation, is a poor operational goal. It either leads to the accumulation of areas with low conservation benefit or requires infeasibly large sums of money, and it distracts from the real problem: maximizing conservation benefit given limited resources. Second, given realistic budgets, return on investment is superior to the other conservation strategies. Surprisingly, however, over a wide range of budgets, minimizing cost provides more conservation benefit than does the maximize-benefit strategy.","container-title":"Proceedings of the National Academy of Sciences","DOI":"10.1073/pnas.1011851107","ISSN":"0027-8424, 1091-6490","issue":"49","journalAbbreviation":"PNAS","language":"en","note":"publisher: National Academy of Sciences\nsection: Biological Sciences\nPMID: 21098281","page":"20855-20862","source":"www.pnas.org","title":"Using return on investment to maximize conservation effectiveness in Argentine grasslands","volume":"107","author":[{"family":"Murdoch","given":"William"},{"family":"Ranganathan","given":"Jai"},{"family":"Polasky","given":"Stephen"},{"family":"Regetz","given":"James"}],"issued":{"date-parts":[["2010",12,7]]}}}],"schema":"https://github.com/citation-style-language/schema/raw/master/csl-citation.json"} </w:instrText>
      </w:r>
      <w:r w:rsidR="003C2DB9">
        <w:fldChar w:fldCharType="separate"/>
      </w:r>
      <w:r w:rsidR="003C2DB9" w:rsidRPr="003C2DB9">
        <w:rPr>
          <w:rFonts w:ascii="Calibri" w:hAnsi="Calibri" w:cs="Calibri"/>
        </w:rPr>
        <w:t>(Armsworth et al., 2018; Murdoch et al., 2010)</w:t>
      </w:r>
      <w:r w:rsidR="003C2DB9">
        <w:fldChar w:fldCharType="end"/>
      </w:r>
      <w:r w:rsidR="003C2DB9">
        <w:t xml:space="preserve">, heuristic algorithms </w:t>
      </w:r>
      <w:r w:rsidR="003C2DB9">
        <w:fldChar w:fldCharType="begin"/>
      </w:r>
      <w:r w:rsidR="003C2DB9">
        <w:instrText xml:space="preserve"> ADDIN ZOTERO_ITEM CSL_CITATION {"citationID":"GvIBfX38","properties":{"formattedCitation":"(Meir et al., 2004; Wilson et al., 2006)","plainCitation":"(Meir et al., 2004; Wilson et al., 2006)","noteIndex":0},"citationItems":[{"id":651,"uris":["http://zotero.org/users/2170232/items/DF6K8MJQ"],"uri":["http://zotero.org/users/2170232/items/DF6K8MJQ"],"itemData":{"id":651,"type":"article-journal","container-title":"Ecology Letters","DOI":"10.1111/j.1461-0248.2004.00624.x","ISSN":"1461-023X, 1461-0248","issue":"8","language":"en","page":"615-622","source":"CrossRef","title":"Does conservation planning matter in a dynamic and uncertain world?","volume":"7","author":[{"family":"Meir","given":"Eli"},{"family":"Andelman","given":"Sandy"},{"family":"Possingham","given":"Hugh P."}],"issued":{"date-parts":[["2004",8]]}}},{"id":1827,"uris":["http://zotero.org/users/2170232/items/IHWG9Q3Q"],"uri":["http://zotero.org/users/2170232/items/IHWG9Q3Q"],"itemData":{"id":1827,"type":"article-journal","abstract":"One of the most pressing issues facing the global conservation community is how to distribute limited resources between regions identified as priorities for biodiversity conservation1,2,3. Approaches such as biodiversity hotspots4, endemic bird areas5 and ecoregions6 are used by international organizations to prioritize conservation efforts globally7. Although identifying priority regions is an important first step in solving this problem, it does not indicate how limited resources should be allocated between regions. Here we formulate how to allocate optimally conservation resources between regions identified as priorities for conservation—the ‘conservation resource allocation problem’. Stochastic dynamic programming is used to find the optimal schedule of resource allocation for small problems but is intractable for large problems owing to the “curse of dimensionality”8. We identify two easy-to-use and easy-to-interpret heuristics that closely approximate the optimal solution. We also show the importance of both correctly formulating the problem and using information on how investment returns change through time. Our conservation resource allocation approach can be applied at any spatial scale. We demonstrate the approach with an example of optimal resource allocation among five priority regions in Wallacea and Sundaland, the transition zone between Asia and Australasia.","container-title":"Nature","DOI":"10.1038/nature04366","ISSN":"1476-4687","issue":"7082","language":"en","page":"337-340","source":"www.nature.com","title":"Prioritizing global conservation efforts","volume":"440","author":[{"family":"Wilson","given":"Kerrie A."},{"family":"McBride","given":"Marissa F."},{"family":"Bode","given":"Michael"},{"family":"Possingham","given":"Hugh P."}],"issued":{"date-parts":[["2006",3]]}}}],"schema":"https://github.com/citation-style-language/schema/raw/master/csl-citation.json"} </w:instrText>
      </w:r>
      <w:r w:rsidR="003C2DB9">
        <w:fldChar w:fldCharType="separate"/>
      </w:r>
      <w:r w:rsidR="003C2DB9" w:rsidRPr="003C2DB9">
        <w:rPr>
          <w:rFonts w:ascii="Calibri" w:hAnsi="Calibri" w:cs="Calibri"/>
        </w:rPr>
        <w:t>(Meir et al., 2004; Wilson et al., 2006)</w:t>
      </w:r>
      <w:r w:rsidR="003C2DB9">
        <w:fldChar w:fldCharType="end"/>
      </w:r>
      <w:r w:rsidR="003C2DB9">
        <w:t xml:space="preserve">, regression models </w:t>
      </w:r>
      <w:r w:rsidR="003C2DB9">
        <w:fldChar w:fldCharType="begin"/>
      </w:r>
      <w:r w:rsidR="003C2DB9">
        <w:instrText xml:space="preserve"> ADDIN ZOTERO_ITEM CSL_CITATION {"citationID":"jDNJeYoa","properties":{"formattedCitation":"(Fishburn et al., 2013)","plainCitation":"(Fishburn et al., 2013)","noteIndex":0},"citationItems":[{"id":2672,"uris":["http://zotero.org/users/2170232/items/KNW89CHQ"],"uri":["http://zotero.org/users/2170232/items/KNW89CHQ"],"itemData":{"id":2672,"type":"article-journal","abstract":"While numerous scientific publications have used biological data and sometimes decision theory to identify where conservation funds should be invested, studies that examine where money for conservation actually has been spent and how investment patterns have changed through time are scarce. We analyze changing spatial patterns of spending on land protection, using investments by a major conservation organization, The Nature Conservancy (TNC), in the conterminous United States as a case study. We focus on investments in land protection made by TNC in four decades (1970–2009) using fee simple and easement acquisitions. During this period, TNC expanded and accelerated its investments in land conservation. We compare patterns of conservation investment in different states via two metrics: (1) the amount TNC spent to acquire land for protection, and (2) the overall area protected. The two metrics, while correlated, reveal different information about TNC’s investment patterns. The amount of conservation activity TNC undertook in different states shows pronounced variation when measured either by the overall area protected or the cost of acquiring that area. We used a regression approach to relate variation in investment levels across states in each decade to a suite of biological and socioeconomic factors relevant to the effectiveness of conservation resource allocation decisions. Through time, these variables are able to explain greater spatial variation in the levels of investment into different states. The richness of native species per state showed the strongest association with overall investment levels. However, land costs also influenced investment patterns in recent decades but in ways that differed when measured by the overall area protected and by the money spent to protect it.","container-title":"Biological Conservation","DOI":"10.1016/j.biocon.2013.02.007","ISSN":"0006-3207","journalAbbreviation":"Biological Conservation","language":"en","page":"223-229","source":"ScienceDirect","title":"Changing spatial patterns of conservation investment by a major land trust","volume":"161","author":[{"family":"Fishburn","given":"Isla S."},{"family":"Boyer","given":"Alison G."},{"family":"Kareiva","given":"Peter"},{"family":"Gaston","given":"Kevin J."},{"family":"Armsworth","given":"Paul R."}],"issued":{"date-parts":[["2013",5,1]]}}}],"schema":"https://github.com/citation-style-language/schema/raw/master/csl-citation.json"} </w:instrText>
      </w:r>
      <w:r w:rsidR="003C2DB9">
        <w:fldChar w:fldCharType="separate"/>
      </w:r>
      <w:r w:rsidR="003C2DB9" w:rsidRPr="003C2DB9">
        <w:rPr>
          <w:rFonts w:ascii="Calibri" w:hAnsi="Calibri" w:cs="Calibri"/>
        </w:rPr>
        <w:t>(Fishburn et al., 2013)</w:t>
      </w:r>
      <w:r w:rsidR="003C2DB9">
        <w:fldChar w:fldCharType="end"/>
      </w:r>
      <w:r w:rsidR="00631154">
        <w:t xml:space="preserve">, and impact mapping </w:t>
      </w:r>
      <w:r w:rsidR="00631154">
        <w:fldChar w:fldCharType="begin"/>
      </w:r>
      <w:r w:rsidR="00631154">
        <w:instrText xml:space="preserve"> ADDIN ZOTERO_ITEM CSL_CITATION {"citationID":"Qq9htVBn","properties":{"formattedCitation":"(Tulloch et al., 2020)","plainCitation":"(Tulloch et al., 2020)","noteIndex":0},"citationItems":[{"id":2707,"uris":["http://zotero.org/users/2170232/items/TQ5YUEPN"],"uri":["http://zotero.org/users/2170232/items/TQ5YUEPN"],"itemData":{"id":2707,"type":"article-journal","abstract":"Stressors to marine ecosystems are increasing, driven by human activities in the sea and on land, and climate change. Cumulative impact maps highlight regions affected by multiple human activities, but efficient conservation investment requires linking dominant pressures to management actions that best address the particular drivers of impacts. We rebuild cumulative impact maps by stressor type (climate change, marine and land) at a global scale to evaluate the expected effectiveness of various management strategies for all coastal territories. Average cumulative impact from non-marine stressors (climate and land) was double those of marine impacts at a national level. The greatest climate impacts by country were in the waters of Pacific Island and Antarctic territories; in the Caspian Sea region and East-Asia for land impacts; and in the waters of European, East-Asian and Caribbean countries for marine impacts. We developed a conservation-effectiveness indicator for the 10 worst-impacted countries in each of the three stressor categories. The indicator considered common management tools for each stressor category: ecosystem-based adaptation and disaster risk reduction (climate), marine protected areas (marine) and integrated coastal management (land). Key disparities were found between broad-scale management of marine ecosystems and the dominant stressors, with existing management in tropical island nations likely insufficient to address intense impacts from climate change. These countries also typically had low performance on governance indicators, suggesting challenges in implementing new mitigation. We highlight trade-offs in making decisions for stressor mitigation and offer strategic guidance on identifying locations to target management of marine, land, or climate impacts.","container-title":"Biological Conservation","DOI":"10.1016/j.biocon.2020.108527","ISSN":"0006-3207","journalAbbreviation":"Biological Conservation","language":"en","page":"108527","source":"ScienceDirect","title":"Linking threat maps with management to guide conservation investment","volume":"245","author":[{"family":"Tulloch","given":"Vivitskaia J. D."},{"family":"Turschwell","given":"Mischa P."},{"family":"Giffin","given":"Alyssa L."},{"family":"Halpern","given":"Benjamin S."},{"family":"Connolly","given":"Rod"},{"family":"Griffiths","given":"Laura"},{"family":"Frazer","given":"Melanie"},{"family":"Brown","given":"Christopher J."}],"issued":{"date-parts":[["2020",5,1]]}}}],"schema":"https://github.com/citation-style-language/schema/raw/master/csl-citation.json"} </w:instrText>
      </w:r>
      <w:r w:rsidR="00631154">
        <w:fldChar w:fldCharType="separate"/>
      </w:r>
      <w:r w:rsidR="00631154" w:rsidRPr="00631154">
        <w:rPr>
          <w:rFonts w:ascii="Calibri" w:hAnsi="Calibri" w:cs="Calibri"/>
        </w:rPr>
        <w:t>(Tulloch et al., 2020)</w:t>
      </w:r>
      <w:r w:rsidR="00631154">
        <w:fldChar w:fldCharType="end"/>
      </w:r>
      <w:r w:rsidR="00631154">
        <w:t>. The next question, which is equally important</w:t>
      </w:r>
      <w:r>
        <w:t xml:space="preserve"> yet largely unanswered</w:t>
      </w:r>
      <w:r w:rsidR="00631154">
        <w:t xml:space="preserve">, is once land has been selected or acquired for conservation, how should the authority responsible for its management invest finite conservation resources over the next five, ten, thirty, or fifty years to minimise biodiversity loss? </w:t>
      </w:r>
      <w:r w:rsidR="00AA7393">
        <w:t xml:space="preserve"> </w:t>
      </w:r>
      <w:r w:rsidR="0073155C">
        <w:t xml:space="preserve">  </w:t>
      </w:r>
    </w:p>
    <w:p w14:paraId="1DA0A844" w14:textId="505BABAC" w:rsidR="00AA5C2A" w:rsidRPr="006F5B1B" w:rsidRDefault="00AA5C2A">
      <w:pPr>
        <w:rPr>
          <w:i/>
          <w:iCs/>
        </w:rPr>
      </w:pPr>
      <w:r w:rsidRPr="006F5B1B">
        <w:rPr>
          <w:i/>
          <w:iCs/>
        </w:rPr>
        <w:t>Paragraph about human population increases, deforestation, and increasing pressure on landscapes. Understanding how best to invest conservation funds is going to be important.</w:t>
      </w:r>
    </w:p>
    <w:p w14:paraId="255C23DA" w14:textId="77777777" w:rsidR="00F37EE0" w:rsidRDefault="00F37EE0">
      <w:pPr>
        <w:rPr>
          <w:i/>
          <w:iCs/>
        </w:rPr>
      </w:pPr>
    </w:p>
    <w:p w14:paraId="33282697" w14:textId="4CA28F71" w:rsidR="00F37EE0" w:rsidRPr="00F37EE0" w:rsidRDefault="00F37EE0">
      <w:r>
        <w:lastRenderedPageBreak/>
        <w:t>Several studies highlighting uncertainty when choosing investment strategies (although still over space I think). Population increases and weak tenure around the world, coupled with this uncertainty, is go</w:t>
      </w:r>
      <w:r>
        <w:t>i</w:t>
      </w:r>
      <w:r>
        <w:t>ng to make effective investment over time important.</w:t>
      </w:r>
      <w:r>
        <w:t xml:space="preserve"> Lessons can be learnt from empirical studies that look to the past (Santana et al), but simulation modelling can help explore theoretical dynamics.</w:t>
      </w:r>
    </w:p>
    <w:p w14:paraId="63A6873D" w14:textId="77777777" w:rsidR="00F37EE0" w:rsidRDefault="00F37EE0">
      <w:pPr>
        <w:rPr>
          <w:i/>
          <w:iCs/>
        </w:rPr>
      </w:pPr>
    </w:p>
    <w:p w14:paraId="67D5C0D2" w14:textId="265D482C" w:rsidR="00AA5C2A" w:rsidRPr="006F5B1B" w:rsidRDefault="00AA5C2A">
      <w:pPr>
        <w:rPr>
          <w:i/>
          <w:iCs/>
        </w:rPr>
      </w:pPr>
      <w:r w:rsidRPr="006F5B1B">
        <w:rPr>
          <w:i/>
          <w:iCs/>
        </w:rPr>
        <w:t xml:space="preserve">Paragraph on the difficulties in studying conservation investment empirically. How simulation modelling can help. Identify and test theory. </w:t>
      </w:r>
    </w:p>
    <w:p w14:paraId="7CE6AE84" w14:textId="5D8F7673" w:rsidR="00AA5C2A" w:rsidRPr="006F5B1B" w:rsidRDefault="00AA5C2A">
      <w:pPr>
        <w:rPr>
          <w:i/>
          <w:iCs/>
        </w:rPr>
      </w:pPr>
      <w:r w:rsidRPr="006F5B1B">
        <w:rPr>
          <w:i/>
          <w:iCs/>
        </w:rPr>
        <w:t>This paper…para</w:t>
      </w:r>
    </w:p>
    <w:p w14:paraId="127C0EF3" w14:textId="77777777" w:rsidR="00AA5C2A" w:rsidRDefault="00AA5C2A"/>
    <w:p w14:paraId="2C1772F1" w14:textId="376400B6" w:rsidR="00A41803" w:rsidRDefault="00433A2B">
      <w:r>
        <w:t>Deforestation is driven by complex array of drivers operating at different scales, and the loss of forests has negative consequences for biodiversity, the climate, ecosystem functioning, human well-being</w:t>
      </w:r>
    </w:p>
    <w:p w14:paraId="383F77BF" w14:textId="77777777" w:rsidR="00A41803" w:rsidRDefault="00A41803"/>
    <w:p w14:paraId="6FB1DC65" w14:textId="77777777" w:rsidR="00A41803" w:rsidRDefault="00A41803"/>
    <w:p w14:paraId="440FE0C5" w14:textId="77777777" w:rsidR="00A41803" w:rsidRDefault="00A41803"/>
    <w:p w14:paraId="35A6EAB1" w14:textId="77777777" w:rsidR="00A41803" w:rsidRDefault="00A41803">
      <w:pPr>
        <w:rPr>
          <w:b/>
          <w:bCs/>
        </w:rPr>
      </w:pPr>
    </w:p>
    <w:p w14:paraId="3EA410F4" w14:textId="77777777" w:rsidR="00A41803" w:rsidRDefault="00A41803">
      <w:pPr>
        <w:rPr>
          <w:b/>
          <w:bCs/>
        </w:rPr>
      </w:pPr>
    </w:p>
    <w:p w14:paraId="0EEB43D1" w14:textId="77777777" w:rsidR="00A41803" w:rsidRDefault="00A41803">
      <w:pPr>
        <w:rPr>
          <w:b/>
          <w:bCs/>
        </w:rPr>
      </w:pPr>
    </w:p>
    <w:p w14:paraId="029B8D90" w14:textId="372B305D" w:rsidR="00A41803" w:rsidRDefault="00A41803">
      <w:pPr>
        <w:rPr>
          <w:b/>
          <w:bCs/>
        </w:rPr>
      </w:pPr>
      <w:r>
        <w:rPr>
          <w:b/>
          <w:bCs/>
        </w:rPr>
        <w:t>Points to remember to make:</w:t>
      </w:r>
    </w:p>
    <w:p w14:paraId="5CFCBE96" w14:textId="77777777" w:rsidR="00A41803" w:rsidRDefault="00A41803">
      <w:r>
        <w:t>Look up papers Georgina Mace and someone de Fonso (? Ask Nils) about indicators. They did theoretical work looking at indicators like in species populations etc.</w:t>
      </w:r>
    </w:p>
    <w:p w14:paraId="35B30068" w14:textId="306DB7CD" w:rsidR="00541021" w:rsidRDefault="00A41803">
      <w:r>
        <w:t>Need to make the point that nothing else in my landscape is affecting the system – it is very simplified. It doesn’t matter therefore, where the starting values are, it’s more about the relative relationships.</w:t>
      </w:r>
    </w:p>
    <w:p w14:paraId="7C3102BE" w14:textId="25C59FE3" w:rsidR="007544B5" w:rsidRPr="00541021" w:rsidRDefault="007544B5">
      <w:r>
        <w:t>Towards the end, make sure to mention the benefits of simulation modelling (look at the Twitter discussion Nils was in about papers that emphasis this), and to point out that in order to tease apart theory, you have to make the simulations extreme – pushing things to the extreme pulls apart theoretical ideas so you can see trends etc.</w:t>
      </w:r>
    </w:p>
    <w:sectPr w:rsidR="007544B5" w:rsidRPr="0054102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tthew Nuttall" w:date="2021-05-28T14:33:00Z" w:initials="MN">
    <w:p w14:paraId="7D2926BD" w14:textId="77777777" w:rsidR="00580838" w:rsidRDefault="00580838">
      <w:pPr>
        <w:pStyle w:val="CommentText"/>
      </w:pPr>
      <w:r>
        <w:rPr>
          <w:rStyle w:val="CommentReference"/>
        </w:rPr>
        <w:annotationRef/>
      </w:r>
      <w:r>
        <w:t>Not sure whether it should be discussion about existing studies on conservation investment, and then subsequent paragraph on</w:t>
      </w:r>
      <w:r w:rsidR="00A026B2">
        <w:t xml:space="preserve"> funding cycles. </w:t>
      </w:r>
    </w:p>
    <w:p w14:paraId="05A20AEB" w14:textId="4B04B04F" w:rsidR="00A026B2" w:rsidRDefault="00A026B2">
      <w:pPr>
        <w:pStyle w:val="CommentText"/>
      </w:pPr>
      <w:r>
        <w:t xml:space="preserve">Or whether it should be first talking about funding cycles, and then going into what has been done on conservation investment already. </w:t>
      </w:r>
    </w:p>
  </w:comment>
  <w:comment w:id="1" w:author="Matthew Nuttall" w:date="2021-08-26T17:14:00Z" w:initials="MN">
    <w:p w14:paraId="7102D18F" w14:textId="0364D2A7" w:rsidR="00C4360E" w:rsidRDefault="00C4360E">
      <w:pPr>
        <w:pStyle w:val="CommentText"/>
      </w:pPr>
      <w:r>
        <w:rPr>
          <w:rStyle w:val="CommentReference"/>
        </w:rPr>
        <w:annotationRef/>
      </w:r>
      <w:r>
        <w:t>Need to find more recent ref</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5A20AEB" w15:done="0"/>
  <w15:commentEx w15:paraId="7102D18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5B7DBC" w16cex:dateUtc="2021-05-28T13:33:00Z"/>
  <w16cex:commentExtensible w16cex:durableId="24D24A75" w16cex:dateUtc="2021-08-26T16: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5A20AEB" w16cid:durableId="245B7DBC"/>
  <w16cid:commentId w16cid:paraId="7102D18F" w16cid:durableId="24D24A7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tthew Nuttall">
    <w15:presenceInfo w15:providerId="AD" w15:userId="S::mnn1@stir.ac.uk::52bda326-1982-4d2e-bfc2-66e5e0894b6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021"/>
    <w:rsid w:val="00036854"/>
    <w:rsid w:val="0009789E"/>
    <w:rsid w:val="00142FB0"/>
    <w:rsid w:val="00174F81"/>
    <w:rsid w:val="001840CA"/>
    <w:rsid w:val="001A02E0"/>
    <w:rsid w:val="001D3DF5"/>
    <w:rsid w:val="002D0B72"/>
    <w:rsid w:val="003C2DB9"/>
    <w:rsid w:val="00433A2B"/>
    <w:rsid w:val="004829F6"/>
    <w:rsid w:val="0049467C"/>
    <w:rsid w:val="00541021"/>
    <w:rsid w:val="00561CD2"/>
    <w:rsid w:val="005760C1"/>
    <w:rsid w:val="00580838"/>
    <w:rsid w:val="005B3788"/>
    <w:rsid w:val="00631154"/>
    <w:rsid w:val="006F5B1B"/>
    <w:rsid w:val="00700CBF"/>
    <w:rsid w:val="0073155C"/>
    <w:rsid w:val="007544B5"/>
    <w:rsid w:val="0085488B"/>
    <w:rsid w:val="008B6ED5"/>
    <w:rsid w:val="00933591"/>
    <w:rsid w:val="00A026B2"/>
    <w:rsid w:val="00A41803"/>
    <w:rsid w:val="00AA5C2A"/>
    <w:rsid w:val="00AA7393"/>
    <w:rsid w:val="00C41F69"/>
    <w:rsid w:val="00C4360E"/>
    <w:rsid w:val="00C615C6"/>
    <w:rsid w:val="00CA3825"/>
    <w:rsid w:val="00D75DAA"/>
    <w:rsid w:val="00DC39B6"/>
    <w:rsid w:val="00DD4CC6"/>
    <w:rsid w:val="00E35EAE"/>
    <w:rsid w:val="00ED006C"/>
    <w:rsid w:val="00F01CE0"/>
    <w:rsid w:val="00F2118A"/>
    <w:rsid w:val="00F37EE0"/>
    <w:rsid w:val="00F406BD"/>
    <w:rsid w:val="00FB5AF9"/>
    <w:rsid w:val="00FC08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40657"/>
  <w15:chartTrackingRefBased/>
  <w15:docId w15:val="{C3E0FC68-0FE4-419C-9ECF-932685494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80838"/>
    <w:rPr>
      <w:sz w:val="16"/>
      <w:szCs w:val="16"/>
    </w:rPr>
  </w:style>
  <w:style w:type="paragraph" w:styleId="CommentText">
    <w:name w:val="annotation text"/>
    <w:basedOn w:val="Normal"/>
    <w:link w:val="CommentTextChar"/>
    <w:uiPriority w:val="99"/>
    <w:semiHidden/>
    <w:unhideWhenUsed/>
    <w:rsid w:val="00580838"/>
    <w:pPr>
      <w:spacing w:line="240" w:lineRule="auto"/>
    </w:pPr>
    <w:rPr>
      <w:sz w:val="20"/>
      <w:szCs w:val="20"/>
    </w:rPr>
  </w:style>
  <w:style w:type="character" w:customStyle="1" w:styleId="CommentTextChar">
    <w:name w:val="Comment Text Char"/>
    <w:basedOn w:val="DefaultParagraphFont"/>
    <w:link w:val="CommentText"/>
    <w:uiPriority w:val="99"/>
    <w:semiHidden/>
    <w:rsid w:val="00580838"/>
    <w:rPr>
      <w:sz w:val="20"/>
      <w:szCs w:val="20"/>
    </w:rPr>
  </w:style>
  <w:style w:type="paragraph" w:styleId="CommentSubject">
    <w:name w:val="annotation subject"/>
    <w:basedOn w:val="CommentText"/>
    <w:next w:val="CommentText"/>
    <w:link w:val="CommentSubjectChar"/>
    <w:uiPriority w:val="99"/>
    <w:semiHidden/>
    <w:unhideWhenUsed/>
    <w:rsid w:val="00580838"/>
    <w:rPr>
      <w:b/>
      <w:bCs/>
    </w:rPr>
  </w:style>
  <w:style w:type="character" w:customStyle="1" w:styleId="CommentSubjectChar">
    <w:name w:val="Comment Subject Char"/>
    <w:basedOn w:val="CommentTextChar"/>
    <w:link w:val="CommentSubject"/>
    <w:uiPriority w:val="99"/>
    <w:semiHidden/>
    <w:rsid w:val="0058083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3306</TotalTime>
  <Pages>3</Pages>
  <Words>8467</Words>
  <Characters>48263</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Nuttall</dc:creator>
  <cp:keywords/>
  <dc:description/>
  <cp:lastModifiedBy>Matthew Nuttall</cp:lastModifiedBy>
  <cp:revision>18</cp:revision>
  <dcterms:created xsi:type="dcterms:W3CDTF">2021-05-28T10:06:00Z</dcterms:created>
  <dcterms:modified xsi:type="dcterms:W3CDTF">2021-09-01T14:27:00Z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id="VxS8e2TY"/&gt;&lt;style id="http://www.zotero.org/styles/elsevier-harvard"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