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0"/>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0"/>
      <w:r w:rsidR="00C4360E">
        <w:rPr>
          <w:rStyle w:val="CommentReference"/>
        </w:rPr>
        <w:commentReference w:id="0"/>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7A606C1B" w:rsidR="00FB5AF9" w:rsidRDefault="002D0B72">
      <w:r>
        <w:t xml:space="preserve">Investing conservation funds strategically </w:t>
      </w:r>
      <w:r w:rsidR="00933591">
        <w:t xml:space="preserve">over time </w:t>
      </w:r>
      <w:r>
        <w:t>is made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786549DA"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xml:space="preserve">, the World Bank) or international development agencies (e.g., the United States Agency for International Development), and often come with complex rules governing procurement, accounting, reporting, and attribution (e.g., </w:t>
      </w:r>
      <w:r w:rsidR="005B3788">
        <w:lastRenderedPageBreak/>
        <w:t>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60CF2FCC"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xml:space="preserve">. Therefore, understanding how investment decisions by landscape managers affect system dynamics </w:t>
      </w:r>
      <w:r w:rsidR="00404102">
        <w:lastRenderedPageBreak/>
        <w:t>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681582E"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It is not feasible to build a model that captures all components of a SES, and therefore simplified models that simulate the fundamental dynamics are 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4A16F894" w:rsidR="00AA5C2A" w:rsidRPr="00762CBF" w:rsidRDefault="00762CBF">
      <w:pPr>
        <w:rPr>
          <w:i/>
          <w:iCs/>
        </w:rPr>
      </w:pPr>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w:t>
      </w:r>
      <w:r w:rsidR="00E42692">
        <w:lastRenderedPageBreak/>
        <w:t xml:space="preserve">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127C0EF3" w14:textId="77777777" w:rsidR="00AA5C2A" w:rsidRDefault="00AA5C2A"/>
    <w:p w14:paraId="7C3102BE" w14:textId="0DD84672" w:rsidR="007544B5" w:rsidRPr="00541021" w:rsidRDefault="007544B5"/>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36366"/>
    <w:rsid w:val="00273E04"/>
    <w:rsid w:val="002D0B72"/>
    <w:rsid w:val="002F4C8B"/>
    <w:rsid w:val="003C2DB9"/>
    <w:rsid w:val="003C515D"/>
    <w:rsid w:val="003F30FA"/>
    <w:rsid w:val="00404102"/>
    <w:rsid w:val="00433A2B"/>
    <w:rsid w:val="00480C1B"/>
    <w:rsid w:val="004829F6"/>
    <w:rsid w:val="004936D7"/>
    <w:rsid w:val="0049467C"/>
    <w:rsid w:val="004B37BB"/>
    <w:rsid w:val="00541021"/>
    <w:rsid w:val="005418B0"/>
    <w:rsid w:val="00561CD2"/>
    <w:rsid w:val="005760C1"/>
    <w:rsid w:val="00580838"/>
    <w:rsid w:val="0059061E"/>
    <w:rsid w:val="005B3788"/>
    <w:rsid w:val="005C60D6"/>
    <w:rsid w:val="005F6E06"/>
    <w:rsid w:val="00631154"/>
    <w:rsid w:val="006E08DA"/>
    <w:rsid w:val="006F5B1B"/>
    <w:rsid w:val="00700CBF"/>
    <w:rsid w:val="0073155C"/>
    <w:rsid w:val="0074716A"/>
    <w:rsid w:val="007544B5"/>
    <w:rsid w:val="00762CBF"/>
    <w:rsid w:val="007B11B1"/>
    <w:rsid w:val="0085488B"/>
    <w:rsid w:val="00880E5B"/>
    <w:rsid w:val="008B6ED5"/>
    <w:rsid w:val="009037D4"/>
    <w:rsid w:val="00933591"/>
    <w:rsid w:val="00974410"/>
    <w:rsid w:val="00987C10"/>
    <w:rsid w:val="009B618C"/>
    <w:rsid w:val="00A026B2"/>
    <w:rsid w:val="00A41803"/>
    <w:rsid w:val="00A91650"/>
    <w:rsid w:val="00AA5C2A"/>
    <w:rsid w:val="00AA7393"/>
    <w:rsid w:val="00B154DF"/>
    <w:rsid w:val="00B24D05"/>
    <w:rsid w:val="00BD6B3D"/>
    <w:rsid w:val="00C41F69"/>
    <w:rsid w:val="00C4360E"/>
    <w:rsid w:val="00C615C6"/>
    <w:rsid w:val="00CA3825"/>
    <w:rsid w:val="00CC05EA"/>
    <w:rsid w:val="00D168E4"/>
    <w:rsid w:val="00D75DAA"/>
    <w:rsid w:val="00DC39B6"/>
    <w:rsid w:val="00DD4CC6"/>
    <w:rsid w:val="00E35EAE"/>
    <w:rsid w:val="00E42692"/>
    <w:rsid w:val="00E52A8E"/>
    <w:rsid w:val="00E85603"/>
    <w:rsid w:val="00ED006C"/>
    <w:rsid w:val="00EE2AFD"/>
    <w:rsid w:val="00F01CE0"/>
    <w:rsid w:val="00F2118A"/>
    <w:rsid w:val="00F37EE0"/>
    <w:rsid w:val="00F406BD"/>
    <w:rsid w:val="00F44DB4"/>
    <w:rsid w:val="00F9337B"/>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3867</TotalTime>
  <Pages>4</Pages>
  <Words>14089</Words>
  <Characters>80310</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32</cp:revision>
  <dcterms:created xsi:type="dcterms:W3CDTF">2021-05-28T10:06:00Z</dcterms:created>
  <dcterms:modified xsi:type="dcterms:W3CDTF">2021-09-06T13:50:00Z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