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17D9F2C0" w14:textId="22A86E91" w:rsidR="0048247B"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r w:rsidR="00C473D2">
        <w:fldChar w:fldCharType="begin"/>
      </w:r>
      <w:r w:rsidR="00B526C4">
        <w:instrText xml:space="preserve"> 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73D2">
        <w:fldChar w:fldCharType="separate"/>
      </w:r>
      <w:r w:rsidR="00B526C4" w:rsidRPr="00B526C4">
        <w:rPr>
          <w:rFonts w:ascii="Calibri" w:hAnsi="Calibri" w:cs="Calibri"/>
        </w:rPr>
        <w:t>(Echols et al., 2019; Waldron et al., 2013)</w:t>
      </w:r>
      <w:r w:rsidR="00C473D2">
        <w:fldChar w:fldCharType="end"/>
      </w:r>
      <w:r>
        <w:t>.</w:t>
      </w:r>
      <w:r w:rsidR="0009789E">
        <w:t xml:space="preserve"> </w:t>
      </w:r>
      <w:r w:rsidR="00395C8B">
        <w:t xml:space="preserve">It 2016, the </w:t>
      </w:r>
      <w:r w:rsidR="00EE160C">
        <w:t>amount of</w:t>
      </w:r>
      <w:r w:rsidR="00395C8B">
        <w:t xml:space="preserve"> money</w:t>
      </w:r>
      <w:r w:rsidR="00EE160C">
        <w:t xml:space="preserve"> invested</w:t>
      </w:r>
      <w:r w:rsidR="00395C8B">
        <w:t xml:space="preserve"> in conservation projects was</w:t>
      </w:r>
      <w:r w:rsidR="00EE160C">
        <w:t xml:space="preserve"> estimated to be $52 billion per year, yet it is further estimated that between $300 to $400 billion per year will be required to ensure healthy ecosystems across land- and seascapes </w:t>
      </w:r>
      <w:r w:rsidR="00EE160C">
        <w:fldChar w:fldCharType="begin"/>
      </w:r>
      <w:r w:rsidR="00EE160C">
        <w:instrText xml:space="preserve"> ADDIN ZOTERO_ITEM CSL_CITATION {"citationID":"X7HcZYrN","properties":{"formattedCitation":"(Huwyler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EE160C">
        <w:fldChar w:fldCharType="separate"/>
      </w:r>
      <w:r w:rsidR="00EE160C" w:rsidRPr="00EE160C">
        <w:rPr>
          <w:rFonts w:ascii="Calibri" w:hAnsi="Calibri" w:cs="Calibri"/>
        </w:rPr>
        <w:t>(Huwyler et al., 2016)</w:t>
      </w:r>
      <w:r w:rsidR="00EE160C">
        <w:fldChar w:fldCharType="end"/>
      </w:r>
      <w:r w:rsidR="00EE160C">
        <w:t xml:space="preserve">. </w:t>
      </w:r>
      <w:r w:rsidR="004829F6">
        <w:t>Although global estimates such as these are unlikely to be accurate, the order of magnitude conveys the scale of the funding challenge.</w:t>
      </w:r>
      <w:r w:rsidR="0009789E">
        <w:t xml:space="preserve"> </w:t>
      </w:r>
      <w:r w:rsidR="00EE160C">
        <w:t xml:space="preserve">Currently, the majority of conservation funding around the </w:t>
      </w:r>
      <w:r w:rsidR="00B526C4">
        <w:t>world</w:t>
      </w:r>
      <w:r w:rsidR="00EE160C">
        <w:t xml:space="preserve"> comes from either government or philanthropic entities, where funds are distributed via grants </w:t>
      </w:r>
      <w:r w:rsidR="00EE160C">
        <w:fldChar w:fldCharType="begin"/>
      </w:r>
      <w:r w:rsidR="00EE160C">
        <w:instrText xml:space="preserve"> 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rsidR="00EE160C">
        <w:fldChar w:fldCharType="separate"/>
      </w:r>
      <w:r w:rsidR="00EE160C" w:rsidRPr="00EE160C">
        <w:rPr>
          <w:rFonts w:ascii="Calibri" w:hAnsi="Calibri" w:cs="Calibri"/>
        </w:rPr>
        <w:t>(Huwyler et al., 2016; Larson et al., 2021)</w:t>
      </w:r>
      <w:r w:rsidR="00EE160C">
        <w:fldChar w:fldCharType="end"/>
      </w:r>
      <w:r w:rsidR="00EE160C">
        <w:t>.</w:t>
      </w:r>
      <w:r w:rsidR="00B526C4">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w:t>
      </w:r>
      <w:r w:rsidR="002026D9">
        <w:t xml:space="preserve"> </w:t>
      </w:r>
      <w:r w:rsidR="002026D9">
        <w:fldChar w:fldCharType="begin"/>
      </w:r>
      <w:r w:rsidR="002026D9">
        <w:instrText xml:space="preserve"> 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2026D9">
        <w:fldChar w:fldCharType="separate"/>
      </w:r>
      <w:r w:rsidR="002026D9" w:rsidRPr="002026D9">
        <w:rPr>
          <w:rFonts w:ascii="Calibri" w:hAnsi="Calibri" w:cs="Calibri"/>
        </w:rPr>
        <w:t>(Huwyler et al., 2016)</w:t>
      </w:r>
      <w:r w:rsidR="002026D9">
        <w:fldChar w:fldCharType="end"/>
      </w:r>
      <w:r w:rsidR="00B526C4">
        <w:t>, green bonds,</w:t>
      </w:r>
      <w:r w:rsidR="002026D9">
        <w:t xml:space="preserve"> public-private partnerships, impact investing</w:t>
      </w:r>
      <w:r w:rsidR="00B526C4">
        <w:t>, and government</w:t>
      </w:r>
      <w:r w:rsidR="002026D9">
        <w:t>-led incentives</w:t>
      </w:r>
      <w:r w:rsidR="0048247B">
        <w:t xml:space="preserve"> for private sector investment</w:t>
      </w:r>
      <w:r w:rsidR="002026D9">
        <w:t xml:space="preserve"> </w:t>
      </w:r>
      <w:r w:rsidR="00AF14DE">
        <w:t>such as</w:t>
      </w:r>
      <w:r w:rsidR="002026D9">
        <w:t xml:space="preserve"> </w:t>
      </w:r>
      <w:r w:rsidR="00AF14DE">
        <w:t xml:space="preserve">new </w:t>
      </w:r>
      <w:r w:rsidR="002026D9">
        <w:t xml:space="preserve">policy, subsidies, loans, and risk mitigation mechanisms </w:t>
      </w:r>
      <w:r w:rsidR="002026D9">
        <w:fldChar w:fldCharType="begin"/>
      </w:r>
      <w:r w:rsidR="002026D9">
        <w:instrText xml:space="preserve"> 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2026D9">
        <w:fldChar w:fldCharType="separate"/>
      </w:r>
      <w:r w:rsidR="002026D9" w:rsidRPr="002026D9">
        <w:rPr>
          <w:rFonts w:ascii="Calibri" w:hAnsi="Calibri" w:cs="Calibri"/>
        </w:rPr>
        <w:t>(Clark et al., 2018)</w:t>
      </w:r>
      <w:r w:rsidR="002026D9">
        <w:fldChar w:fldCharType="end"/>
      </w:r>
      <w:r w:rsidR="002026D9">
        <w:t>.</w:t>
      </w:r>
      <w:r w:rsidR="00B526C4">
        <w:t xml:space="preserve"> </w:t>
      </w:r>
      <w:r w:rsidR="006C730E">
        <w:t>It is hoped that these new approaches will affect both the quantity of funding available, and the distribution mechanisms</w:t>
      </w:r>
      <w:r w:rsidR="0048247B">
        <w:t>, moving</w:t>
      </w:r>
      <w:r w:rsidR="006C730E">
        <w:t xml:space="preserve"> away from short-term grants towards longer-term, sustainable financing </w:t>
      </w:r>
      <w:r w:rsidR="006C730E">
        <w:fldChar w:fldCharType="begin"/>
      </w:r>
      <w:r w:rsidR="006C730E">
        <w:instrText xml:space="preserve"> 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rsidR="006C730E">
        <w:fldChar w:fldCharType="separate"/>
      </w:r>
      <w:r w:rsidR="006C730E" w:rsidRPr="006C730E">
        <w:rPr>
          <w:rFonts w:ascii="Calibri" w:hAnsi="Calibri" w:cs="Calibri"/>
        </w:rPr>
        <w:t>(Echols et al., 2019)</w:t>
      </w:r>
      <w:r w:rsidR="006C730E">
        <w:fldChar w:fldCharType="end"/>
      </w:r>
      <w:r w:rsidR="006C730E">
        <w:t xml:space="preserve">. </w:t>
      </w:r>
      <w:r w:rsidR="002026D9">
        <w:t>Although the development of alternative financing</w:t>
      </w:r>
      <w:r w:rsidR="00BD7186">
        <w:t xml:space="preserve"> models</w:t>
      </w:r>
      <w:r w:rsidR="002026D9">
        <w:t xml:space="preserve"> for the environment is both necessary and promising, they are being developed within a global economy in which government policies, business models, and free-market capitalism still incentivise </w:t>
      </w:r>
      <w:r w:rsidR="00BD7186">
        <w:t xml:space="preserve">the environmental degradation the models are attempting to reduce </w:t>
      </w:r>
      <w:r w:rsidR="00BD7186">
        <w:fldChar w:fldCharType="begin"/>
      </w:r>
      <w:r w:rsidR="00BD7186">
        <w:instrText xml:space="preserve"> 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BD7186">
        <w:fldChar w:fldCharType="separate"/>
      </w:r>
      <w:r w:rsidR="00BD7186" w:rsidRPr="00BD7186">
        <w:rPr>
          <w:rFonts w:ascii="Calibri" w:hAnsi="Calibri" w:cs="Calibri"/>
        </w:rPr>
        <w:t>(Clark et al., 2018)</w:t>
      </w:r>
      <w:r w:rsidR="00BD7186">
        <w:fldChar w:fldCharType="end"/>
      </w:r>
      <w:r w:rsidR="00BD7186">
        <w:t>. It is therefore likely that in the short- to medium-term, conservation practitioners will remain largely reliant on traditional grant</w:t>
      </w:r>
      <w:r w:rsidR="0048247B">
        <w:t>-based funding</w:t>
      </w:r>
      <w:r w:rsidR="00BD7186">
        <w:t xml:space="preserve"> to </w:t>
      </w:r>
      <w:r w:rsidR="0048247B">
        <w:t>implement</w:t>
      </w:r>
      <w:r w:rsidR="00BD7186">
        <w:t xml:space="preserve"> conservation </w:t>
      </w:r>
      <w:r w:rsidR="0048247B">
        <w:t>activities</w:t>
      </w:r>
      <w:r w:rsidR="00BD7186">
        <w:t>.</w:t>
      </w:r>
      <w:r w:rsidR="0048247B">
        <w:t xml:space="preserve"> </w:t>
      </w:r>
    </w:p>
    <w:p w14:paraId="6A35E940" w14:textId="4778FC65" w:rsidR="00FB5AF9" w:rsidRDefault="0048247B">
      <w:r>
        <w:t xml:space="preserve">Despite grant-based funding being the dominant mechanism for conservation investment, very little research has been done to assess the effects of unstable, non-linear budgets on biodiversity outcomes, nor the effects of alternative investment strategies. </w:t>
      </w:r>
      <w:r w:rsidR="00557CD4">
        <w:t xml:space="preserve">Given the lack of adequate funding for conservation, </w:t>
      </w:r>
      <w:r w:rsidR="002D0B72">
        <w:t xml:space="preserve">to have the greatest positive effect on </w:t>
      </w:r>
      <w:r w:rsidR="00DD4CC6">
        <w:t>biodiversity</w:t>
      </w:r>
      <w:r w:rsidR="002D0B72">
        <w:t xml:space="preserve"> as possible, managers</w:t>
      </w:r>
      <w:r w:rsidR="00DD4CC6">
        <w:t xml:space="preserve"> and conservationists</w:t>
      </w:r>
      <w:r w:rsidR="002D0B72">
        <w:t xml:space="preserve"> need to ensure</w:t>
      </w:r>
      <w:r w:rsidR="004829F6">
        <w:t xml:space="preserve"> the</w:t>
      </w:r>
      <w:r w:rsidR="002D0B72">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rsidR="002D0B72">
        <w:t xml:space="preserve"> Investing conservation funds strategically </w:t>
      </w:r>
      <w:r w:rsidR="00933591">
        <w:t xml:space="preserve">over time </w:t>
      </w:r>
      <w:r w:rsidR="002D0B72">
        <w:t>is made difficult</w:t>
      </w:r>
      <w:r w:rsidR="00557CD4">
        <w:t xml:space="preserve"> when funding is based </w:t>
      </w:r>
      <w:r w:rsidR="001840CA">
        <w:t xml:space="preserve">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rsidR="002D0B72">
        <w:t>. Most conservation projects</w:t>
      </w:r>
      <w:r w:rsidR="001840CA">
        <w:t xml:space="preserve"> or initiatives, even in wealthy countries with relatively well-funded protected area networks,</w:t>
      </w:r>
      <w:r w:rsidR="002D0B72">
        <w:t xml:space="preserve"> rely on</w:t>
      </w:r>
      <w:r w:rsidR="001840CA">
        <w:t xml:space="preserve"> such</w:t>
      </w:r>
      <w:r w:rsidR="0009789E">
        <w:t xml:space="preserve"> short-term</w:t>
      </w:r>
      <w:r w:rsidR="002D0B72">
        <w:t xml:space="preserve"> grants to </w:t>
      </w:r>
      <w:r w:rsidR="0009789E">
        <w:t>launch</w:t>
      </w:r>
      <w:r w:rsidR="002D0B72">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w:t>
      </w:r>
      <w:r w:rsidR="00157048">
        <w:t>is funding mechanism means that</w:t>
      </w:r>
      <w:r w:rsidR="001840CA">
        <w:t xml:space="preserv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w:t>
      </w:r>
      <w:r w:rsidR="00A026B2">
        <w:lastRenderedPageBreak/>
        <w:t xml:space="preserve">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7776CE01" w14:textId="3DEC45BF" w:rsidR="00ED006C" w:rsidRPr="00157048"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6553C3">
        <w:t xml:space="preserve"> There is</w:t>
      </w:r>
      <w:r w:rsidR="003E0EB2">
        <w:t xml:space="preserve"> also</w:t>
      </w:r>
      <w:r w:rsidR="006553C3">
        <w:t xml:space="preserve"> often a lack of transparency and coordination between funders and grants which reduces cohesion and makes strategic allocation of funds at a broader scale difficult </w:t>
      </w:r>
      <w:r w:rsidR="003E0EB2">
        <w:fldChar w:fldCharType="begin"/>
      </w:r>
      <w:r w:rsidR="003E0EB2">
        <w:instrText xml:space="preserve"> 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rsidR="003E0EB2">
        <w:fldChar w:fldCharType="separate"/>
      </w:r>
      <w:r w:rsidR="003E0EB2" w:rsidRPr="003E0EB2">
        <w:rPr>
          <w:rFonts w:ascii="Calibri" w:hAnsi="Calibri" w:cs="Calibri"/>
        </w:rPr>
        <w:t>(Laufer and Jones, 2021)</w:t>
      </w:r>
      <w:r w:rsidR="003E0EB2">
        <w:fldChar w:fldCharType="end"/>
      </w:r>
      <w:r w:rsidR="006553C3">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w:t>
      </w:r>
      <w:proofErr w:type="spellStart"/>
      <w:r w:rsidR="005B3788">
        <w:t>e.g</w:t>
      </w:r>
      <w:proofErr w:type="spellEnd"/>
      <w:r w:rsidR="005B3788">
        <w:t>,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w:t>
      </w:r>
      <w:r w:rsidR="00157048">
        <w:t>ohibit</w:t>
      </w:r>
      <w:r w:rsidR="00174F81">
        <w:t xml:space="preserv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5EAA86FD" w14:textId="31A209CD"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157048">
        <w:t>-</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w:t>
      </w:r>
      <w:r w:rsidR="00557CD4">
        <w:t>are</w:t>
      </w:r>
      <w:r w:rsidR="0073155C">
        <w:t xml:space="preserve"> common symptom</w:t>
      </w:r>
      <w:r w:rsidR="00557CD4">
        <w:t>s</w:t>
      </w:r>
      <w:r w:rsidR="0073155C">
        <w:t xml:space="preserve">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 xml:space="preserve">et studies that provide broader theoretical insights into long-term investment strategies in the context of finite resources are lacking. There is a large </w:t>
      </w:r>
      <w:r w:rsidR="00AA7393">
        <w:lastRenderedPageBreak/>
        <w:t>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67D5C0D2" w14:textId="3DA3F3B4" w:rsidR="00AA5C2A" w:rsidRPr="00F9337B" w:rsidRDefault="002F4C8B">
      <w:r>
        <w:t>One of the main challenges associated with assessing future conservation implementation and</w:t>
      </w:r>
      <w:r w:rsidR="00F9337B">
        <w:t xml:space="preserve"> predicting</w:t>
      </w:r>
      <w:r>
        <w:t xml:space="preserve">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F9337B">
        <w:t>Previous s</w:t>
      </w:r>
      <w:r w:rsidR="00B24D05">
        <w:t xml:space="preserve">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Yet the uncertainty surrounding changing social-ecological conditions within a single site or landscape over time, and how this may affect biological resources given different investment strategies by the management authority, ha</w:t>
      </w:r>
      <w:r w:rsidR="00F9337B">
        <w:t>s</w:t>
      </w:r>
      <w:r w:rsidR="00B24D05">
        <w:t xml:space="preser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AA5C2A" w:rsidRPr="006F5B1B">
        <w:rPr>
          <w:i/>
          <w:iCs/>
        </w:rPr>
        <w:t xml:space="preserve"> </w:t>
      </w:r>
    </w:p>
    <w:p w14:paraId="00CD59C8" w14:textId="459E98F9"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 xml:space="preserve">The simplification of models to develop and test theory has been seen as an important approach for decades, with the understanding that building models that are all at once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xml:space="preserve">. It is </w:t>
      </w:r>
      <w:r w:rsidR="00853F17">
        <w:t>impossible</w:t>
      </w:r>
      <w:r w:rsidR="00CC05EA">
        <w:t xml:space="preserve"> to build a model that captures all components of a SES, and therefore simplified models that simulate the fundamental dynamics are </w:t>
      </w:r>
      <w:r w:rsidR="00CC05EA">
        <w:lastRenderedPageBreak/>
        <w:t>required to test social-ecological theory. Generalised Management Strategy Evaluation</w:t>
      </w:r>
      <w:r w:rsidR="005F6E06">
        <w:t xml:space="preserve"> (GMSE) is a modelling framework that allows the construction of simplified social-ecological systems that are 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4A16F894" w:rsidR="00AA5C2A" w:rsidRPr="00762CBF" w:rsidRDefault="00762CBF">
      <w:pPr>
        <w:rPr>
          <w:i/>
          <w:iCs/>
        </w:rPr>
      </w:pPr>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w:t>
      </w:r>
      <w:r w:rsidR="00F9337B">
        <w:t xml:space="preserve"> </w:t>
      </w:r>
      <w:r w:rsidR="00F9337B">
        <w:fldChar w:fldCharType="begin"/>
      </w:r>
      <w:r w:rsidR="00F9337B">
        <w:instrText xml:space="preserve"> 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F9337B">
        <w:fldChar w:fldCharType="separate"/>
      </w:r>
      <w:r w:rsidR="00F9337B" w:rsidRPr="00F9337B">
        <w:rPr>
          <w:rFonts w:ascii="Calibri" w:hAnsi="Calibri" w:cs="Calibri"/>
        </w:rPr>
        <w:t>(Duthie et al., 2018)</w:t>
      </w:r>
      <w:r w:rsidR="00F9337B">
        <w:fldChar w:fldCharType="end"/>
      </w:r>
      <w:r w:rsidR="00D168E4">
        <w:t xml:space="preserve"> to test the effects of five investment scenarios available to the landscape management authority that are designed to reflect real-world conservation funding </w:t>
      </w:r>
      <w:r w:rsidR="001A53E5">
        <w:t>scenarios</w:t>
      </w:r>
      <w:r w:rsidR="00D168E4">
        <w:t>: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budget that fluctuates randomly and unpredictably with high variation from the starting value, reflecting a highly variable budget that has no core quantity, and is influenced by short-term grants of varying sizes and durations. </w:t>
      </w:r>
      <w:r w:rsidR="00E42692">
        <w:t xml:space="preserve">This modelling framework in generalised in such a way as to be of interest to landscape managers and conservationists around the world who are reliant on non-linear and unpredictable funding </w:t>
      </w:r>
      <w:proofErr w:type="gramStart"/>
      <w:r w:rsidR="00E42692">
        <w:t>cycles, and</w:t>
      </w:r>
      <w:proofErr w:type="gramEnd"/>
      <w:r w:rsidR="00E42692">
        <w:t xml:space="preserve"> offers theoretical insights into the consequences of the business-as-usual conservation funding mechanisms.  </w:t>
      </w:r>
    </w:p>
    <w:p w14:paraId="127C0EF3" w14:textId="77777777" w:rsidR="00AA5C2A" w:rsidRDefault="00AA5C2A"/>
    <w:p w14:paraId="7C3102BE" w14:textId="0DD84672" w:rsidR="007544B5" w:rsidRPr="00541021" w:rsidRDefault="007544B5"/>
    <w:sectPr w:rsidR="007544B5" w:rsidRPr="0054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0D2B0F"/>
    <w:rsid w:val="00142FB0"/>
    <w:rsid w:val="00153E08"/>
    <w:rsid w:val="00157048"/>
    <w:rsid w:val="00174F81"/>
    <w:rsid w:val="001840CA"/>
    <w:rsid w:val="001A02E0"/>
    <w:rsid w:val="001A53E5"/>
    <w:rsid w:val="001D3DF5"/>
    <w:rsid w:val="002026D9"/>
    <w:rsid w:val="00236366"/>
    <w:rsid w:val="00273E04"/>
    <w:rsid w:val="002D0B72"/>
    <w:rsid w:val="002F4C8B"/>
    <w:rsid w:val="00395C8B"/>
    <w:rsid w:val="003C2DB9"/>
    <w:rsid w:val="003C515D"/>
    <w:rsid w:val="003E0EB2"/>
    <w:rsid w:val="003F30FA"/>
    <w:rsid w:val="00404102"/>
    <w:rsid w:val="00433A2B"/>
    <w:rsid w:val="00480C1B"/>
    <w:rsid w:val="0048247B"/>
    <w:rsid w:val="004829F6"/>
    <w:rsid w:val="004936D7"/>
    <w:rsid w:val="0049467C"/>
    <w:rsid w:val="004B37BB"/>
    <w:rsid w:val="00541021"/>
    <w:rsid w:val="005418B0"/>
    <w:rsid w:val="00557CD4"/>
    <w:rsid w:val="00561CD2"/>
    <w:rsid w:val="005760C1"/>
    <w:rsid w:val="00580838"/>
    <w:rsid w:val="0059061E"/>
    <w:rsid w:val="005B3788"/>
    <w:rsid w:val="005C60D6"/>
    <w:rsid w:val="005F6E06"/>
    <w:rsid w:val="00631154"/>
    <w:rsid w:val="006553C3"/>
    <w:rsid w:val="006C730E"/>
    <w:rsid w:val="006E08DA"/>
    <w:rsid w:val="006F5B1B"/>
    <w:rsid w:val="00700CBF"/>
    <w:rsid w:val="0073155C"/>
    <w:rsid w:val="0074716A"/>
    <w:rsid w:val="007544B5"/>
    <w:rsid w:val="00762CBF"/>
    <w:rsid w:val="007B11B1"/>
    <w:rsid w:val="007E4486"/>
    <w:rsid w:val="00853F17"/>
    <w:rsid w:val="0085488B"/>
    <w:rsid w:val="00880E5B"/>
    <w:rsid w:val="008B6ED5"/>
    <w:rsid w:val="009037D4"/>
    <w:rsid w:val="00933591"/>
    <w:rsid w:val="00974410"/>
    <w:rsid w:val="00987C10"/>
    <w:rsid w:val="009B618C"/>
    <w:rsid w:val="00A026B2"/>
    <w:rsid w:val="00A41803"/>
    <w:rsid w:val="00A91650"/>
    <w:rsid w:val="00AA5C2A"/>
    <w:rsid w:val="00AA7393"/>
    <w:rsid w:val="00AF14DE"/>
    <w:rsid w:val="00B154DF"/>
    <w:rsid w:val="00B24D05"/>
    <w:rsid w:val="00B526C4"/>
    <w:rsid w:val="00BD6B3D"/>
    <w:rsid w:val="00BD7186"/>
    <w:rsid w:val="00C41F69"/>
    <w:rsid w:val="00C4360E"/>
    <w:rsid w:val="00C473D2"/>
    <w:rsid w:val="00C615C6"/>
    <w:rsid w:val="00CA3825"/>
    <w:rsid w:val="00CC05EA"/>
    <w:rsid w:val="00D168E4"/>
    <w:rsid w:val="00D75DAA"/>
    <w:rsid w:val="00DC39B6"/>
    <w:rsid w:val="00DD4CC6"/>
    <w:rsid w:val="00E35EAE"/>
    <w:rsid w:val="00E42692"/>
    <w:rsid w:val="00E52A8E"/>
    <w:rsid w:val="00E85603"/>
    <w:rsid w:val="00ED006C"/>
    <w:rsid w:val="00EE160C"/>
    <w:rsid w:val="00EE2AFD"/>
    <w:rsid w:val="00F01CE0"/>
    <w:rsid w:val="00F2118A"/>
    <w:rsid w:val="00F37EE0"/>
    <w:rsid w:val="00F406BD"/>
    <w:rsid w:val="00F44DB4"/>
    <w:rsid w:val="00F9337B"/>
    <w:rsid w:val="00FB5AF9"/>
    <w:rsid w:val="00FB667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3951</TotalTime>
  <Pages>4</Pages>
  <Words>16878</Words>
  <Characters>96208</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39</cp:revision>
  <dcterms:created xsi:type="dcterms:W3CDTF">2021-05-28T10:06:00Z</dcterms:created>
  <dcterms:modified xsi:type="dcterms:W3CDTF">2021-09-15T13:50:00Z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