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commentRangeStart w:id="0"/>
      <w:r>
        <w:rPr>
          <w:b/>
          <w:bCs/>
        </w:rPr>
        <w:t xml:space="preserve">Methods </w:t>
      </w:r>
      <w:commentRangeEnd w:id="0"/>
      <w:r w:rsidR="00D93698">
        <w:rPr>
          <w:rStyle w:val="CommentReference"/>
        </w:rPr>
        <w:commentReference w:id="0"/>
      </w:r>
    </w:p>
    <w:p w14:paraId="1A15CE9E" w14:textId="7492C502" w:rsidR="0035371B" w:rsidRDefault="0035371B">
      <w:pPr>
        <w:rPr>
          <w:i/>
          <w:iCs/>
        </w:rPr>
      </w:pPr>
      <w:r>
        <w:rPr>
          <w:i/>
          <w:iCs/>
        </w:rPr>
        <w:t>GMSE</w:t>
      </w:r>
    </w:p>
    <w:p w14:paraId="10015403" w14:textId="7847305C" w:rsidR="00666D71" w:rsidRDefault="00DA2491">
      <w:r>
        <w:t>GMSE is designed to simulate dynamic decision-making by stakeholders in a social-ecological system</w:t>
      </w:r>
      <w:r w:rsidR="00DF6630">
        <w:t xml:space="preserve"> </w:t>
      </w:r>
      <w:r w:rsidR="00DF6630">
        <w:fldChar w:fldCharType="begin"/>
      </w:r>
      <w:r w:rsidR="00DF6630">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DF6630">
        <w:fldChar w:fldCharType="separate"/>
      </w:r>
      <w:r w:rsidR="00DF6630" w:rsidRPr="00DF6630">
        <w:rPr>
          <w:rFonts w:ascii="Calibri" w:hAnsi="Calibri" w:cs="Calibri"/>
        </w:rPr>
        <w:t>(Duthie et al., 2018)</w:t>
      </w:r>
      <w:r w:rsidR="00DF6630">
        <w:fldChar w:fldCharType="end"/>
      </w:r>
      <w:r>
        <w:t>. The stakeholders are a) the “manager” who represents an appropriate authority, for example a protected area manager or a natural resource manager, and b) the “users” who represent independent actors such as farmers</w:t>
      </w:r>
      <w:r w:rsidR="00DF6630">
        <w:t xml:space="preserve"> or hunters</w:t>
      </w:r>
      <w:r>
        <w:t>.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DF6630">
        <w:t>Figure 1</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r w:rsidR="00006AE7">
        <w:t>e.g.,</w:t>
      </w:r>
      <w:r w:rsidR="00666D71">
        <w:t xml:space="preserve"> maximises their yield)</w:t>
      </w:r>
      <w:r w:rsidR="00EE00B0">
        <w:t xml:space="preserve"> given the constraints imposed by the manager</w:t>
      </w:r>
      <w:r w:rsidR="00666D71">
        <w:t xml:space="preserve">. </w:t>
      </w:r>
      <w:r w:rsidR="00985C13">
        <w:t>Users can choose to act on the natural resources (</w:t>
      </w:r>
      <w:r w:rsidR="00006AE7">
        <w:t>e.g.,</w:t>
      </w:r>
      <w:r w:rsidR="00985C13">
        <w:t xml:space="preserve"> cull</w:t>
      </w:r>
      <w:r w:rsidR="00C63CE9">
        <w:t xml:space="preserve"> or</w:t>
      </w:r>
      <w:r w:rsidR="00985C13">
        <w:t xml:space="preserve"> scare) which can affect the resource population (</w:t>
      </w:r>
      <w:r w:rsidR="00006AE7">
        <w:t>e.g.,</w:t>
      </w:r>
      <w:r w:rsidR="00985C13">
        <w:t xml:space="preserve"> if they choose to cull) or the landscape cell (</w:t>
      </w:r>
      <w:r w:rsidR="00006AE7">
        <w:t>e.g.,</w:t>
      </w:r>
      <w:r w:rsidR="00985C13">
        <w:t xml:space="preserve">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34A2D386" w:rsidR="00985C13" w:rsidRDefault="00985C13">
      <w:r>
        <w:t xml:space="preserve">The primary approach to altering system dynamics is via the manager and user budgets. These parameters are relative rather than absolute and </w:t>
      </w:r>
      <w:r w:rsidR="00CE6D9F">
        <w:t>therefore</w:t>
      </w:r>
      <w:r>
        <w:t xml:space="preserve"> the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w:t>
      </w:r>
      <w:r w:rsidR="00006AE7">
        <w:fldChar w:fldCharType="begin"/>
      </w:r>
      <w:r w:rsidR="00006AE7">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rsidR="00006AE7">
        <w:fldChar w:fldCharType="separate"/>
      </w:r>
      <w:r w:rsidR="00006AE7" w:rsidRPr="00006AE7">
        <w:rPr>
          <w:rFonts w:ascii="Calibri" w:hAnsi="Calibri" w:cs="Calibri"/>
        </w:rPr>
        <w:t>(Cusack et al., 2020; Duthie et al., 2018; Nilsson et al., 2019)</w:t>
      </w:r>
      <w:r w:rsidR="00006AE7">
        <w:fldChar w:fldCharType="end"/>
      </w:r>
      <w:r w:rsidR="00317DE4">
        <w:t>.</w:t>
      </w:r>
      <w:r w:rsidR="00F972B6">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6429AAD6" w:rsidR="00074CC3" w:rsidRDefault="00DF6630">
      <w:pPr>
        <w:rPr>
          <w:i/>
          <w:iCs/>
        </w:rPr>
      </w:pPr>
      <w:r>
        <w:rPr>
          <w:noProof/>
        </w:rPr>
        <w:drawing>
          <wp:inline distT="0" distB="0" distL="0" distR="0" wp14:anchorId="2D7ED250" wp14:editId="65C2259B">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2D8BB36D" w14:textId="1E73D8F0" w:rsidR="00DF6630" w:rsidRPr="00AB00D5" w:rsidRDefault="00DF6630">
      <w:pPr>
        <w:rPr>
          <w:b/>
          <w:bCs/>
          <w:sz w:val="20"/>
          <w:szCs w:val="20"/>
        </w:rPr>
      </w:pPr>
      <w:commentRangeStart w:id="1"/>
      <w:r w:rsidRPr="00AB00D5">
        <w:rPr>
          <w:b/>
          <w:bCs/>
          <w:sz w:val="20"/>
          <w:szCs w:val="20"/>
        </w:rPr>
        <w:t>Figure 1</w:t>
      </w:r>
      <w:commentRangeEnd w:id="1"/>
      <w:r w:rsidRPr="00AB00D5">
        <w:rPr>
          <w:rStyle w:val="CommentReference"/>
          <w:sz w:val="20"/>
          <w:szCs w:val="20"/>
        </w:rPr>
        <w:commentReference w:id="1"/>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5D562DAD" w14:textId="77777777" w:rsidR="00DF6630" w:rsidRPr="00DF6630" w:rsidRDefault="00DF6630">
      <w:pPr>
        <w:rPr>
          <w:b/>
          <w:bCs/>
          <w:sz w:val="18"/>
          <w:szCs w:val="18"/>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5A59EB3" w:rsidR="009D69F8" w:rsidRDefault="003931F3">
      <w:r>
        <w:t>In this study we have used the GMSE modelling framework to explore the effects of different investment strategies</w:t>
      </w:r>
      <w:r w:rsidR="00F972B6">
        <w:t xml:space="preserve"> and funding models</w:t>
      </w:r>
      <w:r>
        <w:t xml:space="preserve">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w:t>
      </w:r>
      <w:r w:rsidR="00F972B6">
        <w:t>0</w:t>
      </w:r>
      <w:r w:rsidR="009D69F8">
        <w:t xml:space="preserve">0 </w:t>
      </w:r>
      <w:r w:rsidR="009D69F8">
        <w:rPr>
          <w:rFonts w:cstheme="minorHAnsi"/>
        </w:rPr>
        <w:t>×</w:t>
      </w:r>
      <w:r w:rsidR="009D69F8">
        <w:t xml:space="preserve"> 1</w:t>
      </w:r>
      <w:r w:rsidR="00F972B6">
        <w:t>0</w:t>
      </w:r>
      <w:r w:rsidR="009D69F8">
        <w:t>0 cells, where we assumed on</w:t>
      </w:r>
      <w:r w:rsidR="0087297D">
        <w:t>e</w:t>
      </w:r>
      <w:r w:rsidR="009D69F8">
        <w:t xml:space="preserve"> cell was equivalent to 1 hectare, resulting in a landscape of</w:t>
      </w:r>
      <w:r w:rsidR="00AB1FE1">
        <w:t xml:space="preserve"> </w:t>
      </w:r>
      <w:r w:rsidR="00F972B6">
        <w:t>10,000</w:t>
      </w:r>
      <w:r w:rsidR="00AB1FE1">
        <w:t xml:space="preserve"> ha (or </w:t>
      </w:r>
      <w:r w:rsidR="00F972B6">
        <w:t>100</w:t>
      </w:r>
      <w:r w:rsidR="00AB1FE1">
        <w:t xml:space="preserve"> km</w:t>
      </w:r>
      <w:r w:rsidR="00AB1FE1" w:rsidRPr="00AB1FE1">
        <w:rPr>
          <w:vertAlign w:val="superscript"/>
        </w:rPr>
        <w:t>2</w:t>
      </w:r>
      <w:r w:rsidR="00AB1FE1">
        <w:t>).</w:t>
      </w:r>
      <w:r w:rsidR="009D69F8">
        <w:t xml:space="preserve"> </w:t>
      </w:r>
      <w:r w:rsidR="00AB1FE1">
        <w:t xml:space="preserve">We allocated </w:t>
      </w:r>
      <w:r w:rsidR="00F972B6">
        <w:t>3</w:t>
      </w:r>
      <w:r w:rsidR="00AB1FE1">
        <w:t xml:space="preserve">0 “users” to the landscape, which in this case represented </w:t>
      </w:r>
      <w:r w:rsidR="00F972B6">
        <w:t>3</w:t>
      </w:r>
      <w:r w:rsidR="00AB1FE1">
        <w:t>0 villages or communities, each which had an equal area of spatially explicit land upon which they could act.</w:t>
      </w:r>
      <w:r w:rsidR="001B6B16">
        <w:t xml:space="preserve"> </w:t>
      </w:r>
      <w:r w:rsidR="00AB1FE1">
        <w:t xml:space="preserve">This resulted in each village having </w:t>
      </w:r>
      <w:r w:rsidR="00F972B6">
        <w:t>333.33</w:t>
      </w:r>
      <w:r w:rsidR="009D69F8">
        <w:t xml:space="preserve"> ha (</w:t>
      </w:r>
      <w:r w:rsidR="00F972B6">
        <w:t>3.33</w:t>
      </w:r>
      <w:r w:rsidR="009D69F8">
        <w:t xml:space="preserve">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w:t>
      </w:r>
      <w:r w:rsidR="007E6B5C">
        <w:lastRenderedPageBreak/>
        <w:t xml:space="preserve">primary livelihood is farming. </w:t>
      </w:r>
      <w:r w:rsidR="00AB1FE1">
        <w:t xml:space="preserve">We simulated scenarios over </w:t>
      </w:r>
      <w:proofErr w:type="gramStart"/>
      <w:r w:rsidR="00AB1FE1">
        <w:t>50 time</w:t>
      </w:r>
      <w:proofErr w:type="gramEnd"/>
      <w:r w:rsidR="00AB1FE1">
        <w:t xml:space="preserve"> steps, which we assumed represented 50 years. </w:t>
      </w:r>
    </w:p>
    <w:p w14:paraId="3AA3A794" w14:textId="51651B89" w:rsidR="00AB1FE1" w:rsidRDefault="00AB1FE1">
      <w:pPr>
        <w:rPr>
          <w:u w:val="single"/>
        </w:rPr>
      </w:pPr>
      <w:r>
        <w:rPr>
          <w:u w:val="single"/>
        </w:rPr>
        <w:t xml:space="preserve">Resource population </w:t>
      </w:r>
    </w:p>
    <w:p w14:paraId="1F907CB6" w14:textId="1955F567"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w:t>
      </w:r>
      <w:r w:rsidR="00463AEE">
        <w:t xml:space="preserve"> We tested the landscape with a tree density that was realistic for a tropical forested landscape (50 trees ha</w:t>
      </w:r>
      <w:r w:rsidR="00463AEE" w:rsidRPr="00463AEE">
        <w:rPr>
          <w:vertAlign w:val="superscript"/>
        </w:rPr>
        <w:t>-1</w:t>
      </w:r>
      <w:r w:rsidR="00CB4757">
        <w:t>, n = 1,125,000</w:t>
      </w:r>
      <w:r w:rsidR="00463AEE" w:rsidRPr="00463AEE">
        <w:t>)</w:t>
      </w:r>
      <w:r w:rsidR="00463AEE">
        <w:t>, but because</w:t>
      </w:r>
      <w:r>
        <w:t xml:space="preserve"> </w:t>
      </w:r>
      <w:r w:rsidR="00463AEE">
        <w:t>t</w:t>
      </w:r>
      <w:r w:rsidR="00CD7BA7">
        <w:t>he number of users on the landscape was relatively low, due to each user representing a community rather than an individual farmer</w:t>
      </w:r>
      <w:r w:rsidR="00463AEE">
        <w:t>, the absolute number of trees felled was too low to see clear differences between scenarios.</w:t>
      </w:r>
      <w:r w:rsidR="00CB4757">
        <w:t xml:space="preserve"> We therefore reduced the total number of trees to 100,000 to ensure trends in felling were clear to see.</w:t>
      </w:r>
      <w:r w:rsidR="00463AEE">
        <w:t xml:space="preserve"> </w:t>
      </w:r>
      <w:r w:rsidR="000C41EA">
        <w:t xml:space="preserve">Trees were randomly distributed across the landscape, reflecting natural variation. </w:t>
      </w:r>
      <w:r w:rsidR="007E6B5C">
        <w:t xml:space="preserve">The population dynamics of trees is difficult to capture over a </w:t>
      </w:r>
      <w:r w:rsidR="00FD44DC">
        <w:t>50-year</w:t>
      </w:r>
      <w:r w:rsidR="007E6B5C">
        <w:t xml:space="preserve"> </w:t>
      </w:r>
      <w:proofErr w:type="gramStart"/>
      <w:r w:rsidR="007E6B5C">
        <w:t>time period</w:t>
      </w:r>
      <w:proofErr w:type="gramEnd"/>
      <w:r w:rsidR="007E6B5C">
        <w:t xml:space="preserve">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491F1F5A" w:rsidR="000C41EA" w:rsidRDefault="000C41EA">
      <w:r>
        <w:t xml:space="preserve">Where </w:t>
      </w:r>
      <w:r w:rsidR="00CB4757">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410FB4B"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r w:rsidR="00CB4757">
        <w:t>trade-offs</w:t>
      </w:r>
      <w:r w:rsidR="00F52E4E">
        <w:t xml:space="preserve"> in cost versus benefit (computed within the GA). The parameter </w:t>
      </w:r>
      <w:r w:rsidR="00E76DF7">
        <w:t>which</w:t>
      </w:r>
      <w:r w:rsidR="00F52E4E">
        <w:t xml:space="preserve"> defined how much a user could increase their yield by tending </w:t>
      </w:r>
      <w:r w:rsidR="00F52E4E">
        <w:lastRenderedPageBreak/>
        <w:t>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commentRangeStart w:id="2"/>
      <w:r w:rsidRPr="009A2EB4">
        <w:rPr>
          <w:i/>
          <w:iCs/>
        </w:rPr>
        <w:t xml:space="preserve">Scenarios </w:t>
      </w:r>
      <w:commentRangeEnd w:id="2"/>
      <w:r w:rsidR="001956C4">
        <w:rPr>
          <w:rStyle w:val="CommentReference"/>
        </w:rPr>
        <w:commentReference w:id="2"/>
      </w:r>
    </w:p>
    <w:p w14:paraId="28E5386E" w14:textId="3B02C1D0" w:rsidR="00D145B7" w:rsidRDefault="00375594">
      <w:r>
        <w:t>We designed 5 scenarios with dynamic manager budgets that simulated different</w:t>
      </w:r>
      <w:r w:rsidR="006E1387">
        <w:t xml:space="preserve"> </w:t>
      </w:r>
      <w:r>
        <w:t>funding</w:t>
      </w:r>
      <w:r w:rsidR="006E1387">
        <w:t xml:space="preserve"> regimes (</w:t>
      </w:r>
      <w:r w:rsidR="006E1387" w:rsidRPr="006E1387">
        <w:rPr>
          <w:highlight w:val="yellow"/>
        </w:rPr>
        <w:t>Table x</w:t>
      </w:r>
      <w:r w:rsidR="00727BF0" w:rsidRPr="00727BF0">
        <w:rPr>
          <w:highlight w:val="yellow"/>
        </w:rPr>
        <w:t>, figure x</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CB4757">
        <w:t>100</w:t>
      </w:r>
      <w:r w:rsidR="009A2EB4">
        <w:t xml:space="preserve">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 xml:space="preserve">he 50, 2.5, and 97.5% </w:t>
      </w:r>
      <w:r w:rsidR="00CB4757">
        <w:t>percentiles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BE318D" w:rsidRPr="00BE318D">
        <w:rPr>
          <w:highlight w:val="yellow"/>
        </w:rPr>
        <w:t>, figure x</w:t>
      </w:r>
      <w:r w:rsidR="007413EB">
        <w:t>), we ensured that the total cumulative budget was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BE318D" w:rsidRPr="00BE318D">
        <w:rPr>
          <w:highlight w:val="yellow"/>
        </w:rPr>
        <w:t>, figure x</w:t>
      </w:r>
      <w:r w:rsidR="007413EB">
        <w:t>)</w:t>
      </w:r>
      <w:r w:rsidR="00142235">
        <w:t>.</w:t>
      </w:r>
      <w:r w:rsidR="007413EB">
        <w:t xml:space="preserve"> </w:t>
      </w:r>
    </w:p>
    <w:p w14:paraId="562B8EFA" w14:textId="659985EF"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r w:rsidR="00FA38CC">
        <w:t xml:space="preserve">It is important to recognise the incomparability between the absolute </w:t>
      </w:r>
      <w:r w:rsidR="00FA38CC">
        <w:lastRenderedPageBreak/>
        <w:t xml:space="preserve">values of the manager and user budgets, and therefore to differentiate the two parameters in this study we will refer to the user budget as “community resources”.   </w:t>
      </w:r>
    </w:p>
    <w:p w14:paraId="1502BDFD" w14:textId="3E6EE840" w:rsidR="00AF4EFE" w:rsidRDefault="00AF4EFE">
      <w:r>
        <w:t xml:space="preserve">All simulations were conducted using the R package GMSE (Duthie et al 2018, </w:t>
      </w:r>
      <w:r w:rsidR="00FA38CC">
        <w:t>v0.6.2.0</w:t>
      </w:r>
      <w:r>
        <w:t xml:space="preserve">), and all associated analyses described below were conducted in R </w:t>
      </w:r>
      <w:r w:rsidR="00FA38CC">
        <w:fldChar w:fldCharType="begin"/>
      </w:r>
      <w:r w:rsidR="00FA38CC">
        <w:instrText xml:space="preserve"> ADDIN ZOTERO_ITEM CSL_CITATION {"citationID":"fQN23mFN","properties":{"formattedCitation":"(R Core Team, 2021)","plainCitation":"(R Core Team, 2021)","noteIndex":0},"citationItems":[{"id":2766,"uris":["http://zotero.org/users/2170232/items/Q57ZB3Z5"],"uri":["http://zotero.org/users/2170232/items/Q57ZB3Z5"],"itemData":{"id":2766,"type":"book","event-place":"Vienna,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rsidR="00FA38CC">
        <w:fldChar w:fldCharType="separate"/>
      </w:r>
      <w:r w:rsidR="00FA38CC" w:rsidRPr="00FA38CC">
        <w:rPr>
          <w:rFonts w:ascii="Calibri" w:hAnsi="Calibri" w:cs="Calibri"/>
        </w:rPr>
        <w:t>(</w:t>
      </w:r>
      <w:r w:rsidR="00FA38CC">
        <w:rPr>
          <w:rFonts w:ascii="Calibri" w:hAnsi="Calibri" w:cs="Calibri"/>
        </w:rPr>
        <w:t xml:space="preserve">v4.0.4, </w:t>
      </w:r>
      <w:r w:rsidR="00FA38CC" w:rsidRPr="00FA38CC">
        <w:rPr>
          <w:rFonts w:ascii="Calibri" w:hAnsi="Calibri" w:cs="Calibri"/>
        </w:rPr>
        <w:t>R Core Team, 2021)</w:t>
      </w:r>
      <w:r w:rsidR="00FA38CC">
        <w:fldChar w:fldCharType="end"/>
      </w:r>
      <w:r>
        <w:t>.</w:t>
      </w:r>
    </w:p>
    <w:p w14:paraId="76E98E81" w14:textId="40EB369D" w:rsidR="00373BAB" w:rsidRDefault="00373BAB">
      <w:pPr>
        <w:rPr>
          <w:u w:val="single"/>
        </w:rPr>
      </w:pPr>
      <w:r>
        <w:rPr>
          <w:u w:val="single"/>
        </w:rPr>
        <w:t>Scenario 1</w:t>
      </w:r>
    </w:p>
    <w:p w14:paraId="7D80957E" w14:textId="2E7A1919" w:rsidR="00373BAB" w:rsidRPr="00373BAB" w:rsidRDefault="00373BAB">
      <w:r>
        <w:t>This scenario assumed that the manager budget does not change over the simulation</w:t>
      </w:r>
      <w:r w:rsidR="00727BF0">
        <w:t xml:space="preserve"> period</w:t>
      </w:r>
      <w:r w:rsidR="00BE318D">
        <w:t xml:space="preserve"> (</w:t>
      </w:r>
      <w:r w:rsidR="00BE318D" w:rsidRPr="00BE318D">
        <w:rPr>
          <w:highlight w:val="yellow"/>
        </w:rPr>
        <w:t>Figure x)</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0284C4CA" w:rsidR="009A2EB4" w:rsidRDefault="009A2EB4">
      <w:r>
        <w:t xml:space="preserve">This scenario </w:t>
      </w:r>
      <w:r w:rsidR="007413EB">
        <w:t>assumed that the budget available to the manager</w:t>
      </w:r>
      <w:r w:rsidR="00FA38CC">
        <w:t xml:space="preserve"> starts </w:t>
      </w:r>
      <w:r w:rsidR="00B61BE2">
        <w:t>low but</w:t>
      </w:r>
      <w:r w:rsidR="007413EB">
        <w:t xml:space="preserve"> increases with increasing pressure on the landscape</w:t>
      </w:r>
      <w:r w:rsidR="00BE318D">
        <w:t xml:space="preserve"> (</w:t>
      </w:r>
      <w:r w:rsidR="00BE318D" w:rsidRPr="00BE318D">
        <w:rPr>
          <w:highlight w:val="yellow"/>
        </w:rPr>
        <w:t>Figure x</w:t>
      </w:r>
      <w:r w:rsidR="00BE318D">
        <w:t>)</w:t>
      </w:r>
      <w:r w:rsidR="007413EB">
        <w:t xml:space="preserve">. </w:t>
      </w:r>
      <w:r w:rsidR="00142235">
        <w:t>This scenario could represent a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w:t>
      </w:r>
      <w:r w:rsidR="00727BF0">
        <w:t>equal to scenarios 3 to 5</w:t>
      </w:r>
      <w:r w:rsidR="002D29FF">
        <w:t>.</w:t>
      </w:r>
    </w:p>
    <w:p w14:paraId="408F9D8A" w14:textId="73228E94" w:rsidR="00313FA7" w:rsidRDefault="00313FA7">
      <w:pPr>
        <w:rPr>
          <w:u w:val="single"/>
        </w:rPr>
      </w:pPr>
      <w:commentRangeStart w:id="3"/>
      <w:r>
        <w:rPr>
          <w:u w:val="single"/>
        </w:rPr>
        <w:t>Scenario 3</w:t>
      </w:r>
      <w:commentRangeEnd w:id="3"/>
      <w:r w:rsidR="00B8099A">
        <w:rPr>
          <w:rStyle w:val="CommentReference"/>
        </w:rPr>
        <w:commentReference w:id="3"/>
      </w:r>
    </w:p>
    <w:p w14:paraId="0AE630D1" w14:textId="0228263C" w:rsidR="00B61BE2" w:rsidRDefault="00313FA7">
      <w:r>
        <w:t>This scenario assumed that the budget available to the manager increases and decreases in a regular and predictable way, regardless of the changing pressure on the landscape</w:t>
      </w:r>
      <w:r w:rsidR="00BE318D">
        <w:t xml:space="preserve"> (</w:t>
      </w:r>
      <w:r w:rsidR="00BE318D" w:rsidRPr="00BE318D">
        <w:rPr>
          <w:highlight w:val="yellow"/>
        </w:rPr>
        <w:t>Figure x</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2E591E">
        <w:t xml:space="preserve">To simulate this funding </w:t>
      </w:r>
      <w:r w:rsidR="002D29FF">
        <w:t>cycle,</w:t>
      </w:r>
      <w:r w:rsidR="002E591E">
        <w:t xml:space="preserve"> we produced a sine wave of the form:</w:t>
      </w:r>
    </w:p>
    <w:p w14:paraId="0FC4C8EB" w14:textId="03F28BB4" w:rsidR="00313FA7" w:rsidRPr="00B61BE2" w:rsidRDefault="00B61BE2">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677714CC" w14:textId="03040701" w:rsidR="00B61BE2" w:rsidRPr="00243919" w:rsidRDefault="00B61BE2">
      <w:r>
        <w:t xml:space="preserve">Where </w:t>
      </w:r>
      <w:r>
        <w:rPr>
          <w:i/>
          <w:iCs/>
        </w:rPr>
        <w:t>MB</w:t>
      </w:r>
      <w:r>
        <w:t xml:space="preserve"> is a vector of resulting manager budget values</w:t>
      </w:r>
      <w:r w:rsidR="00243919">
        <w:t xml:space="preserve">, and </w:t>
      </w:r>
      <w:r w:rsidR="00243919">
        <w:rPr>
          <w:i/>
          <w:iCs/>
        </w:rPr>
        <w:t>t</w:t>
      </w:r>
      <w:r w:rsidR="00243919">
        <w:t xml:space="preserve"> is a vector of time steps (1:50).</w:t>
      </w:r>
    </w:p>
    <w:p w14:paraId="1F1D08FE" w14:textId="3BE88069" w:rsidR="009E6796" w:rsidRDefault="009E6796">
      <w:pPr>
        <w:rPr>
          <w:u w:val="single"/>
        </w:rPr>
      </w:pPr>
      <w:r>
        <w:rPr>
          <w:u w:val="single"/>
        </w:rPr>
        <w:t>Scenario 4</w:t>
      </w:r>
    </w:p>
    <w:p w14:paraId="61AB42A2" w14:textId="324AB3A9" w:rsidR="00243919" w:rsidRDefault="00243919" w:rsidP="00243919">
      <w:r>
        <w:t>This scenario assumed that the budget available to the manager increased and decreased in unpredictable and irregular ways (</w:t>
      </w:r>
      <w:r w:rsidRPr="00BE318D">
        <w:rPr>
          <w:highlight w:val="yellow"/>
        </w:rPr>
        <w:t>Figure x</w:t>
      </w:r>
      <w:r>
        <w:t>). This was to simulate a conservation landscape in which the management authority relies on grant funding for policy implementation, and so applies for a range of different grants which vary in size and duration and is not necessarily successful at any given time.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random sine waves by randomly sampling values between</w:t>
      </w:r>
      <w:r w:rsidR="001A393C">
        <w:t xml:space="preserve"> 0.01 and 0.08 for the fundamental frequency, between</w:t>
      </w:r>
      <w:r>
        <w:t xml:space="preserve"> </w:t>
      </w:r>
      <w:r>
        <w:t>1</w:t>
      </w:r>
      <w:r>
        <w:t xml:space="preserve"> and </w:t>
      </w:r>
      <w:r>
        <w:t>5</w:t>
      </w:r>
      <w:r>
        <w:t xml:space="preserve"> for the wave frequency, between </w:t>
      </w:r>
      <w:r>
        <w:t xml:space="preserve">1 </w:t>
      </w:r>
      <w:r>
        <w:t xml:space="preserve">and </w:t>
      </w:r>
      <w:r w:rsidRPr="00243919">
        <w:t>150</w:t>
      </w:r>
      <w:r w:rsidRPr="00243919">
        <w:t xml:space="preserve"> </w:t>
      </w:r>
      <w:r>
        <w:t xml:space="preserve">for the </w:t>
      </w:r>
      <w:r>
        <w:lastRenderedPageBreak/>
        <w:t>wave strength (amplitude), and betwee</w:t>
      </w:r>
      <w:r w:rsidRPr="001A393C">
        <w:t xml:space="preserve">n </w:t>
      </w:r>
      <w:r w:rsidRPr="001A393C">
        <w:t>0</w:t>
      </w:r>
      <w:r w:rsidRPr="001A393C">
        <w:t xml:space="preserve"> and </w:t>
      </w:r>
      <w:r w:rsidRPr="001A393C">
        <w:t>18</w:t>
      </w:r>
      <w:r>
        <w:t>0</w:t>
      </w:r>
      <w:r>
        <w:t xml:space="preserve"> for the wave delay. The three sine waves were then combined using an Inverse Fourier Transform to produce a random complex wave (</w:t>
      </w:r>
      <w:r w:rsidRPr="00E579D7">
        <w:rPr>
          <w:highlight w:val="yellow"/>
        </w:rPr>
        <w:t>ref?</w:t>
      </w:r>
      <w:r>
        <w:t xml:space="preserve">). Each of the </w:t>
      </w:r>
      <w:r>
        <w:t>100</w:t>
      </w:r>
      <w:r>
        <w:t xml:space="preserve"> replicates produced a different complex wave (</w:t>
      </w:r>
      <w:r w:rsidRPr="00884B8E">
        <w:rPr>
          <w:highlight w:val="yellow"/>
        </w:rPr>
        <w:t>Figure xx</w:t>
      </w:r>
      <w:r>
        <w:t xml:space="preserve"> </w:t>
      </w:r>
      <w:r>
        <w:t>shows 10</w:t>
      </w:r>
      <w:r>
        <w:t xml:space="preserve"> example</w:t>
      </w:r>
      <w:r>
        <w:t>s</w:t>
      </w:r>
      <w:r>
        <w:t xml:space="preserve">, see Supporting Information for all the waves used in the simulations). </w:t>
      </w:r>
      <w:r>
        <w:t>The Inverse Fourier Transform took the form:</w:t>
      </w:r>
    </w:p>
    <w:p w14:paraId="617007F1" w14:textId="25A45BE5" w:rsidR="00243919" w:rsidRPr="002E591E" w:rsidRDefault="00243919" w:rsidP="00243919">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61930ECA" w14:textId="6EA39C29" w:rsidR="00243919" w:rsidRPr="009002C0" w:rsidRDefault="00CA777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sidR="009002C0">
        <w:rPr>
          <w:i/>
          <w:iCs/>
        </w:rPr>
        <w:t xml:space="preserve">2 </w:t>
      </w:r>
      <w:r w:rsidR="009002C0">
        <w:rPr>
          <w:rFonts w:cstheme="minorHAnsi"/>
          <w:i/>
          <w:iCs/>
        </w:rPr>
        <w:t>×</w:t>
      </w:r>
      <w:r w:rsidR="009002C0">
        <w:rPr>
          <w:rFonts w:eastAsiaTheme="minorEastAsia"/>
          <w:i/>
        </w:rPr>
        <w:t xml:space="preserve"> </w:t>
      </w:r>
      <w:r w:rsidR="009002C0">
        <w:rPr>
          <w:rFonts w:eastAsiaTheme="minorEastAsia" w:cstheme="minorHAnsi"/>
          <w:i/>
        </w:rPr>
        <w:t xml:space="preserve">π </w:t>
      </w:r>
      <w:r w:rsidR="009002C0">
        <w:rPr>
          <w:rFonts w:cstheme="minorHAnsi"/>
          <w:i/>
          <w:iCs/>
        </w:rPr>
        <w:t>×</w:t>
      </w:r>
      <w:r w:rsidR="009002C0">
        <w:rPr>
          <w:rFonts w:cstheme="minorHAnsi"/>
          <w:i/>
          <w:iCs/>
        </w:rPr>
        <w:t xml:space="preserve"> F0</w:t>
      </w:r>
      <w:r w:rsidR="009002C0" w:rsidRPr="009002C0">
        <w:rPr>
          <w:rFonts w:cstheme="minorHAnsi"/>
        </w:rPr>
        <w:t>,</w:t>
      </w:r>
      <w:r w:rsidR="009002C0">
        <w:rPr>
          <w:rFonts w:cstheme="minorHAnsi"/>
        </w:rPr>
        <w:t xml:space="preserve"> where </w:t>
      </w:r>
      <w:r w:rsidR="009002C0">
        <w:rPr>
          <w:rFonts w:cstheme="minorHAnsi"/>
          <w:i/>
          <w:iCs/>
        </w:rPr>
        <w:t>F0</w:t>
      </w:r>
      <w:r w:rsidR="009002C0">
        <w:rPr>
          <w:rFonts w:cstheme="minorHAnsi"/>
        </w:rPr>
        <w:t xml:space="preserve"> is the fundamental frequency, </w:t>
      </w:r>
      <w:r w:rsidR="009002C0">
        <w:rPr>
          <w:rFonts w:cstheme="minorHAnsi"/>
          <w:i/>
          <w:iCs/>
        </w:rPr>
        <w:t>t</w:t>
      </w:r>
      <w:r w:rsidR="009002C0">
        <w:rPr>
          <w:rFonts w:cstheme="minorHAnsi"/>
        </w:rPr>
        <w:t xml:space="preserve"> is the duration of the wave, and </w:t>
      </w:r>
      <w:r w:rsidR="009002C0">
        <w:rPr>
          <w:rFonts w:cstheme="minorHAnsi"/>
          <w:i/>
          <w:iCs/>
        </w:rPr>
        <w:t>cd</w:t>
      </w:r>
      <w:r w:rsidR="009002C0">
        <w:rPr>
          <w:rFonts w:cstheme="minorHAnsi"/>
        </w:rPr>
        <w:t xml:space="preserve"> is the component delay.</w:t>
      </w:r>
      <w:r w:rsidR="009002C0">
        <w:rPr>
          <w:rFonts w:eastAsiaTheme="minorEastAsia"/>
          <w:i/>
        </w:rPr>
        <w:t xml:space="preserve"> </w:t>
      </w:r>
    </w:p>
    <w:p w14:paraId="15ADE8A7" w14:textId="6B8A7C3F" w:rsidR="00B8099A" w:rsidRDefault="002E591E" w:rsidP="00B8099A">
      <w:pPr>
        <w:rPr>
          <w:u w:val="single"/>
        </w:rPr>
      </w:pPr>
      <w:r>
        <w:rPr>
          <w:u w:val="single"/>
        </w:rPr>
        <w:t>Scenario 5</w:t>
      </w:r>
    </w:p>
    <w:p w14:paraId="2BF06AA9" w14:textId="672B807D" w:rsidR="009E6796" w:rsidRDefault="009002C0">
      <w:r>
        <w:t>This scenario is a more extreme example of scenario 4</w:t>
      </w:r>
      <w:r w:rsidR="00033B08">
        <w:t xml:space="preserve"> and </w:t>
      </w:r>
      <w:r w:rsidR="00033B08">
        <w:t>was to test the effect of increased variation and uncertainty in manager budgets on deforestation and system dynamics</w:t>
      </w:r>
      <w:r>
        <w:t xml:space="preserve">. We increased the range of the available values from which the fundamental frequency and component strength could be sampled from, thus increasing the </w:t>
      </w:r>
      <w:r w:rsidR="00033B08">
        <w:t>potential amplitude of each wave, and making the changes in wave frequency more extreme (</w:t>
      </w:r>
      <w:r w:rsidR="00033B08" w:rsidRPr="001A393C">
        <w:rPr>
          <w:highlight w:val="yellow"/>
        </w:rPr>
        <w:t>figure xx s</w:t>
      </w:r>
      <w:r w:rsidR="00033B08">
        <w:t xml:space="preserve">hows 10 examples, see Supporting Information for all the waves used in the simulations). </w:t>
      </w:r>
      <w:r w:rsidR="00033B08">
        <w:t>To simulate this scenario, we produced a set of three random sine waves by randomly sampling values between</w:t>
      </w:r>
      <w:r w:rsidR="001A393C">
        <w:t xml:space="preserve"> 0.01 and 0.2 for the fundamental frequency, between</w:t>
      </w:r>
      <w:r w:rsidR="00033B08">
        <w:t xml:space="preserve"> 1 and 5 for the wave frequency, between values 1 and </w:t>
      </w:r>
      <w:r w:rsidR="001A393C">
        <w:t>300</w:t>
      </w:r>
      <w:r w:rsidR="00033B08" w:rsidRPr="00243919">
        <w:t xml:space="preserve"> </w:t>
      </w:r>
      <w:r w:rsidR="00033B08">
        <w:t xml:space="preserve">for the wave strength (amplitude), and </w:t>
      </w:r>
      <w:r w:rsidR="00033B08" w:rsidRPr="001A393C">
        <w:t>between 0 and</w:t>
      </w:r>
      <w:r w:rsidR="00033B08">
        <w:t xml:space="preserve"> 180 for the wave delay.</w:t>
      </w:r>
    </w:p>
    <w:p w14:paraId="0AED1CF8" w14:textId="3ADEF738" w:rsidR="001A393C" w:rsidRDefault="001A393C">
      <w:pPr>
        <w:rPr>
          <w:u w:val="single"/>
        </w:rPr>
      </w:pPr>
      <w:r>
        <w:rPr>
          <w:u w:val="single"/>
        </w:rPr>
        <w:t xml:space="preserve">Standardisation </w:t>
      </w:r>
    </w:p>
    <w:p w14:paraId="16BF016D" w14:textId="06334053" w:rsidR="001A393C" w:rsidRDefault="001A393C">
      <w:r>
        <w:t xml:space="preserve">For scenarios 2 to 5 we standardised the manager budgets to a total cumulative budget over the </w:t>
      </w:r>
      <w:proofErr w:type="gramStart"/>
      <w:r>
        <w:t>50 time</w:t>
      </w:r>
      <w:proofErr w:type="gramEnd"/>
      <w:r>
        <w:t xml:space="preserve"> steps of 25,000, using:</w:t>
      </w:r>
    </w:p>
    <w:p w14:paraId="7737522B" w14:textId="3E6EF9D6" w:rsidR="001A393C" w:rsidRPr="001A393C" w:rsidRDefault="001A393C">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6673FD42" w14:textId="77777777" w:rsidR="009A2EB4" w:rsidRDefault="009A2EB4">
      <w:pPr>
        <w:rPr>
          <w:u w:val="single"/>
        </w:rPr>
      </w:pPr>
    </w:p>
    <w:p w14:paraId="0E57F11B" w14:textId="7366FC0D" w:rsidR="009A2EB4" w:rsidRPr="001A393C" w:rsidRDefault="001A393C">
      <w:pPr>
        <w:sectPr w:rsidR="009A2EB4" w:rsidRPr="001A393C">
          <w:pgSz w:w="11906" w:h="16838"/>
          <w:pgMar w:top="1440" w:right="1440" w:bottom="1440" w:left="1440" w:header="708" w:footer="708" w:gutter="0"/>
          <w:cols w:space="708"/>
          <w:docGrid w:linePitch="360"/>
        </w:sectPr>
      </w:pPr>
      <w:r>
        <w:t xml:space="preserve">where </w:t>
      </w:r>
      <w:r>
        <w:rPr>
          <w:i/>
          <w:iCs/>
        </w:rPr>
        <w:t>x</w:t>
      </w:r>
      <w:r>
        <w:t xml:space="preserve"> is the </w:t>
      </w:r>
      <w:r w:rsidR="00FA1D16">
        <w:t xml:space="preserve">vector of manager budget values produced in the above sections. </w:t>
      </w:r>
      <w:r>
        <w:t xml:space="preserve"> </w:t>
      </w:r>
    </w:p>
    <w:p w14:paraId="6B9D77EF" w14:textId="2A054033" w:rsidR="00D145B7" w:rsidRPr="00AB00D5" w:rsidRDefault="00A84B94">
      <w:pPr>
        <w:rPr>
          <w:b/>
          <w:bCs/>
          <w:sz w:val="20"/>
          <w:szCs w:val="20"/>
        </w:rPr>
      </w:pPr>
      <w:r w:rsidRPr="00AB00D5">
        <w:rPr>
          <w:b/>
          <w:bCs/>
          <w:sz w:val="20"/>
          <w:szCs w:val="20"/>
        </w:rPr>
        <w:lastRenderedPageBreak/>
        <w:t xml:space="preserve">Table </w:t>
      </w:r>
      <w:r w:rsidR="00FA1D16" w:rsidRPr="00AB00D5">
        <w:rPr>
          <w:b/>
          <w:bCs/>
          <w:sz w:val="20"/>
          <w:szCs w:val="20"/>
        </w:rPr>
        <w:t xml:space="preserve">1. </w:t>
      </w:r>
      <w:r w:rsidR="000665A6" w:rsidRPr="00AB00D5">
        <w:rPr>
          <w:b/>
          <w:bCs/>
          <w:sz w:val="20"/>
          <w:szCs w:val="20"/>
        </w:rPr>
        <w:t>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A84B94" w:rsidRPr="00A84B94" w14:paraId="28334EB6" w14:textId="77777777" w:rsidTr="000665A6">
        <w:tc>
          <w:tcPr>
            <w:tcW w:w="993" w:type="dxa"/>
            <w:vMerge w:val="restart"/>
            <w:tcBorders>
              <w:top w:val="single" w:sz="12" w:space="0" w:color="auto"/>
            </w:tcBorders>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420" w:type="dxa"/>
            <w:tcBorders>
              <w:top w:val="single" w:sz="12" w:space="0" w:color="auto"/>
            </w:tcBorders>
          </w:tcPr>
          <w:p w14:paraId="53A13B47" w14:textId="77777777" w:rsidR="00A84B94" w:rsidRPr="00A84B94" w:rsidRDefault="00A84B94" w:rsidP="00A84B94">
            <w:pPr>
              <w:jc w:val="center"/>
              <w:rPr>
                <w:b/>
                <w:bCs/>
                <w:sz w:val="20"/>
                <w:szCs w:val="20"/>
              </w:rPr>
            </w:pPr>
          </w:p>
        </w:tc>
        <w:tc>
          <w:tcPr>
            <w:tcW w:w="4172" w:type="dxa"/>
            <w:gridSpan w:val="3"/>
            <w:tcBorders>
              <w:top w:val="single" w:sz="12" w:space="0" w:color="auto"/>
            </w:tcBorders>
          </w:tcPr>
          <w:p w14:paraId="375DE552" w14:textId="07B0DDF1" w:rsidR="00A84B94" w:rsidRPr="00A84B94" w:rsidRDefault="000665A6" w:rsidP="00A84B94">
            <w:pPr>
              <w:jc w:val="center"/>
              <w:rPr>
                <w:b/>
                <w:bCs/>
                <w:sz w:val="20"/>
                <w:szCs w:val="20"/>
              </w:rPr>
            </w:pPr>
            <w:r>
              <w:rPr>
                <w:b/>
                <w:bCs/>
                <w:sz w:val="20"/>
                <w:szCs w:val="20"/>
              </w:rPr>
              <w:t xml:space="preserve">Community resources </w:t>
            </w:r>
          </w:p>
        </w:tc>
      </w:tr>
      <w:tr w:rsidR="00A84B94" w:rsidRPr="00A84B94" w14:paraId="306407FD" w14:textId="77777777" w:rsidTr="000665A6">
        <w:tc>
          <w:tcPr>
            <w:tcW w:w="993" w:type="dxa"/>
            <w:vMerge/>
            <w:tcBorders>
              <w:bottom w:val="single" w:sz="12" w:space="0" w:color="auto"/>
            </w:tcBorders>
          </w:tcPr>
          <w:p w14:paraId="535F6060" w14:textId="77777777" w:rsidR="00A84B94" w:rsidRPr="00A84B94" w:rsidRDefault="00A84B94" w:rsidP="00A84B94">
            <w:pPr>
              <w:jc w:val="center"/>
              <w:rPr>
                <w:b/>
                <w:bCs/>
                <w:sz w:val="20"/>
                <w:szCs w:val="20"/>
              </w:rPr>
            </w:pPr>
          </w:p>
        </w:tc>
        <w:tc>
          <w:tcPr>
            <w:tcW w:w="5103" w:type="dxa"/>
            <w:vMerge/>
            <w:tcBorders>
              <w:bottom w:val="single" w:sz="12" w:space="0" w:color="auto"/>
            </w:tcBorders>
          </w:tcPr>
          <w:p w14:paraId="0D012EED" w14:textId="77777777" w:rsidR="00A84B94" w:rsidRPr="00A84B94" w:rsidRDefault="00A84B94" w:rsidP="00A84B94">
            <w:pPr>
              <w:jc w:val="center"/>
              <w:rPr>
                <w:b/>
                <w:bCs/>
                <w:sz w:val="20"/>
                <w:szCs w:val="20"/>
              </w:rPr>
            </w:pPr>
          </w:p>
        </w:tc>
        <w:tc>
          <w:tcPr>
            <w:tcW w:w="1417" w:type="dxa"/>
            <w:tcBorders>
              <w:top w:val="single" w:sz="6" w:space="0" w:color="auto"/>
              <w:bottom w:val="single" w:sz="12" w:space="0" w:color="auto"/>
            </w:tcBorders>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55E6E472" w14:textId="77777777" w:rsidR="00A84B94" w:rsidRPr="00A84B94" w:rsidRDefault="00A84B94" w:rsidP="00A84B94">
            <w:pPr>
              <w:jc w:val="center"/>
              <w:rPr>
                <w:b/>
                <w:bCs/>
                <w:sz w:val="20"/>
                <w:szCs w:val="20"/>
              </w:rPr>
            </w:pPr>
          </w:p>
        </w:tc>
        <w:tc>
          <w:tcPr>
            <w:tcW w:w="1418" w:type="dxa"/>
            <w:tcBorders>
              <w:top w:val="single" w:sz="6" w:space="0" w:color="auto"/>
              <w:bottom w:val="single" w:sz="12" w:space="0" w:color="auto"/>
            </w:tcBorders>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0B3FF9EF" w14:textId="6A537DF9" w:rsidR="00A84B94" w:rsidRPr="00A84B94" w:rsidRDefault="00A84B94" w:rsidP="00A84B94">
            <w:pPr>
              <w:jc w:val="center"/>
              <w:rPr>
                <w:b/>
                <w:bCs/>
                <w:sz w:val="20"/>
                <w:szCs w:val="20"/>
              </w:rPr>
            </w:pPr>
            <w:r w:rsidRPr="00A84B94">
              <w:rPr>
                <w:b/>
                <w:bCs/>
                <w:sz w:val="20"/>
                <w:szCs w:val="20"/>
              </w:rPr>
              <w:t xml:space="preserve">Total cumulative </w:t>
            </w:r>
            <w:r w:rsidR="000665A6">
              <w:rPr>
                <w:b/>
                <w:bCs/>
                <w:sz w:val="20"/>
                <w:szCs w:val="20"/>
              </w:rPr>
              <w:t>resources</w:t>
            </w:r>
          </w:p>
        </w:tc>
      </w:tr>
      <w:tr w:rsidR="00A84B94" w:rsidRPr="009A2EB4" w14:paraId="01ABF454" w14:textId="77777777" w:rsidTr="000665A6">
        <w:tc>
          <w:tcPr>
            <w:tcW w:w="993" w:type="dxa"/>
            <w:tcBorders>
              <w:top w:val="single" w:sz="12" w:space="0" w:color="auto"/>
            </w:tcBorders>
          </w:tcPr>
          <w:p w14:paraId="0893374D" w14:textId="56847A16" w:rsidR="00A84B94" w:rsidRPr="009A2EB4" w:rsidRDefault="00A84B94">
            <w:pPr>
              <w:rPr>
                <w:sz w:val="20"/>
                <w:szCs w:val="20"/>
              </w:rPr>
            </w:pPr>
            <w:r w:rsidRPr="009A2EB4">
              <w:rPr>
                <w:sz w:val="20"/>
                <w:szCs w:val="20"/>
              </w:rPr>
              <w:t>1</w:t>
            </w:r>
          </w:p>
        </w:tc>
        <w:tc>
          <w:tcPr>
            <w:tcW w:w="5103" w:type="dxa"/>
            <w:tcBorders>
              <w:top w:val="single" w:sz="12" w:space="0" w:color="auto"/>
            </w:tcBorders>
          </w:tcPr>
          <w:p w14:paraId="12BD35E7" w14:textId="4DD956E3" w:rsidR="00A84B94" w:rsidRPr="009A2EB4" w:rsidRDefault="007413EB">
            <w:pPr>
              <w:rPr>
                <w:sz w:val="20"/>
                <w:szCs w:val="20"/>
              </w:rPr>
            </w:pPr>
            <w:r w:rsidRPr="009A2EB4">
              <w:rPr>
                <w:sz w:val="20"/>
                <w:szCs w:val="20"/>
              </w:rPr>
              <w:t>Manager budget remains constant (i.e., does not increase)</w:t>
            </w:r>
            <w:r w:rsidR="000665A6">
              <w:rPr>
                <w:sz w:val="20"/>
                <w:szCs w:val="20"/>
              </w:rPr>
              <w:t xml:space="preserve"> over time</w:t>
            </w:r>
            <w:r w:rsidR="00FA1D16">
              <w:rPr>
                <w:sz w:val="20"/>
                <w:szCs w:val="20"/>
              </w:rPr>
              <w:t>. Community resources increases linearly</w:t>
            </w:r>
            <w:r w:rsidRPr="009A2EB4">
              <w:rPr>
                <w:sz w:val="20"/>
                <w:szCs w:val="20"/>
              </w:rPr>
              <w:t xml:space="preserve"> </w:t>
            </w:r>
          </w:p>
        </w:tc>
        <w:tc>
          <w:tcPr>
            <w:tcW w:w="1417" w:type="dxa"/>
            <w:tcBorders>
              <w:top w:val="single" w:sz="12" w:space="0" w:color="auto"/>
            </w:tcBorders>
          </w:tcPr>
          <w:p w14:paraId="7FC9A9D8" w14:textId="132E3EBB" w:rsidR="00A84B94" w:rsidRPr="009A2EB4" w:rsidRDefault="00FA1D16" w:rsidP="000665A6">
            <w:pPr>
              <w:jc w:val="center"/>
              <w:rPr>
                <w:sz w:val="20"/>
                <w:szCs w:val="20"/>
              </w:rPr>
            </w:pPr>
            <w:r>
              <w:rPr>
                <w:sz w:val="20"/>
                <w:szCs w:val="20"/>
              </w:rPr>
              <w:t>500</w:t>
            </w:r>
          </w:p>
        </w:tc>
        <w:tc>
          <w:tcPr>
            <w:tcW w:w="1843" w:type="dxa"/>
            <w:tcBorders>
              <w:top w:val="single" w:sz="12" w:space="0" w:color="auto"/>
            </w:tcBorders>
          </w:tcPr>
          <w:p w14:paraId="7685B5E2" w14:textId="0ED45A8E" w:rsidR="00A84B94" w:rsidRPr="009A2EB4" w:rsidRDefault="00FA1D16" w:rsidP="000665A6">
            <w:pPr>
              <w:jc w:val="center"/>
              <w:rPr>
                <w:sz w:val="20"/>
                <w:szCs w:val="20"/>
              </w:rPr>
            </w:pPr>
            <w:r>
              <w:rPr>
                <w:sz w:val="20"/>
                <w:szCs w:val="20"/>
              </w:rPr>
              <w:t>25,000</w:t>
            </w:r>
          </w:p>
        </w:tc>
        <w:tc>
          <w:tcPr>
            <w:tcW w:w="420" w:type="dxa"/>
            <w:tcBorders>
              <w:top w:val="single" w:sz="12" w:space="0" w:color="auto"/>
            </w:tcBorders>
          </w:tcPr>
          <w:p w14:paraId="029F8708" w14:textId="77777777" w:rsidR="00A84B94" w:rsidRPr="009A2EB4" w:rsidRDefault="00A84B94" w:rsidP="000665A6">
            <w:pPr>
              <w:jc w:val="center"/>
              <w:rPr>
                <w:sz w:val="20"/>
                <w:szCs w:val="20"/>
              </w:rPr>
            </w:pPr>
          </w:p>
        </w:tc>
        <w:tc>
          <w:tcPr>
            <w:tcW w:w="1418" w:type="dxa"/>
            <w:tcBorders>
              <w:top w:val="single" w:sz="12" w:space="0" w:color="auto"/>
            </w:tcBorders>
          </w:tcPr>
          <w:p w14:paraId="3D0BEEFC" w14:textId="719F1888" w:rsidR="00A84B94" w:rsidRPr="009A2EB4" w:rsidRDefault="00FA1D16" w:rsidP="000665A6">
            <w:pPr>
              <w:jc w:val="center"/>
              <w:rPr>
                <w:sz w:val="20"/>
                <w:szCs w:val="20"/>
              </w:rPr>
            </w:pPr>
            <w:r>
              <w:rPr>
                <w:sz w:val="20"/>
                <w:szCs w:val="20"/>
              </w:rPr>
              <w:t>2000</w:t>
            </w:r>
          </w:p>
        </w:tc>
        <w:tc>
          <w:tcPr>
            <w:tcW w:w="1134" w:type="dxa"/>
            <w:tcBorders>
              <w:top w:val="single" w:sz="12" w:space="0" w:color="auto"/>
            </w:tcBorders>
          </w:tcPr>
          <w:p w14:paraId="0DDC126B" w14:textId="7DCDA185" w:rsidR="00A84B94" w:rsidRPr="009A2EB4" w:rsidRDefault="00FA1D16" w:rsidP="000665A6">
            <w:pPr>
              <w:jc w:val="center"/>
              <w:rPr>
                <w:sz w:val="20"/>
                <w:szCs w:val="20"/>
              </w:rPr>
            </w:pPr>
            <w:r>
              <w:rPr>
                <w:sz w:val="20"/>
                <w:szCs w:val="20"/>
              </w:rPr>
              <w:t>75</w:t>
            </w:r>
          </w:p>
        </w:tc>
        <w:tc>
          <w:tcPr>
            <w:tcW w:w="1620" w:type="dxa"/>
            <w:tcBorders>
              <w:top w:val="single" w:sz="12" w:space="0" w:color="auto"/>
            </w:tcBorders>
          </w:tcPr>
          <w:p w14:paraId="4EBB4752" w14:textId="005EE780" w:rsidR="00A84B94" w:rsidRPr="009A2EB4" w:rsidRDefault="00FA1D16" w:rsidP="000665A6">
            <w:pPr>
              <w:jc w:val="center"/>
              <w:rPr>
                <w:sz w:val="20"/>
                <w:szCs w:val="20"/>
              </w:rPr>
            </w:pPr>
            <w:r>
              <w:rPr>
                <w:sz w:val="20"/>
                <w:szCs w:val="20"/>
              </w:rPr>
              <w:t>191,875</w:t>
            </w:r>
          </w:p>
        </w:tc>
      </w:tr>
      <w:tr w:rsidR="00FA1D16" w:rsidRPr="009A2EB4" w14:paraId="4AF6B62F" w14:textId="77777777" w:rsidTr="000665A6">
        <w:tc>
          <w:tcPr>
            <w:tcW w:w="993" w:type="dxa"/>
          </w:tcPr>
          <w:p w14:paraId="3CC8DE55" w14:textId="334C76DC" w:rsidR="00FA1D16" w:rsidRPr="009A2EB4" w:rsidRDefault="00FA1D16" w:rsidP="00FA1D16">
            <w:pPr>
              <w:rPr>
                <w:sz w:val="20"/>
                <w:szCs w:val="20"/>
              </w:rPr>
            </w:pPr>
            <w:r w:rsidRPr="009A2EB4">
              <w:rPr>
                <w:sz w:val="20"/>
                <w:szCs w:val="20"/>
              </w:rPr>
              <w:t>2</w:t>
            </w:r>
          </w:p>
        </w:tc>
        <w:tc>
          <w:tcPr>
            <w:tcW w:w="5103" w:type="dxa"/>
          </w:tcPr>
          <w:p w14:paraId="010635FB" w14:textId="0F8F4155" w:rsidR="00FA1D16" w:rsidRPr="009A2EB4" w:rsidRDefault="00FA1D16" w:rsidP="00FA1D16">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sidR="000665A6">
              <w:rPr>
                <w:sz w:val="20"/>
                <w:szCs w:val="20"/>
              </w:rPr>
              <w:t>, reflecting a regular and predictable increase in resources over time</w:t>
            </w:r>
            <w:r>
              <w:rPr>
                <w:sz w:val="20"/>
                <w:szCs w:val="20"/>
              </w:rPr>
              <w:t>. Community resources increase linearly</w:t>
            </w:r>
          </w:p>
        </w:tc>
        <w:tc>
          <w:tcPr>
            <w:tcW w:w="1417" w:type="dxa"/>
          </w:tcPr>
          <w:p w14:paraId="66519328" w14:textId="096F292C" w:rsidR="00FA1D16" w:rsidRPr="009A2EB4" w:rsidRDefault="00FA1D16" w:rsidP="000665A6">
            <w:pPr>
              <w:jc w:val="center"/>
              <w:rPr>
                <w:sz w:val="20"/>
                <w:szCs w:val="20"/>
              </w:rPr>
            </w:pPr>
            <w:r>
              <w:rPr>
                <w:sz w:val="20"/>
                <w:szCs w:val="20"/>
              </w:rPr>
              <w:t>126.9</w:t>
            </w:r>
          </w:p>
        </w:tc>
        <w:tc>
          <w:tcPr>
            <w:tcW w:w="1843" w:type="dxa"/>
          </w:tcPr>
          <w:p w14:paraId="62874F7B" w14:textId="7AEB6C3C" w:rsidR="00FA1D16" w:rsidRPr="009A2EB4" w:rsidRDefault="00FA1D16" w:rsidP="000665A6">
            <w:pPr>
              <w:jc w:val="center"/>
              <w:rPr>
                <w:sz w:val="20"/>
                <w:szCs w:val="20"/>
              </w:rPr>
            </w:pPr>
            <w:r>
              <w:rPr>
                <w:sz w:val="20"/>
                <w:szCs w:val="20"/>
              </w:rPr>
              <w:t>25,000</w:t>
            </w:r>
          </w:p>
        </w:tc>
        <w:tc>
          <w:tcPr>
            <w:tcW w:w="420" w:type="dxa"/>
          </w:tcPr>
          <w:p w14:paraId="7C0100D7" w14:textId="77777777" w:rsidR="00FA1D16" w:rsidRPr="009A2EB4" w:rsidRDefault="00FA1D16" w:rsidP="000665A6">
            <w:pPr>
              <w:jc w:val="center"/>
              <w:rPr>
                <w:sz w:val="20"/>
                <w:szCs w:val="20"/>
              </w:rPr>
            </w:pPr>
          </w:p>
        </w:tc>
        <w:tc>
          <w:tcPr>
            <w:tcW w:w="1418" w:type="dxa"/>
          </w:tcPr>
          <w:p w14:paraId="4D8A2C2B" w14:textId="32681729" w:rsidR="00FA1D16" w:rsidRPr="009A2EB4" w:rsidRDefault="00FA1D16" w:rsidP="000665A6">
            <w:pPr>
              <w:jc w:val="center"/>
              <w:rPr>
                <w:sz w:val="20"/>
                <w:szCs w:val="20"/>
              </w:rPr>
            </w:pPr>
            <w:r>
              <w:rPr>
                <w:sz w:val="20"/>
                <w:szCs w:val="20"/>
              </w:rPr>
              <w:t>2000</w:t>
            </w:r>
          </w:p>
        </w:tc>
        <w:tc>
          <w:tcPr>
            <w:tcW w:w="1134" w:type="dxa"/>
          </w:tcPr>
          <w:p w14:paraId="48CD5566" w14:textId="5E4D5DDA" w:rsidR="00FA1D16" w:rsidRPr="009A2EB4" w:rsidRDefault="00FA1D16" w:rsidP="000665A6">
            <w:pPr>
              <w:jc w:val="center"/>
              <w:rPr>
                <w:sz w:val="20"/>
                <w:szCs w:val="20"/>
              </w:rPr>
            </w:pPr>
            <w:r>
              <w:rPr>
                <w:sz w:val="20"/>
                <w:szCs w:val="20"/>
              </w:rPr>
              <w:t>75</w:t>
            </w:r>
          </w:p>
        </w:tc>
        <w:tc>
          <w:tcPr>
            <w:tcW w:w="1620" w:type="dxa"/>
          </w:tcPr>
          <w:p w14:paraId="0851F37D" w14:textId="59166BDB" w:rsidR="00FA1D16" w:rsidRPr="009A2EB4" w:rsidRDefault="00FA1D16" w:rsidP="000665A6">
            <w:pPr>
              <w:jc w:val="center"/>
              <w:rPr>
                <w:sz w:val="20"/>
                <w:szCs w:val="20"/>
              </w:rPr>
            </w:pPr>
            <w:r>
              <w:rPr>
                <w:sz w:val="20"/>
                <w:szCs w:val="20"/>
              </w:rPr>
              <w:t>191,875</w:t>
            </w:r>
          </w:p>
        </w:tc>
      </w:tr>
      <w:tr w:rsidR="00FA1D16" w:rsidRPr="009A2EB4" w14:paraId="1518DE93" w14:textId="77777777" w:rsidTr="000665A6">
        <w:tc>
          <w:tcPr>
            <w:tcW w:w="993" w:type="dxa"/>
          </w:tcPr>
          <w:p w14:paraId="75B8169E" w14:textId="177899BC" w:rsidR="00FA1D16" w:rsidRPr="009A2EB4" w:rsidRDefault="00FA1D16" w:rsidP="00FA1D16">
            <w:pPr>
              <w:rPr>
                <w:sz w:val="20"/>
                <w:szCs w:val="20"/>
              </w:rPr>
            </w:pPr>
            <w:r w:rsidRPr="009A2EB4">
              <w:rPr>
                <w:sz w:val="20"/>
                <w:szCs w:val="20"/>
              </w:rPr>
              <w:t>3</w:t>
            </w:r>
          </w:p>
        </w:tc>
        <w:tc>
          <w:tcPr>
            <w:tcW w:w="5103" w:type="dxa"/>
          </w:tcPr>
          <w:p w14:paraId="32489AAB" w14:textId="6FCACA5D" w:rsidR="00FA1D16" w:rsidRPr="009A2EB4" w:rsidRDefault="00FA1D16" w:rsidP="00FA1D16">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266261EC" w14:textId="0DAB3966" w:rsidR="00FA1D16" w:rsidRPr="009A2EB4" w:rsidRDefault="00FA1D16" w:rsidP="000665A6">
            <w:pPr>
              <w:jc w:val="center"/>
              <w:rPr>
                <w:sz w:val="20"/>
                <w:szCs w:val="20"/>
              </w:rPr>
            </w:pPr>
            <w:r>
              <w:rPr>
                <w:sz w:val="20"/>
                <w:szCs w:val="20"/>
              </w:rPr>
              <w:t>499.3</w:t>
            </w:r>
          </w:p>
        </w:tc>
        <w:tc>
          <w:tcPr>
            <w:tcW w:w="1843" w:type="dxa"/>
          </w:tcPr>
          <w:p w14:paraId="27535F5F" w14:textId="5E3EA20C" w:rsidR="00FA1D16" w:rsidRPr="009A2EB4" w:rsidRDefault="00FA1D16" w:rsidP="000665A6">
            <w:pPr>
              <w:jc w:val="center"/>
              <w:rPr>
                <w:sz w:val="20"/>
                <w:szCs w:val="20"/>
              </w:rPr>
            </w:pPr>
            <w:r>
              <w:rPr>
                <w:sz w:val="20"/>
                <w:szCs w:val="20"/>
              </w:rPr>
              <w:t>25,000</w:t>
            </w:r>
          </w:p>
        </w:tc>
        <w:tc>
          <w:tcPr>
            <w:tcW w:w="420" w:type="dxa"/>
          </w:tcPr>
          <w:p w14:paraId="447E81AC" w14:textId="77777777" w:rsidR="00FA1D16" w:rsidRPr="009A2EB4" w:rsidRDefault="00FA1D16" w:rsidP="000665A6">
            <w:pPr>
              <w:jc w:val="center"/>
              <w:rPr>
                <w:sz w:val="20"/>
                <w:szCs w:val="20"/>
              </w:rPr>
            </w:pPr>
          </w:p>
        </w:tc>
        <w:tc>
          <w:tcPr>
            <w:tcW w:w="1418" w:type="dxa"/>
          </w:tcPr>
          <w:p w14:paraId="44418C3C" w14:textId="1A6AD41A" w:rsidR="00FA1D16" w:rsidRPr="009A2EB4" w:rsidRDefault="00FA1D16" w:rsidP="000665A6">
            <w:pPr>
              <w:jc w:val="center"/>
              <w:rPr>
                <w:sz w:val="20"/>
                <w:szCs w:val="20"/>
              </w:rPr>
            </w:pPr>
            <w:r>
              <w:rPr>
                <w:sz w:val="20"/>
                <w:szCs w:val="20"/>
              </w:rPr>
              <w:t>2000</w:t>
            </w:r>
          </w:p>
        </w:tc>
        <w:tc>
          <w:tcPr>
            <w:tcW w:w="1134" w:type="dxa"/>
          </w:tcPr>
          <w:p w14:paraId="21ADB117" w14:textId="0F57B49A" w:rsidR="00FA1D16" w:rsidRPr="009A2EB4" w:rsidRDefault="00FA1D16" w:rsidP="000665A6">
            <w:pPr>
              <w:jc w:val="center"/>
              <w:rPr>
                <w:sz w:val="20"/>
                <w:szCs w:val="20"/>
              </w:rPr>
            </w:pPr>
            <w:r>
              <w:rPr>
                <w:sz w:val="20"/>
                <w:szCs w:val="20"/>
              </w:rPr>
              <w:t>75</w:t>
            </w:r>
          </w:p>
        </w:tc>
        <w:tc>
          <w:tcPr>
            <w:tcW w:w="1620" w:type="dxa"/>
          </w:tcPr>
          <w:p w14:paraId="1F6F8A49" w14:textId="32B8328A" w:rsidR="00FA1D16" w:rsidRPr="009A2EB4" w:rsidRDefault="00FA1D16" w:rsidP="000665A6">
            <w:pPr>
              <w:jc w:val="center"/>
              <w:rPr>
                <w:sz w:val="20"/>
                <w:szCs w:val="20"/>
              </w:rPr>
            </w:pPr>
            <w:r>
              <w:rPr>
                <w:sz w:val="20"/>
                <w:szCs w:val="20"/>
              </w:rPr>
              <w:t>191,875</w:t>
            </w:r>
          </w:p>
        </w:tc>
      </w:tr>
      <w:tr w:rsidR="00FA1D16" w:rsidRPr="009A2EB4" w14:paraId="68FA767A" w14:textId="77777777" w:rsidTr="000665A6">
        <w:tc>
          <w:tcPr>
            <w:tcW w:w="993" w:type="dxa"/>
          </w:tcPr>
          <w:p w14:paraId="761F6EE3" w14:textId="08AE838A" w:rsidR="00FA1D16" w:rsidRPr="009A2EB4" w:rsidRDefault="00FA1D16" w:rsidP="00FA1D16">
            <w:pPr>
              <w:rPr>
                <w:sz w:val="20"/>
                <w:szCs w:val="20"/>
              </w:rPr>
            </w:pPr>
            <w:r w:rsidRPr="009A2EB4">
              <w:rPr>
                <w:sz w:val="20"/>
                <w:szCs w:val="20"/>
              </w:rPr>
              <w:t>4</w:t>
            </w:r>
          </w:p>
        </w:tc>
        <w:tc>
          <w:tcPr>
            <w:tcW w:w="5103" w:type="dxa"/>
          </w:tcPr>
          <w:p w14:paraId="2EEDF13A" w14:textId="56F75D3A"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794C1429" w14:textId="74DE504A" w:rsidR="00FA1D16" w:rsidRPr="009A2EB4" w:rsidRDefault="00FA1D16" w:rsidP="000665A6">
            <w:pPr>
              <w:jc w:val="center"/>
              <w:rPr>
                <w:sz w:val="20"/>
                <w:szCs w:val="20"/>
              </w:rPr>
            </w:pPr>
            <w:r>
              <w:rPr>
                <w:sz w:val="20"/>
                <w:szCs w:val="20"/>
              </w:rPr>
              <w:t>509</w:t>
            </w:r>
          </w:p>
        </w:tc>
        <w:tc>
          <w:tcPr>
            <w:tcW w:w="1843" w:type="dxa"/>
          </w:tcPr>
          <w:p w14:paraId="76AE5DC8" w14:textId="1F788496" w:rsidR="00FA1D16" w:rsidRPr="009A2EB4" w:rsidRDefault="00FA1D16" w:rsidP="000665A6">
            <w:pPr>
              <w:jc w:val="center"/>
              <w:rPr>
                <w:sz w:val="20"/>
                <w:szCs w:val="20"/>
              </w:rPr>
            </w:pPr>
            <w:r>
              <w:rPr>
                <w:sz w:val="20"/>
                <w:szCs w:val="20"/>
              </w:rPr>
              <w:t>25,000</w:t>
            </w:r>
          </w:p>
        </w:tc>
        <w:tc>
          <w:tcPr>
            <w:tcW w:w="420" w:type="dxa"/>
          </w:tcPr>
          <w:p w14:paraId="1A50A949" w14:textId="77777777" w:rsidR="00FA1D16" w:rsidRPr="009A2EB4" w:rsidRDefault="00FA1D16" w:rsidP="000665A6">
            <w:pPr>
              <w:jc w:val="center"/>
              <w:rPr>
                <w:sz w:val="20"/>
                <w:szCs w:val="20"/>
              </w:rPr>
            </w:pPr>
          </w:p>
        </w:tc>
        <w:tc>
          <w:tcPr>
            <w:tcW w:w="1418" w:type="dxa"/>
          </w:tcPr>
          <w:p w14:paraId="237B1117" w14:textId="5F1A4C19" w:rsidR="00FA1D16" w:rsidRPr="009A2EB4" w:rsidRDefault="00FA1D16" w:rsidP="000665A6">
            <w:pPr>
              <w:jc w:val="center"/>
              <w:rPr>
                <w:sz w:val="20"/>
                <w:szCs w:val="20"/>
              </w:rPr>
            </w:pPr>
            <w:r>
              <w:rPr>
                <w:sz w:val="20"/>
                <w:szCs w:val="20"/>
              </w:rPr>
              <w:t>2000</w:t>
            </w:r>
          </w:p>
        </w:tc>
        <w:tc>
          <w:tcPr>
            <w:tcW w:w="1134" w:type="dxa"/>
          </w:tcPr>
          <w:p w14:paraId="434B6257" w14:textId="0EE65478" w:rsidR="00FA1D16" w:rsidRPr="009A2EB4" w:rsidRDefault="00FA1D16" w:rsidP="000665A6">
            <w:pPr>
              <w:jc w:val="center"/>
              <w:rPr>
                <w:sz w:val="20"/>
                <w:szCs w:val="20"/>
              </w:rPr>
            </w:pPr>
            <w:r>
              <w:rPr>
                <w:sz w:val="20"/>
                <w:szCs w:val="20"/>
              </w:rPr>
              <w:t>75</w:t>
            </w:r>
          </w:p>
        </w:tc>
        <w:tc>
          <w:tcPr>
            <w:tcW w:w="1620" w:type="dxa"/>
          </w:tcPr>
          <w:p w14:paraId="3E088C48" w14:textId="35433CF6" w:rsidR="00FA1D16" w:rsidRPr="009A2EB4" w:rsidRDefault="00FA1D16" w:rsidP="000665A6">
            <w:pPr>
              <w:jc w:val="center"/>
              <w:rPr>
                <w:sz w:val="20"/>
                <w:szCs w:val="20"/>
              </w:rPr>
            </w:pPr>
            <w:r>
              <w:rPr>
                <w:sz w:val="20"/>
                <w:szCs w:val="20"/>
              </w:rPr>
              <w:t>191,875</w:t>
            </w:r>
          </w:p>
        </w:tc>
      </w:tr>
      <w:tr w:rsidR="00FA1D16" w:rsidRPr="009A2EB4" w14:paraId="67288F19" w14:textId="77777777" w:rsidTr="000665A6">
        <w:tc>
          <w:tcPr>
            <w:tcW w:w="993" w:type="dxa"/>
            <w:tcBorders>
              <w:bottom w:val="single" w:sz="12" w:space="0" w:color="auto"/>
            </w:tcBorders>
          </w:tcPr>
          <w:p w14:paraId="6BA01BBB" w14:textId="29F8E820" w:rsidR="00FA1D16" w:rsidRPr="009A2EB4" w:rsidRDefault="00FA1D16" w:rsidP="00FA1D16">
            <w:pPr>
              <w:rPr>
                <w:sz w:val="20"/>
                <w:szCs w:val="20"/>
              </w:rPr>
            </w:pPr>
            <w:r w:rsidRPr="009A2EB4">
              <w:rPr>
                <w:sz w:val="20"/>
                <w:szCs w:val="20"/>
              </w:rPr>
              <w:t>5</w:t>
            </w:r>
          </w:p>
        </w:tc>
        <w:tc>
          <w:tcPr>
            <w:tcW w:w="5103" w:type="dxa"/>
            <w:tcBorders>
              <w:bottom w:val="single" w:sz="12" w:space="0" w:color="auto"/>
            </w:tcBorders>
          </w:tcPr>
          <w:p w14:paraId="7854C6F9" w14:textId="5B09C10C"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676229FA" w14:textId="553C56F2" w:rsidR="00FA1D16" w:rsidRPr="009A2EB4" w:rsidRDefault="00FA1D16" w:rsidP="000665A6">
            <w:pPr>
              <w:jc w:val="center"/>
              <w:rPr>
                <w:sz w:val="20"/>
                <w:szCs w:val="20"/>
              </w:rPr>
            </w:pPr>
            <w:r>
              <w:rPr>
                <w:sz w:val="20"/>
                <w:szCs w:val="20"/>
              </w:rPr>
              <w:t>Variable</w:t>
            </w:r>
          </w:p>
        </w:tc>
        <w:tc>
          <w:tcPr>
            <w:tcW w:w="1843" w:type="dxa"/>
            <w:tcBorders>
              <w:bottom w:val="single" w:sz="12" w:space="0" w:color="auto"/>
            </w:tcBorders>
          </w:tcPr>
          <w:p w14:paraId="3BF14ED6" w14:textId="639265ED" w:rsidR="00FA1D16" w:rsidRPr="009A2EB4" w:rsidRDefault="00FA1D16" w:rsidP="000665A6">
            <w:pPr>
              <w:jc w:val="center"/>
              <w:rPr>
                <w:sz w:val="20"/>
                <w:szCs w:val="20"/>
              </w:rPr>
            </w:pPr>
            <w:r>
              <w:rPr>
                <w:sz w:val="20"/>
                <w:szCs w:val="20"/>
              </w:rPr>
              <w:t>25,000</w:t>
            </w:r>
          </w:p>
        </w:tc>
        <w:tc>
          <w:tcPr>
            <w:tcW w:w="420" w:type="dxa"/>
            <w:tcBorders>
              <w:bottom w:val="single" w:sz="12" w:space="0" w:color="auto"/>
            </w:tcBorders>
          </w:tcPr>
          <w:p w14:paraId="336A3A9D" w14:textId="77777777" w:rsidR="00FA1D16" w:rsidRPr="009A2EB4" w:rsidRDefault="00FA1D16" w:rsidP="000665A6">
            <w:pPr>
              <w:jc w:val="center"/>
              <w:rPr>
                <w:sz w:val="20"/>
                <w:szCs w:val="20"/>
              </w:rPr>
            </w:pPr>
          </w:p>
        </w:tc>
        <w:tc>
          <w:tcPr>
            <w:tcW w:w="1418" w:type="dxa"/>
            <w:tcBorders>
              <w:bottom w:val="single" w:sz="12" w:space="0" w:color="auto"/>
            </w:tcBorders>
          </w:tcPr>
          <w:p w14:paraId="0D576ED5" w14:textId="11505E36" w:rsidR="00FA1D16" w:rsidRPr="009A2EB4" w:rsidRDefault="00FA1D16" w:rsidP="000665A6">
            <w:pPr>
              <w:jc w:val="center"/>
              <w:rPr>
                <w:sz w:val="20"/>
                <w:szCs w:val="20"/>
              </w:rPr>
            </w:pPr>
            <w:r>
              <w:rPr>
                <w:sz w:val="20"/>
                <w:szCs w:val="20"/>
              </w:rPr>
              <w:t>2000</w:t>
            </w:r>
          </w:p>
        </w:tc>
        <w:tc>
          <w:tcPr>
            <w:tcW w:w="1134" w:type="dxa"/>
            <w:tcBorders>
              <w:bottom w:val="single" w:sz="12" w:space="0" w:color="auto"/>
            </w:tcBorders>
          </w:tcPr>
          <w:p w14:paraId="6E439407" w14:textId="533B0998" w:rsidR="00FA1D16" w:rsidRPr="009A2EB4" w:rsidRDefault="00FA1D16" w:rsidP="000665A6">
            <w:pPr>
              <w:jc w:val="center"/>
              <w:rPr>
                <w:sz w:val="20"/>
                <w:szCs w:val="20"/>
              </w:rPr>
            </w:pPr>
            <w:r>
              <w:rPr>
                <w:sz w:val="20"/>
                <w:szCs w:val="20"/>
              </w:rPr>
              <w:t>75</w:t>
            </w:r>
          </w:p>
        </w:tc>
        <w:tc>
          <w:tcPr>
            <w:tcW w:w="1620" w:type="dxa"/>
            <w:tcBorders>
              <w:bottom w:val="single" w:sz="12" w:space="0" w:color="auto"/>
            </w:tcBorders>
          </w:tcPr>
          <w:p w14:paraId="3192C8A7" w14:textId="1AEBED1B" w:rsidR="00FA1D16" w:rsidRPr="009A2EB4" w:rsidRDefault="00FA1D16" w:rsidP="000665A6">
            <w:pPr>
              <w:jc w:val="center"/>
              <w:rPr>
                <w:sz w:val="20"/>
                <w:szCs w:val="20"/>
              </w:rPr>
            </w:pPr>
            <w:r>
              <w:rPr>
                <w:sz w:val="20"/>
                <w:szCs w:val="20"/>
              </w:rPr>
              <w:t>191,875</w:t>
            </w:r>
          </w:p>
        </w:tc>
      </w:tr>
    </w:tbl>
    <w:p w14:paraId="585B5BA0" w14:textId="253F3445" w:rsidR="00074CC3" w:rsidRDefault="00074CC3"/>
    <w:p w14:paraId="04C51369" w14:textId="17865C8B" w:rsidR="000665A6" w:rsidRDefault="000665A6"/>
    <w:p w14:paraId="1898F938" w14:textId="3F9DA014" w:rsidR="000665A6" w:rsidRDefault="000665A6"/>
    <w:p w14:paraId="1D12E4BA" w14:textId="78DD75A7" w:rsidR="000665A6" w:rsidRDefault="000665A6"/>
    <w:p w14:paraId="2D09963F" w14:textId="77777777" w:rsidR="000665A6" w:rsidRDefault="000665A6">
      <w:pPr>
        <w:sectPr w:rsidR="000665A6" w:rsidSect="006A7270">
          <w:pgSz w:w="16838" w:h="11906" w:orient="landscape"/>
          <w:pgMar w:top="1440" w:right="1440" w:bottom="1440" w:left="1440" w:header="708" w:footer="708" w:gutter="0"/>
          <w:cols w:space="708"/>
          <w:docGrid w:linePitch="360"/>
        </w:sectPr>
      </w:pPr>
    </w:p>
    <w:p w14:paraId="62F78FD0" w14:textId="1635BCCB" w:rsidR="000665A6" w:rsidRDefault="00AB00D5">
      <w:r>
        <w:rPr>
          <w:noProof/>
        </w:rPr>
        <w:lastRenderedPageBreak/>
        <w:drawing>
          <wp:anchor distT="0" distB="0" distL="114300" distR="114300" simplePos="0" relativeHeight="251658240" behindDoc="1" locked="0" layoutInCell="1" allowOverlap="1" wp14:anchorId="146CA9F6" wp14:editId="6599CB7E">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43DF" w14:textId="61AF6FA4" w:rsidR="008E1066" w:rsidRPr="008E1066" w:rsidRDefault="008E1066" w:rsidP="008E1066"/>
    <w:p w14:paraId="225AD82C" w14:textId="1223D18D" w:rsidR="008E1066" w:rsidRPr="008E1066" w:rsidRDefault="008E1066" w:rsidP="008E1066"/>
    <w:p w14:paraId="032ABF3B" w14:textId="19F6E5F8" w:rsidR="008E1066" w:rsidRPr="008E1066" w:rsidRDefault="008E1066" w:rsidP="008E1066"/>
    <w:p w14:paraId="2FE12307" w14:textId="6B099C68" w:rsidR="008E1066" w:rsidRPr="008E1066" w:rsidRDefault="008E1066" w:rsidP="008E1066"/>
    <w:p w14:paraId="6AC22BF4" w14:textId="361D1851" w:rsidR="008E1066" w:rsidRPr="008E1066" w:rsidRDefault="008E1066" w:rsidP="008E1066"/>
    <w:p w14:paraId="153AABC0" w14:textId="06DBB3CE" w:rsidR="008E1066" w:rsidRPr="008E1066" w:rsidRDefault="008E1066" w:rsidP="008E1066"/>
    <w:p w14:paraId="358D8B27" w14:textId="12201C2E" w:rsidR="008E1066" w:rsidRPr="008E1066" w:rsidRDefault="008E1066" w:rsidP="008E1066"/>
    <w:p w14:paraId="74E5CF59" w14:textId="2F5083D7" w:rsidR="008E1066" w:rsidRPr="008E1066" w:rsidRDefault="008E1066" w:rsidP="008E1066"/>
    <w:p w14:paraId="3EDEA858" w14:textId="7EED1E9E" w:rsidR="008E1066" w:rsidRPr="008E1066" w:rsidRDefault="008E1066" w:rsidP="008E1066"/>
    <w:p w14:paraId="69BC8DC1" w14:textId="019716C9" w:rsidR="008E1066" w:rsidRPr="008E1066" w:rsidRDefault="008E1066" w:rsidP="008E1066"/>
    <w:p w14:paraId="1C51BF30" w14:textId="072067B0" w:rsidR="008E1066" w:rsidRPr="008E1066" w:rsidRDefault="008E1066" w:rsidP="008E1066"/>
    <w:p w14:paraId="0136825A" w14:textId="23336364" w:rsidR="008E1066" w:rsidRPr="008E1066" w:rsidRDefault="008E1066" w:rsidP="008E1066"/>
    <w:p w14:paraId="0578C75E" w14:textId="058501D2" w:rsidR="008E1066" w:rsidRPr="008E1066" w:rsidRDefault="008E1066" w:rsidP="008E1066"/>
    <w:p w14:paraId="5AA39042" w14:textId="4FE20BF1" w:rsidR="008E1066" w:rsidRPr="008E1066" w:rsidRDefault="008E1066" w:rsidP="008E1066"/>
    <w:p w14:paraId="2DF0FFD5" w14:textId="11935BB5" w:rsidR="008E1066" w:rsidRDefault="008E1066" w:rsidP="008E1066"/>
    <w:p w14:paraId="5D31F39D" w14:textId="515454A4" w:rsidR="008E1066" w:rsidRPr="00AB00D5" w:rsidRDefault="008E1066" w:rsidP="008E1066">
      <w:pPr>
        <w:rPr>
          <w:b/>
          <w:bCs/>
          <w:sz w:val="20"/>
          <w:szCs w:val="20"/>
        </w:rPr>
      </w:pPr>
      <w:r w:rsidRPr="00AB00D5">
        <w:rPr>
          <w:b/>
          <w:bCs/>
          <w:sz w:val="20"/>
          <w:szCs w:val="20"/>
        </w:rPr>
        <w:t xml:space="preserve">Figure 2. </w:t>
      </w:r>
      <w:r w:rsidR="00AB00D5" w:rsidRPr="00AB00D5">
        <w:rPr>
          <w:b/>
          <w:bCs/>
          <w:sz w:val="20"/>
          <w:szCs w:val="20"/>
        </w:rPr>
        <w:t>Manager budgets and user resources for the five scenarios. Scenarios 4 and 5 have different manager budgets for each replicate simulation, and so this figure shows 10 examples for each.</w:t>
      </w:r>
    </w:p>
    <w:sectPr w:rsidR="008E1066" w:rsidRPr="00AB00D5" w:rsidSect="000665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9T11:04:00Z" w:initials="MN">
    <w:p w14:paraId="0B361C5D" w14:textId="14E1621C" w:rsidR="00D93698" w:rsidRDefault="00D93698">
      <w:pPr>
        <w:pStyle w:val="CommentText"/>
      </w:pPr>
      <w:r>
        <w:rPr>
          <w:rStyle w:val="CommentReference"/>
        </w:rPr>
        <w:annotationRef/>
      </w:r>
      <w:r>
        <w:t>Need to add something about the maximum harvest under maximum conflict. Plots will need to go into the SI. Not sure whether the explanation needs to be in the methods or the results</w:t>
      </w:r>
    </w:p>
  </w:comment>
  <w:comment w:id="1" w:author="Matthew Nuttall" w:date="2021-08-25T10:49:00Z" w:initials="MN">
    <w:p w14:paraId="3FB3C70C" w14:textId="3BAA6EF3" w:rsidR="00DF6630" w:rsidRDefault="00DF6630">
      <w:pPr>
        <w:pStyle w:val="CommentText"/>
      </w:pPr>
      <w:r>
        <w:rPr>
          <w:rStyle w:val="CommentReference"/>
        </w:rPr>
        <w:annotationRef/>
      </w:r>
      <w:r>
        <w:t>Is it ok to simply steal this diagram? I can’t really see the point in remaking it…</w:t>
      </w:r>
    </w:p>
  </w:comment>
  <w:comment w:id="2" w:author="Matthew Nuttall" w:date="2021-07-29T11:27:00Z" w:initials="MN">
    <w:p w14:paraId="6B4798E3" w14:textId="715DD784" w:rsidR="001956C4" w:rsidRDefault="001956C4">
      <w:pPr>
        <w:pStyle w:val="CommentText"/>
      </w:pPr>
      <w:r>
        <w:rPr>
          <w:rStyle w:val="CommentReference"/>
        </w:rPr>
        <w:annotationRef/>
      </w:r>
      <w:r>
        <w:t>Add brief para about how we set and calculated the user budget</w:t>
      </w:r>
      <w:r w:rsidR="008707B9">
        <w:t xml:space="preserve">. Need to clarify that the values are </w:t>
      </w:r>
      <w:proofErr w:type="gramStart"/>
      <w:r w:rsidR="008707B9">
        <w:t>fairly arbitrary</w:t>
      </w:r>
      <w:proofErr w:type="gramEnd"/>
    </w:p>
  </w:comment>
  <w:comment w:id="3" w:author="Matthew Nuttall" w:date="2021-07-01T10:49:00Z" w:initials="MN">
    <w:p w14:paraId="6F3FFC60" w14:textId="2221B045" w:rsidR="00B8099A" w:rsidRDefault="00B8099A">
      <w:pPr>
        <w:pStyle w:val="CommentText"/>
      </w:pPr>
      <w:r>
        <w:rPr>
          <w:rStyle w:val="CommentReference"/>
        </w:rPr>
        <w:annotationRef/>
      </w:r>
      <w:r>
        <w:t xml:space="preserve">For scenarios 3 and 4, should I include a couple of examples of the types of grants or types of organisations that dish them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61C5D" w15:done="0"/>
  <w15:commentEx w15:paraId="3FB3C70C" w15:done="0"/>
  <w15:commentEx w15:paraId="6B4798E3" w15:done="0"/>
  <w15:commentEx w15:paraId="6F3FF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09CB" w16cex:dateUtc="2021-07-29T10:04:00Z"/>
  <w16cex:commentExtensible w16cex:durableId="24D09EAA" w16cex:dateUtc="2021-08-25T09:49:00Z"/>
  <w16cex:commentExtensible w16cex:durableId="24AD0F2B" w16cex:dateUtc="2021-07-29T10:27:00Z"/>
  <w16cex:commentExtensible w16cex:durableId="24881C1F" w16cex:dateUtc="2021-07-0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61C5D" w16cid:durableId="24AD09CB"/>
  <w16cid:commentId w16cid:paraId="3FB3C70C" w16cid:durableId="24D09EAA"/>
  <w16cid:commentId w16cid:paraId="6B4798E3" w16cid:durableId="24AD0F2B"/>
  <w16cid:commentId w16cid:paraId="6F3FFC60" w16cid:durableId="24881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06AE7"/>
    <w:rsid w:val="00033B08"/>
    <w:rsid w:val="00062F76"/>
    <w:rsid w:val="000665A6"/>
    <w:rsid w:val="00074CC3"/>
    <w:rsid w:val="000B33F0"/>
    <w:rsid w:val="000C41EA"/>
    <w:rsid w:val="000E31BB"/>
    <w:rsid w:val="0011460F"/>
    <w:rsid w:val="00142235"/>
    <w:rsid w:val="001956C4"/>
    <w:rsid w:val="001A393C"/>
    <w:rsid w:val="001A560A"/>
    <w:rsid w:val="001B6B16"/>
    <w:rsid w:val="001C04BC"/>
    <w:rsid w:val="00243919"/>
    <w:rsid w:val="002C1F08"/>
    <w:rsid w:val="002D29FF"/>
    <w:rsid w:val="002E591E"/>
    <w:rsid w:val="003049E4"/>
    <w:rsid w:val="00313FA7"/>
    <w:rsid w:val="00317DE4"/>
    <w:rsid w:val="0035371B"/>
    <w:rsid w:val="00373BAB"/>
    <w:rsid w:val="00375594"/>
    <w:rsid w:val="003931F3"/>
    <w:rsid w:val="004020E7"/>
    <w:rsid w:val="00421A9C"/>
    <w:rsid w:val="00442268"/>
    <w:rsid w:val="00463AEE"/>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297D"/>
    <w:rsid w:val="00884B8E"/>
    <w:rsid w:val="008A7BC9"/>
    <w:rsid w:val="008B6ED5"/>
    <w:rsid w:val="008E1066"/>
    <w:rsid w:val="009002C0"/>
    <w:rsid w:val="00985C13"/>
    <w:rsid w:val="009A2EB4"/>
    <w:rsid w:val="009D69F8"/>
    <w:rsid w:val="009E6796"/>
    <w:rsid w:val="00A84B94"/>
    <w:rsid w:val="00AB00D5"/>
    <w:rsid w:val="00AB1FE1"/>
    <w:rsid w:val="00AB4053"/>
    <w:rsid w:val="00AF4EFE"/>
    <w:rsid w:val="00B61BE2"/>
    <w:rsid w:val="00B8099A"/>
    <w:rsid w:val="00B843AB"/>
    <w:rsid w:val="00BE318D"/>
    <w:rsid w:val="00C63CE9"/>
    <w:rsid w:val="00CA777E"/>
    <w:rsid w:val="00CB4757"/>
    <w:rsid w:val="00CD7BA7"/>
    <w:rsid w:val="00CE6D9F"/>
    <w:rsid w:val="00D145B7"/>
    <w:rsid w:val="00D51E92"/>
    <w:rsid w:val="00D8197B"/>
    <w:rsid w:val="00D93698"/>
    <w:rsid w:val="00DA2491"/>
    <w:rsid w:val="00DB57CC"/>
    <w:rsid w:val="00DC1ADD"/>
    <w:rsid w:val="00DC3B6F"/>
    <w:rsid w:val="00DF6630"/>
    <w:rsid w:val="00E579D7"/>
    <w:rsid w:val="00E76DF7"/>
    <w:rsid w:val="00EE00B0"/>
    <w:rsid w:val="00EE45E1"/>
    <w:rsid w:val="00F52E4E"/>
    <w:rsid w:val="00F972B6"/>
    <w:rsid w:val="00FA1D16"/>
    <w:rsid w:val="00FA38CC"/>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8</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2021-05-12T07:28:00Z</dcterms:created>
  <dcterms:modified xsi:type="dcterms:W3CDTF">2021-08-25T14:14:00Z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id="uzTvzEpl"/&gt;&lt;style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